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10A5E" w14:textId="36EE890E" w:rsidR="002035FC" w:rsidRDefault="002035FC"/>
    <w:p w14:paraId="5B67168C" w14:textId="780CBED1" w:rsidR="00367A3A" w:rsidRDefault="00367A3A">
      <w:r>
        <w:rPr>
          <w:rFonts w:ascii="Arial" w:hAnsi="Arial" w:cs="Arial"/>
          <w:noProof/>
          <w:color w:val="000000"/>
        </w:rPr>
        <w:drawing>
          <wp:anchor distT="0" distB="0" distL="114300" distR="114300" simplePos="0" relativeHeight="251658240" behindDoc="1" locked="0" layoutInCell="1" allowOverlap="1" wp14:anchorId="58596179" wp14:editId="504B5857">
            <wp:simplePos x="0" y="0"/>
            <wp:positionH relativeFrom="column">
              <wp:posOffset>729070</wp:posOffset>
            </wp:positionH>
            <wp:positionV relativeFrom="paragraph">
              <wp:posOffset>40640</wp:posOffset>
            </wp:positionV>
            <wp:extent cx="4175760" cy="6240780"/>
            <wp:effectExtent l="0" t="0" r="0" b="7620"/>
            <wp:wrapNone/>
            <wp:docPr id="60216583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75760" cy="6240780"/>
                    </a:xfrm>
                    <a:prstGeom prst="rect">
                      <a:avLst/>
                    </a:prstGeom>
                    <a:noFill/>
                    <a:ln>
                      <a:noFill/>
                    </a:ln>
                  </pic:spPr>
                </pic:pic>
              </a:graphicData>
            </a:graphic>
          </wp:anchor>
        </w:drawing>
      </w:r>
    </w:p>
    <w:p w14:paraId="77AB8421" w14:textId="15BBD980" w:rsidR="00367A3A" w:rsidRDefault="00367A3A"/>
    <w:p w14:paraId="2B592659" w14:textId="6293D3D2" w:rsidR="00367A3A" w:rsidRDefault="00367A3A">
      <w:r>
        <w:rPr>
          <w:noProof/>
          <w:bdr w:val="none" w:sz="0" w:space="0" w:color="auto" w:frame="1"/>
        </w:rPr>
        <w:drawing>
          <wp:anchor distT="0" distB="0" distL="114300" distR="114300" simplePos="0" relativeHeight="251660288" behindDoc="1" locked="0" layoutInCell="1" allowOverlap="1" wp14:anchorId="013C0021" wp14:editId="0429BD2F">
            <wp:simplePos x="0" y="0"/>
            <wp:positionH relativeFrom="column">
              <wp:posOffset>1131661</wp:posOffset>
            </wp:positionH>
            <wp:positionV relativeFrom="paragraph">
              <wp:posOffset>5506085</wp:posOffset>
            </wp:positionV>
            <wp:extent cx="3474720" cy="2766060"/>
            <wp:effectExtent l="0" t="0" r="0" b="0"/>
            <wp:wrapNone/>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74720" cy="2766060"/>
                    </a:xfrm>
                    <a:prstGeom prst="rect">
                      <a:avLst/>
                    </a:prstGeom>
                    <a:noFill/>
                    <a:ln>
                      <a:noFill/>
                    </a:ln>
                  </pic:spPr>
                </pic:pic>
              </a:graphicData>
            </a:graphic>
          </wp:anchor>
        </w:drawing>
      </w:r>
      <w:r>
        <w:br w:type="page"/>
      </w:r>
    </w:p>
    <w:p w14:paraId="72D12E7C" w14:textId="77777777" w:rsidR="00367A3A" w:rsidRDefault="00367A3A" w:rsidP="00367A3A">
      <w:pPr>
        <w:jc w:val="center"/>
        <w:rPr>
          <w:b/>
          <w:bCs/>
        </w:rPr>
      </w:pPr>
    </w:p>
    <w:p w14:paraId="0A0688D9" w14:textId="77777777" w:rsidR="00367A3A" w:rsidRDefault="00367A3A" w:rsidP="00367A3A">
      <w:pPr>
        <w:jc w:val="center"/>
        <w:rPr>
          <w:b/>
          <w:bCs/>
        </w:rPr>
      </w:pPr>
    </w:p>
    <w:p w14:paraId="5CFC8A3D" w14:textId="77777777" w:rsidR="00367A3A" w:rsidRDefault="00367A3A" w:rsidP="00367A3A">
      <w:pPr>
        <w:jc w:val="center"/>
        <w:rPr>
          <w:b/>
          <w:bCs/>
        </w:rPr>
      </w:pPr>
    </w:p>
    <w:p w14:paraId="1FAC1464" w14:textId="77777777" w:rsidR="00367A3A" w:rsidRDefault="00367A3A" w:rsidP="00367A3A">
      <w:pPr>
        <w:jc w:val="center"/>
        <w:rPr>
          <w:b/>
          <w:bCs/>
        </w:rPr>
      </w:pPr>
    </w:p>
    <w:p w14:paraId="3A362EB1" w14:textId="77777777" w:rsidR="00367A3A" w:rsidRDefault="00367A3A" w:rsidP="00367A3A">
      <w:pPr>
        <w:rPr>
          <w:b/>
          <w:bCs/>
        </w:rPr>
      </w:pPr>
    </w:p>
    <w:p w14:paraId="584287B0" w14:textId="77777777" w:rsidR="00367A3A" w:rsidRDefault="00367A3A" w:rsidP="00367A3A">
      <w:pPr>
        <w:jc w:val="center"/>
        <w:rPr>
          <w:b/>
          <w:bCs/>
        </w:rPr>
      </w:pPr>
    </w:p>
    <w:p w14:paraId="6E936EC8" w14:textId="77777777" w:rsidR="00367A3A" w:rsidRDefault="00367A3A" w:rsidP="00367A3A">
      <w:pPr>
        <w:jc w:val="center"/>
        <w:rPr>
          <w:b/>
          <w:bCs/>
        </w:rPr>
      </w:pPr>
    </w:p>
    <w:p w14:paraId="12E549E3" w14:textId="77777777" w:rsidR="00367A3A" w:rsidRDefault="00367A3A" w:rsidP="00367A3A">
      <w:pPr>
        <w:jc w:val="center"/>
        <w:rPr>
          <w:b/>
          <w:bCs/>
        </w:rPr>
      </w:pPr>
    </w:p>
    <w:p w14:paraId="7EE85397" w14:textId="77777777" w:rsidR="00367A3A" w:rsidRDefault="00367A3A" w:rsidP="00367A3A">
      <w:pPr>
        <w:jc w:val="center"/>
        <w:rPr>
          <w:b/>
          <w:bCs/>
        </w:rPr>
      </w:pPr>
    </w:p>
    <w:p w14:paraId="55943BCF" w14:textId="77777777" w:rsidR="00367A3A" w:rsidRDefault="00367A3A" w:rsidP="00367A3A">
      <w:pPr>
        <w:jc w:val="center"/>
        <w:rPr>
          <w:b/>
          <w:bCs/>
        </w:rPr>
      </w:pPr>
    </w:p>
    <w:p w14:paraId="3C48E2A4" w14:textId="31DBBAA6" w:rsidR="00367A3A" w:rsidRPr="00367A3A" w:rsidRDefault="00367A3A" w:rsidP="00367A3A">
      <w:pPr>
        <w:jc w:val="center"/>
        <w:rPr>
          <w:sz w:val="32"/>
          <w:szCs w:val="32"/>
        </w:rPr>
      </w:pPr>
      <w:r w:rsidRPr="00367A3A">
        <w:rPr>
          <w:b/>
          <w:bCs/>
          <w:sz w:val="32"/>
          <w:szCs w:val="32"/>
        </w:rPr>
        <w:t>Πρακτικά 14ου Πανελλήνιου Συνεδρίου Φοιτητών Κτηνιατρικής</w:t>
      </w:r>
    </w:p>
    <w:p w14:paraId="532B8E89" w14:textId="77777777" w:rsidR="00367A3A" w:rsidRPr="00367A3A" w:rsidRDefault="00367A3A" w:rsidP="00367A3A">
      <w:pPr>
        <w:jc w:val="center"/>
        <w:rPr>
          <w:sz w:val="32"/>
          <w:szCs w:val="32"/>
        </w:rPr>
      </w:pPr>
    </w:p>
    <w:p w14:paraId="4907F942" w14:textId="77777777" w:rsidR="00367A3A" w:rsidRPr="00367A3A" w:rsidRDefault="00367A3A" w:rsidP="00367A3A">
      <w:pPr>
        <w:jc w:val="center"/>
        <w:rPr>
          <w:sz w:val="32"/>
          <w:szCs w:val="32"/>
        </w:rPr>
      </w:pPr>
      <w:r w:rsidRPr="00367A3A">
        <w:rPr>
          <w:b/>
          <w:bCs/>
          <w:sz w:val="32"/>
          <w:szCs w:val="32"/>
        </w:rPr>
        <w:t>8 - 10 Μαΐου 2026</w:t>
      </w:r>
    </w:p>
    <w:p w14:paraId="51F22A7F" w14:textId="77777777" w:rsidR="00367A3A" w:rsidRPr="00367A3A" w:rsidRDefault="00367A3A" w:rsidP="00367A3A">
      <w:pPr>
        <w:jc w:val="center"/>
        <w:rPr>
          <w:sz w:val="32"/>
          <w:szCs w:val="32"/>
        </w:rPr>
      </w:pPr>
    </w:p>
    <w:p w14:paraId="52553BF4" w14:textId="77777777" w:rsidR="00367A3A" w:rsidRPr="00367A3A" w:rsidRDefault="00367A3A" w:rsidP="00367A3A">
      <w:pPr>
        <w:jc w:val="center"/>
        <w:rPr>
          <w:sz w:val="32"/>
          <w:szCs w:val="32"/>
        </w:rPr>
      </w:pPr>
      <w:r w:rsidRPr="00367A3A">
        <w:rPr>
          <w:b/>
          <w:bCs/>
          <w:sz w:val="32"/>
          <w:szCs w:val="32"/>
        </w:rPr>
        <w:t>Τμήμα Δασολογίας, Ξύλου και Επίπλου, Πανεπιστήμιο Θεσσαλίας, Καρδίτσα, Ελλάδα</w:t>
      </w:r>
    </w:p>
    <w:p w14:paraId="4790523F" w14:textId="32C7554F" w:rsidR="00367A3A" w:rsidRDefault="00367A3A">
      <w:pPr>
        <w:rPr>
          <w:sz w:val="32"/>
          <w:szCs w:val="32"/>
        </w:rPr>
      </w:pPr>
      <w:r>
        <w:rPr>
          <w:sz w:val="32"/>
          <w:szCs w:val="32"/>
        </w:rPr>
        <w:br w:type="page"/>
      </w:r>
    </w:p>
    <w:p w14:paraId="2BA33D33" w14:textId="77777777" w:rsidR="00367A3A" w:rsidRPr="00754D07" w:rsidRDefault="00367A3A" w:rsidP="00367A3A">
      <w:pPr>
        <w:jc w:val="both"/>
        <w:rPr>
          <w:b/>
          <w:bCs/>
          <w:color w:val="275317" w:themeColor="accent6" w:themeShade="80"/>
        </w:rPr>
      </w:pPr>
      <w:r w:rsidRPr="00754D07">
        <w:rPr>
          <w:b/>
          <w:bCs/>
          <w:color w:val="275317" w:themeColor="accent6" w:themeShade="80"/>
        </w:rPr>
        <w:lastRenderedPageBreak/>
        <w:t>ΕΙΣΑΓΩΓΙΚΟ ΣΗΜΕΙΩΜΑ </w:t>
      </w:r>
    </w:p>
    <w:p w14:paraId="23F83584" w14:textId="77777777" w:rsidR="00367A3A" w:rsidRPr="00367A3A" w:rsidRDefault="00367A3A" w:rsidP="00367A3A">
      <w:pPr>
        <w:jc w:val="both"/>
      </w:pPr>
    </w:p>
    <w:p w14:paraId="306F8BCB" w14:textId="77777777" w:rsidR="00367A3A" w:rsidRPr="00367A3A" w:rsidRDefault="00367A3A" w:rsidP="00367A3A">
      <w:pPr>
        <w:jc w:val="both"/>
      </w:pPr>
      <w:r w:rsidRPr="00367A3A">
        <w:t xml:space="preserve">Με ιδιαίτερη τιμή και ικανοποίηση παραδίδουμε στην επιστημονική κοινότητα την ολοκληρωμένη έκδοση των Πρακτικών του </w:t>
      </w:r>
      <w:r w:rsidRPr="00367A3A">
        <w:rPr>
          <w:b/>
          <w:bCs/>
        </w:rPr>
        <w:t xml:space="preserve">14ου </w:t>
      </w:r>
      <w:r w:rsidRPr="00367A3A">
        <w:t xml:space="preserve">Πανελλήνιου Συνεδρίου Φοιτητών Κτηνιατρικής, το οποίο έλαβε χώρα από τις </w:t>
      </w:r>
      <w:r w:rsidRPr="00367A3A">
        <w:rPr>
          <w:b/>
          <w:bCs/>
        </w:rPr>
        <w:t>8 έως τις 10 Μαΐου στην Καρδίτσα, στο Τμήμα Δασολογίας, Ξύλου και Επίπλου του Πανεπιστημίου Θεσσαλίας.</w:t>
      </w:r>
    </w:p>
    <w:p w14:paraId="4252C26A" w14:textId="77777777" w:rsidR="00367A3A" w:rsidRPr="00367A3A" w:rsidRDefault="00367A3A" w:rsidP="00367A3A">
      <w:pPr>
        <w:jc w:val="both"/>
      </w:pPr>
      <w:r w:rsidRPr="00367A3A">
        <w:t>Η επιτυχής υλοποίηση του οράματός μας επιβεβαιώνει την ανεκτίμητη αξία αυτού του θεσμού. Από το 2012, όταν ξεκίνησε ως πρωτοβουλία φοιτητών από τις Κτηνιατρικές Σχολές της Θεσσαλονίκης και της Καρδίτσας, το συνέδριο έχει καθιερωθεί ως η κορυφαία ετήσια επιστημονική συνάντηση για τους μελλοντικούς κτηνιάτρους της χώρας. Μέσα από αυτό, προάγεται η ερευνητική δραστηριότητα, ενισχύεται η επιστημονική κατάρτιση, γεφυρώνεται η θεωρία με την κλινική πράξη και καλλιεργούνται ισχυροί δεσμοί μεταξύ των φοιτητών.</w:t>
      </w:r>
    </w:p>
    <w:p w14:paraId="7BF923E9" w14:textId="77777777" w:rsidR="00367A3A" w:rsidRPr="00367A3A" w:rsidRDefault="00367A3A" w:rsidP="00367A3A">
      <w:pPr>
        <w:jc w:val="both"/>
      </w:pPr>
      <w:r w:rsidRPr="00367A3A">
        <w:t>Στο 14ο Π.Σ.Φ.Κ., έγινε προσέγγιση σε κάθε είδους πτυχή της κτηνιατρικής επιστήμης, μέσα από την διεξαγωγή προσυνεδριακής ημερίδας, 8 workshops, 56 ελεύθερων ανακοινώσεων και 15 αναρτημένων ανακοινώσεων. </w:t>
      </w:r>
    </w:p>
    <w:p w14:paraId="1FE3A5D2" w14:textId="77777777" w:rsidR="00367A3A" w:rsidRPr="00367A3A" w:rsidRDefault="00367A3A" w:rsidP="00367A3A">
      <w:pPr>
        <w:jc w:val="both"/>
      </w:pPr>
      <w:r w:rsidRPr="00367A3A">
        <w:t>Το αποτέλεσμα αυτό οφείλεται στην άρτια συνεργασία και το πάθος των μελών της Επιστημονικής και Οργανωτικής Επιτροπής, η οποία στελεχώθηκε από εθελοντές και μέλη των Δ.Σ. της IVSA Thessaloniki και IVSA Thessaly. Το συνέδριο απέδειξε για άλλη μια φορά τη δυναμική του, ενισχύοντας την κλινική σκέψη και τη διεθνή δικτύωση σε ένα απόλυτα δημιουργικό περιβάλλον.</w:t>
      </w:r>
    </w:p>
    <w:p w14:paraId="7B5D2CA5" w14:textId="77777777" w:rsidR="00367A3A" w:rsidRDefault="00367A3A" w:rsidP="00367A3A">
      <w:pPr>
        <w:jc w:val="both"/>
      </w:pPr>
      <w:r w:rsidRPr="00367A3A">
        <w:t>Εκφράζουμε τις θερμές μας ευχαριστίες στους χορηγούς μας, στο ακαδημαϊκό προσωπικό των δύο σχολών για τη διαρκή υποστήριξή τους, και πρωτίστως σε όλους εσάς —συνέδρους, ομιλητές και εθελοντές— που με την παρουσία σας καθορίσατε την επιτυχία αυτής της προσπάθειας.</w:t>
      </w:r>
    </w:p>
    <w:p w14:paraId="6CD3C116" w14:textId="77777777" w:rsidR="00B649F5" w:rsidRPr="00367A3A" w:rsidRDefault="00B649F5" w:rsidP="00367A3A">
      <w:pPr>
        <w:jc w:val="both"/>
      </w:pPr>
    </w:p>
    <w:p w14:paraId="4086C175" w14:textId="12A3612E" w:rsidR="00367A3A" w:rsidRPr="00B649F5" w:rsidRDefault="00367A3A" w:rsidP="001C70BC">
      <w:r w:rsidRPr="00367A3A">
        <w:t>Με εκτίμηση,</w:t>
      </w:r>
    </w:p>
    <w:p w14:paraId="0CB887BD" w14:textId="08DDD3E2" w:rsidR="00367A3A" w:rsidRPr="00367A3A" w:rsidRDefault="00367A3A" w:rsidP="001C70BC">
      <w:r w:rsidRPr="00367A3A">
        <w:t>Η Επιστημονική &amp; Οργανωτική Επιτροπή του 14ου Πανελλήνιου Συνεδρίου Φοιτητών Κτηνιατρικής</w:t>
      </w:r>
    </w:p>
    <w:p w14:paraId="1E3C1629" w14:textId="77777777" w:rsidR="00367A3A" w:rsidRDefault="00367A3A" w:rsidP="00B649F5">
      <w:pPr>
        <w:jc w:val="right"/>
      </w:pPr>
      <w:r w:rsidRPr="00367A3A">
        <w:br/>
      </w:r>
      <w:r w:rsidRPr="00367A3A">
        <w:br/>
      </w:r>
      <w:r w:rsidRPr="00367A3A">
        <w:br/>
      </w:r>
      <w:r w:rsidRPr="00367A3A">
        <w:br/>
      </w:r>
      <w:r w:rsidRPr="00367A3A">
        <w:br/>
      </w:r>
    </w:p>
    <w:p w14:paraId="08781C98" w14:textId="77777777" w:rsidR="00367A3A" w:rsidRDefault="00367A3A" w:rsidP="00367A3A">
      <w:pPr>
        <w:jc w:val="both"/>
      </w:pPr>
    </w:p>
    <w:p w14:paraId="74EF6C00" w14:textId="77777777" w:rsidR="00367A3A" w:rsidRDefault="00367A3A" w:rsidP="00367A3A">
      <w:pPr>
        <w:jc w:val="both"/>
      </w:pPr>
    </w:p>
    <w:p w14:paraId="0448F6C6" w14:textId="77777777" w:rsidR="00367A3A" w:rsidRDefault="00367A3A" w:rsidP="00367A3A">
      <w:pPr>
        <w:jc w:val="both"/>
      </w:pPr>
    </w:p>
    <w:p w14:paraId="0B1452D7" w14:textId="77777777" w:rsidR="00367A3A" w:rsidRDefault="00367A3A" w:rsidP="00367A3A">
      <w:pPr>
        <w:jc w:val="both"/>
      </w:pPr>
    </w:p>
    <w:p w14:paraId="0913CCF0" w14:textId="77777777" w:rsidR="00367A3A" w:rsidRDefault="00367A3A" w:rsidP="00367A3A">
      <w:pPr>
        <w:jc w:val="both"/>
      </w:pPr>
    </w:p>
    <w:p w14:paraId="2B838112" w14:textId="77777777" w:rsidR="00382DF1" w:rsidRDefault="00382DF1" w:rsidP="00B649F5">
      <w:pPr>
        <w:spacing w:line="240" w:lineRule="auto"/>
        <w:jc w:val="both"/>
        <w:rPr>
          <w:lang w:val="en-US"/>
        </w:rPr>
      </w:pPr>
    </w:p>
    <w:p w14:paraId="6E4C21E0" w14:textId="7C2ED3E2" w:rsidR="00367A3A" w:rsidRPr="00754D07" w:rsidRDefault="00367A3A" w:rsidP="00B649F5">
      <w:pPr>
        <w:spacing w:line="240" w:lineRule="auto"/>
        <w:jc w:val="both"/>
        <w:rPr>
          <w:color w:val="275317" w:themeColor="accent6" w:themeShade="80"/>
        </w:rPr>
      </w:pPr>
      <w:r w:rsidRPr="00754D07">
        <w:rPr>
          <w:b/>
          <w:bCs/>
          <w:color w:val="275317" w:themeColor="accent6" w:themeShade="80"/>
        </w:rPr>
        <w:lastRenderedPageBreak/>
        <w:t>Οργανωτική Επιτροπή 14ου Πανελλήνιου Συνεδρίου Φοιτητών Κτηνιατρικής</w:t>
      </w:r>
    </w:p>
    <w:p w14:paraId="79BC8EB9" w14:textId="77777777" w:rsidR="00367A3A" w:rsidRPr="00140659" w:rsidRDefault="00367A3A" w:rsidP="00B649F5">
      <w:pPr>
        <w:spacing w:line="240" w:lineRule="auto"/>
        <w:jc w:val="both"/>
        <w:rPr>
          <w:sz w:val="6"/>
          <w:szCs w:val="6"/>
        </w:rPr>
      </w:pPr>
    </w:p>
    <w:p w14:paraId="51BC5541" w14:textId="77777777" w:rsidR="00367A3A" w:rsidRPr="00367A3A" w:rsidRDefault="00367A3A" w:rsidP="00B649F5">
      <w:pPr>
        <w:spacing w:line="240" w:lineRule="auto"/>
        <w:jc w:val="both"/>
      </w:pPr>
      <w:r w:rsidRPr="00367A3A">
        <w:rPr>
          <w:b/>
          <w:bCs/>
        </w:rPr>
        <w:t>Παραλής Ευστράτιος</w:t>
      </w:r>
      <w:r w:rsidRPr="00367A3A">
        <w:t>, Πρόεδρος Οργανωτικής Επιτροπής </w:t>
      </w:r>
    </w:p>
    <w:p w14:paraId="411F76CE" w14:textId="77777777" w:rsidR="00367A3A" w:rsidRPr="00367A3A" w:rsidRDefault="00367A3A" w:rsidP="00B649F5">
      <w:pPr>
        <w:spacing w:line="240" w:lineRule="auto"/>
        <w:jc w:val="both"/>
      </w:pPr>
      <w:r w:rsidRPr="00367A3A">
        <w:rPr>
          <w:b/>
          <w:bCs/>
        </w:rPr>
        <w:t>Μάστορας Πέτρος</w:t>
      </w:r>
      <w:r w:rsidRPr="00367A3A">
        <w:t>, Αντιπρόεδρος Οργανωτικής Επιτροπής </w:t>
      </w:r>
    </w:p>
    <w:p w14:paraId="6F1D8EA8" w14:textId="77777777" w:rsidR="00367A3A" w:rsidRPr="00367A3A" w:rsidRDefault="00367A3A" w:rsidP="00B649F5">
      <w:pPr>
        <w:spacing w:line="240" w:lineRule="auto"/>
        <w:jc w:val="both"/>
      </w:pPr>
      <w:r w:rsidRPr="00367A3A">
        <w:rPr>
          <w:b/>
          <w:bCs/>
        </w:rPr>
        <w:t>Γούκος Βασίλειος</w:t>
      </w:r>
      <w:r w:rsidRPr="00367A3A">
        <w:t>, Μέλος Οργανωτικής Επιτροπής</w:t>
      </w:r>
    </w:p>
    <w:p w14:paraId="20F2517B" w14:textId="77777777" w:rsidR="00367A3A" w:rsidRDefault="00367A3A" w:rsidP="00B649F5">
      <w:pPr>
        <w:spacing w:line="240" w:lineRule="auto"/>
        <w:jc w:val="both"/>
      </w:pPr>
      <w:r w:rsidRPr="00367A3A">
        <w:rPr>
          <w:b/>
          <w:bCs/>
        </w:rPr>
        <w:t>Μπονόβα Ελπίδα-Ζωή</w:t>
      </w:r>
      <w:r w:rsidRPr="00367A3A">
        <w:t>, Μέλος Οργανωτικής Επιτροπής </w:t>
      </w:r>
    </w:p>
    <w:p w14:paraId="221E6E66" w14:textId="6ECE1D13" w:rsidR="002617A2" w:rsidRPr="002617A2" w:rsidRDefault="002617A2" w:rsidP="00B649F5">
      <w:pPr>
        <w:spacing w:line="240" w:lineRule="auto"/>
        <w:jc w:val="both"/>
      </w:pPr>
      <w:r w:rsidRPr="00367A3A">
        <w:rPr>
          <w:b/>
          <w:bCs/>
        </w:rPr>
        <w:t>Μαστροδήμας Σταμάτης</w:t>
      </w:r>
      <w:r w:rsidRPr="00367A3A">
        <w:t>, Μέλος Οργανωτικής Επιτροπής</w:t>
      </w:r>
    </w:p>
    <w:p w14:paraId="0B2CAF28" w14:textId="77777777" w:rsidR="00367A3A" w:rsidRPr="00367A3A" w:rsidRDefault="00367A3A" w:rsidP="00B649F5">
      <w:pPr>
        <w:spacing w:line="240" w:lineRule="auto"/>
        <w:jc w:val="both"/>
      </w:pPr>
      <w:r w:rsidRPr="00367A3A">
        <w:rPr>
          <w:b/>
          <w:bCs/>
        </w:rPr>
        <w:t>Παντέρας Ευάγγελος</w:t>
      </w:r>
      <w:r w:rsidRPr="00367A3A">
        <w:t>, Μέλος Οργανωτικής Επιτροπής</w:t>
      </w:r>
    </w:p>
    <w:p w14:paraId="4C485258" w14:textId="77777777" w:rsidR="00367A3A" w:rsidRPr="00367A3A" w:rsidRDefault="00367A3A" w:rsidP="00B649F5">
      <w:pPr>
        <w:spacing w:line="240" w:lineRule="auto"/>
        <w:jc w:val="both"/>
      </w:pPr>
      <w:r w:rsidRPr="00367A3A">
        <w:rPr>
          <w:b/>
          <w:bCs/>
        </w:rPr>
        <w:t>Σβετς Θεοφάνης</w:t>
      </w:r>
      <w:r w:rsidRPr="00367A3A">
        <w:t>, Μέλος Οργανωτικής Επιτροπής</w:t>
      </w:r>
    </w:p>
    <w:p w14:paraId="0D8BD862" w14:textId="77777777" w:rsidR="00367A3A" w:rsidRPr="00367A3A" w:rsidRDefault="00367A3A" w:rsidP="00B649F5">
      <w:pPr>
        <w:spacing w:line="240" w:lineRule="auto"/>
        <w:jc w:val="both"/>
      </w:pPr>
      <w:r w:rsidRPr="00367A3A">
        <w:rPr>
          <w:b/>
          <w:bCs/>
        </w:rPr>
        <w:t>Σμυρναίος Γεώργιος</w:t>
      </w:r>
      <w:r w:rsidRPr="00367A3A">
        <w:t>, Μέλος Οργανωτικής Επιτροπής</w:t>
      </w:r>
    </w:p>
    <w:p w14:paraId="48F8D5FB" w14:textId="77777777" w:rsidR="00367A3A" w:rsidRDefault="00367A3A" w:rsidP="00B649F5">
      <w:pPr>
        <w:spacing w:line="240" w:lineRule="auto"/>
        <w:jc w:val="both"/>
      </w:pPr>
      <w:r w:rsidRPr="00367A3A">
        <w:rPr>
          <w:b/>
          <w:bCs/>
        </w:rPr>
        <w:t>Συμεωνίδου Μαρία</w:t>
      </w:r>
      <w:r w:rsidRPr="00367A3A">
        <w:t>, Μέλος Οργανωτικής Επιτροπής</w:t>
      </w:r>
    </w:p>
    <w:p w14:paraId="4F743ED2" w14:textId="77777777" w:rsidR="002617A2" w:rsidRPr="00367A3A" w:rsidRDefault="002617A2" w:rsidP="00B649F5">
      <w:pPr>
        <w:spacing w:line="240" w:lineRule="auto"/>
        <w:jc w:val="both"/>
      </w:pPr>
    </w:p>
    <w:p w14:paraId="2DC19DDA" w14:textId="77777777" w:rsidR="002617A2" w:rsidRDefault="002617A2" w:rsidP="00B649F5">
      <w:pPr>
        <w:spacing w:line="240" w:lineRule="auto"/>
        <w:jc w:val="both"/>
      </w:pPr>
    </w:p>
    <w:p w14:paraId="77D1790B" w14:textId="77777777" w:rsidR="002617A2" w:rsidRPr="00754D07" w:rsidRDefault="002617A2" w:rsidP="002617A2">
      <w:pPr>
        <w:spacing w:line="240" w:lineRule="auto"/>
        <w:jc w:val="both"/>
        <w:rPr>
          <w:color w:val="275317" w:themeColor="accent6" w:themeShade="80"/>
        </w:rPr>
      </w:pPr>
      <w:r w:rsidRPr="00754D07">
        <w:rPr>
          <w:b/>
          <w:bCs/>
          <w:color w:val="275317" w:themeColor="accent6" w:themeShade="80"/>
        </w:rPr>
        <w:t>Επιστημονική Επιτροπή 14ου Πανελλήνιου Συνεδρίου Φοιτητών Κτηνιατρικής </w:t>
      </w:r>
    </w:p>
    <w:p w14:paraId="3A1D892E" w14:textId="77777777" w:rsidR="002617A2" w:rsidRPr="00140659" w:rsidRDefault="002617A2" w:rsidP="002617A2">
      <w:pPr>
        <w:spacing w:line="240" w:lineRule="auto"/>
        <w:jc w:val="both"/>
        <w:rPr>
          <w:sz w:val="6"/>
          <w:szCs w:val="6"/>
        </w:rPr>
      </w:pPr>
    </w:p>
    <w:p w14:paraId="1A24746B" w14:textId="77777777" w:rsidR="002617A2" w:rsidRPr="00367A3A" w:rsidRDefault="002617A2" w:rsidP="002617A2">
      <w:pPr>
        <w:spacing w:line="240" w:lineRule="auto"/>
        <w:jc w:val="both"/>
      </w:pPr>
      <w:r w:rsidRPr="00367A3A">
        <w:rPr>
          <w:b/>
          <w:bCs/>
        </w:rPr>
        <w:t xml:space="preserve">Λέφα Κωνσταντίνα, </w:t>
      </w:r>
      <w:r w:rsidRPr="00367A3A">
        <w:t>Πρόεδρος Επιστημονικής Επιτροπής </w:t>
      </w:r>
    </w:p>
    <w:p w14:paraId="0392E406" w14:textId="77777777" w:rsidR="002617A2" w:rsidRPr="00367A3A" w:rsidRDefault="002617A2" w:rsidP="002617A2">
      <w:pPr>
        <w:spacing w:line="240" w:lineRule="auto"/>
        <w:jc w:val="both"/>
      </w:pPr>
      <w:r w:rsidRPr="00367A3A">
        <w:rPr>
          <w:b/>
          <w:bCs/>
        </w:rPr>
        <w:t>Βασιλάκης Νίκος</w:t>
      </w:r>
      <w:r w:rsidRPr="00367A3A">
        <w:t>, Αντιπρόεδρος Επιστημονικής Επιτροπής </w:t>
      </w:r>
    </w:p>
    <w:p w14:paraId="354261AB" w14:textId="77777777" w:rsidR="002617A2" w:rsidRPr="00367A3A" w:rsidRDefault="002617A2" w:rsidP="002617A2">
      <w:pPr>
        <w:spacing w:line="240" w:lineRule="auto"/>
        <w:jc w:val="both"/>
      </w:pPr>
      <w:r w:rsidRPr="00367A3A">
        <w:rPr>
          <w:b/>
          <w:bCs/>
        </w:rPr>
        <w:t>Γρηγοριάδου Ελευθερία</w:t>
      </w:r>
      <w:r w:rsidRPr="00367A3A">
        <w:t>, Μέλος Επιστημονικής Επιτροπής</w:t>
      </w:r>
    </w:p>
    <w:p w14:paraId="4EA9AC65" w14:textId="77777777" w:rsidR="002617A2" w:rsidRPr="00367A3A" w:rsidRDefault="002617A2" w:rsidP="002617A2">
      <w:pPr>
        <w:spacing w:line="240" w:lineRule="auto"/>
        <w:jc w:val="both"/>
      </w:pPr>
      <w:r w:rsidRPr="00367A3A">
        <w:rPr>
          <w:b/>
          <w:bCs/>
        </w:rPr>
        <w:t>Καραντέλου Σαββίνα</w:t>
      </w:r>
      <w:r w:rsidRPr="00367A3A">
        <w:t>, Μέλος Επιστημονικής Επιτροπής</w:t>
      </w:r>
    </w:p>
    <w:p w14:paraId="5E477F46" w14:textId="77777777" w:rsidR="002617A2" w:rsidRPr="00367A3A" w:rsidRDefault="002617A2" w:rsidP="002617A2">
      <w:pPr>
        <w:spacing w:line="240" w:lineRule="auto"/>
        <w:jc w:val="both"/>
      </w:pPr>
      <w:r w:rsidRPr="00367A3A">
        <w:rPr>
          <w:b/>
          <w:bCs/>
        </w:rPr>
        <w:t>Μάστακας Αθανάσιος</w:t>
      </w:r>
      <w:r w:rsidRPr="00367A3A">
        <w:t>, Μέλος Επιστημονικής Επιτροπής</w:t>
      </w:r>
    </w:p>
    <w:p w14:paraId="77EA7F70" w14:textId="77777777" w:rsidR="002617A2" w:rsidRPr="00367A3A" w:rsidRDefault="002617A2" w:rsidP="002617A2">
      <w:pPr>
        <w:spacing w:line="240" w:lineRule="auto"/>
        <w:jc w:val="both"/>
      </w:pPr>
      <w:r w:rsidRPr="00367A3A">
        <w:rPr>
          <w:b/>
          <w:bCs/>
        </w:rPr>
        <w:t>Μόκας Κυριαζής</w:t>
      </w:r>
      <w:r w:rsidRPr="00367A3A">
        <w:t>, Μέλος Επιστημονικής Επιτροπής</w:t>
      </w:r>
    </w:p>
    <w:p w14:paraId="7A27D1D0" w14:textId="77777777" w:rsidR="002617A2" w:rsidRPr="00367A3A" w:rsidRDefault="002617A2" w:rsidP="002617A2">
      <w:pPr>
        <w:spacing w:line="240" w:lineRule="auto"/>
        <w:jc w:val="both"/>
      </w:pPr>
      <w:r w:rsidRPr="00367A3A">
        <w:rPr>
          <w:b/>
          <w:bCs/>
        </w:rPr>
        <w:t>Παππά Όλγα</w:t>
      </w:r>
      <w:r w:rsidRPr="00367A3A">
        <w:t>, Μέλος Επιστημονικής Επιτροπής</w:t>
      </w:r>
    </w:p>
    <w:p w14:paraId="64A90894" w14:textId="77777777" w:rsidR="002617A2" w:rsidRPr="00367A3A" w:rsidRDefault="002617A2" w:rsidP="002617A2">
      <w:pPr>
        <w:spacing w:line="240" w:lineRule="auto"/>
        <w:jc w:val="both"/>
      </w:pPr>
      <w:r w:rsidRPr="00367A3A">
        <w:rPr>
          <w:b/>
          <w:bCs/>
        </w:rPr>
        <w:t>Πασχάλη Στυλιανή</w:t>
      </w:r>
      <w:r w:rsidRPr="00367A3A">
        <w:t>, Μέλος Επιστημονικής Επιτροπής</w:t>
      </w:r>
    </w:p>
    <w:p w14:paraId="43BB04E2" w14:textId="77777777" w:rsidR="002617A2" w:rsidRPr="00367A3A" w:rsidRDefault="002617A2" w:rsidP="002617A2">
      <w:pPr>
        <w:spacing w:line="240" w:lineRule="auto"/>
        <w:jc w:val="both"/>
      </w:pPr>
      <w:r w:rsidRPr="00367A3A">
        <w:rPr>
          <w:b/>
          <w:bCs/>
        </w:rPr>
        <w:t>Πήλιουρα Ελένη</w:t>
      </w:r>
      <w:r w:rsidRPr="00367A3A">
        <w:t>, Μέλος Επιστημονικής Επιτροπής </w:t>
      </w:r>
    </w:p>
    <w:p w14:paraId="78B73A40" w14:textId="77777777" w:rsidR="002617A2" w:rsidRPr="00367A3A" w:rsidRDefault="002617A2" w:rsidP="002617A2">
      <w:pPr>
        <w:spacing w:line="240" w:lineRule="auto"/>
        <w:jc w:val="both"/>
      </w:pPr>
      <w:r w:rsidRPr="00367A3A">
        <w:rPr>
          <w:b/>
          <w:bCs/>
        </w:rPr>
        <w:t>Πλατσατούρα Κωνσταντίνα-Μαρία</w:t>
      </w:r>
      <w:r w:rsidRPr="00367A3A">
        <w:t>, Μέλος Επιστημονικής Επιτροπής </w:t>
      </w:r>
    </w:p>
    <w:p w14:paraId="28429586" w14:textId="77777777" w:rsidR="002617A2" w:rsidRPr="00367A3A" w:rsidRDefault="002617A2" w:rsidP="002617A2">
      <w:pPr>
        <w:spacing w:line="240" w:lineRule="auto"/>
        <w:jc w:val="both"/>
      </w:pPr>
      <w:r w:rsidRPr="00367A3A">
        <w:rPr>
          <w:b/>
          <w:bCs/>
        </w:rPr>
        <w:t>Σταυρίδης Φώτιος</w:t>
      </w:r>
      <w:r w:rsidRPr="00367A3A">
        <w:t>, Μέλος Επιστημονικής Επιτροπής </w:t>
      </w:r>
    </w:p>
    <w:p w14:paraId="1D6EFB4A" w14:textId="77777777" w:rsidR="002617A2" w:rsidRPr="00367A3A" w:rsidRDefault="002617A2" w:rsidP="002617A2">
      <w:pPr>
        <w:spacing w:line="240" w:lineRule="auto"/>
        <w:jc w:val="both"/>
      </w:pPr>
      <w:r w:rsidRPr="00367A3A">
        <w:rPr>
          <w:b/>
          <w:bCs/>
        </w:rPr>
        <w:t>Χατζηαντώνη Ελένη</w:t>
      </w:r>
      <w:r w:rsidRPr="00367A3A">
        <w:t>, Μέλος Επιστημονικής Επιτροπής </w:t>
      </w:r>
    </w:p>
    <w:p w14:paraId="0D35E8BC" w14:textId="0B894FA8" w:rsidR="00367A3A" w:rsidRPr="00754D07" w:rsidRDefault="00367A3A" w:rsidP="00B649F5">
      <w:pPr>
        <w:spacing w:line="240" w:lineRule="auto"/>
        <w:jc w:val="both"/>
        <w:rPr>
          <w:color w:val="275317" w:themeColor="accent6" w:themeShade="80"/>
        </w:rPr>
      </w:pPr>
      <w:r w:rsidRPr="00367A3A">
        <w:br/>
      </w:r>
    </w:p>
    <w:p w14:paraId="0E373A27" w14:textId="77777777" w:rsidR="002617A2" w:rsidRDefault="002617A2" w:rsidP="00140659">
      <w:pPr>
        <w:jc w:val="both"/>
        <w:rPr>
          <w:b/>
          <w:bCs/>
          <w:color w:val="275317" w:themeColor="accent6" w:themeShade="80"/>
        </w:rPr>
      </w:pPr>
    </w:p>
    <w:p w14:paraId="67424E25" w14:textId="77777777" w:rsidR="002617A2" w:rsidRDefault="002617A2" w:rsidP="00140659">
      <w:pPr>
        <w:jc w:val="both"/>
        <w:rPr>
          <w:b/>
          <w:bCs/>
          <w:color w:val="275317" w:themeColor="accent6" w:themeShade="80"/>
        </w:rPr>
      </w:pPr>
    </w:p>
    <w:p w14:paraId="67F5E1F6" w14:textId="77777777" w:rsidR="002617A2" w:rsidRDefault="002617A2" w:rsidP="00140659">
      <w:pPr>
        <w:jc w:val="both"/>
        <w:rPr>
          <w:b/>
          <w:bCs/>
          <w:color w:val="275317" w:themeColor="accent6" w:themeShade="80"/>
        </w:rPr>
      </w:pPr>
    </w:p>
    <w:p w14:paraId="63BDE3D2" w14:textId="77777777" w:rsidR="002617A2" w:rsidRDefault="002617A2" w:rsidP="00140659">
      <w:pPr>
        <w:jc w:val="both"/>
        <w:rPr>
          <w:b/>
          <w:bCs/>
          <w:color w:val="275317" w:themeColor="accent6" w:themeShade="80"/>
        </w:rPr>
      </w:pPr>
    </w:p>
    <w:p w14:paraId="6E616D80" w14:textId="77777777" w:rsidR="002617A2" w:rsidRDefault="002617A2" w:rsidP="00140659">
      <w:pPr>
        <w:jc w:val="both"/>
        <w:rPr>
          <w:b/>
          <w:bCs/>
          <w:color w:val="275317" w:themeColor="accent6" w:themeShade="80"/>
        </w:rPr>
      </w:pPr>
    </w:p>
    <w:p w14:paraId="18DAFB40" w14:textId="06D9D8DE" w:rsidR="00B649F5" w:rsidRPr="00382DF1" w:rsidRDefault="007F3237" w:rsidP="00140659">
      <w:pPr>
        <w:jc w:val="both"/>
        <w:rPr>
          <w:b/>
          <w:bCs/>
          <w:lang w:val="en-US"/>
        </w:rPr>
      </w:pPr>
      <w:r w:rsidRPr="007F3237">
        <w:rPr>
          <w:b/>
          <w:bCs/>
          <w:color w:val="275317" w:themeColor="accent6" w:themeShade="80"/>
        </w:rPr>
        <w:lastRenderedPageBreak/>
        <w:t>ΠΕΡΙΕΧΟΜΕΝΑ</w:t>
      </w:r>
      <w:r w:rsidR="00BB7453" w:rsidRPr="00382DF1">
        <w:rPr>
          <w:b/>
          <w:bCs/>
          <w:color w:val="275317" w:themeColor="accent6" w:themeShade="80"/>
          <w:lang w:val="en-US"/>
        </w:rPr>
        <w:t>/</w:t>
      </w:r>
      <w:r w:rsidR="00BB7453">
        <w:rPr>
          <w:b/>
          <w:bCs/>
          <w:color w:val="275317" w:themeColor="accent6" w:themeShade="80"/>
          <w:lang w:val="en-GB"/>
        </w:rPr>
        <w:t>TABLE</w:t>
      </w:r>
      <w:r w:rsidR="00BB7453" w:rsidRPr="00382DF1">
        <w:rPr>
          <w:b/>
          <w:bCs/>
          <w:color w:val="275317" w:themeColor="accent6" w:themeShade="80"/>
          <w:lang w:val="en-US"/>
        </w:rPr>
        <w:t xml:space="preserve"> </w:t>
      </w:r>
      <w:r w:rsidR="00BB7453">
        <w:rPr>
          <w:b/>
          <w:bCs/>
          <w:color w:val="275317" w:themeColor="accent6" w:themeShade="80"/>
          <w:lang w:val="en-GB"/>
        </w:rPr>
        <w:t>OF</w:t>
      </w:r>
      <w:r w:rsidR="00BB7453" w:rsidRPr="00382DF1">
        <w:rPr>
          <w:b/>
          <w:bCs/>
          <w:color w:val="275317" w:themeColor="accent6" w:themeShade="80"/>
          <w:lang w:val="en-US"/>
        </w:rPr>
        <w:t xml:space="preserve"> </w:t>
      </w:r>
      <w:r w:rsidR="00BB7453">
        <w:rPr>
          <w:b/>
          <w:bCs/>
          <w:color w:val="275317" w:themeColor="accent6" w:themeShade="80"/>
          <w:lang w:val="en-GB"/>
        </w:rPr>
        <w:t>CONTENTS</w:t>
      </w:r>
    </w:p>
    <w:p w14:paraId="47176F05" w14:textId="17C56D25" w:rsidR="007F3237" w:rsidRPr="00382DF1" w:rsidRDefault="007F3237" w:rsidP="00140659">
      <w:pPr>
        <w:jc w:val="both"/>
        <w:rPr>
          <w:b/>
          <w:bCs/>
          <w:lang w:val="en-US"/>
        </w:rPr>
      </w:pPr>
      <w:r>
        <w:rPr>
          <w:b/>
          <w:bCs/>
        </w:rPr>
        <w:t>Περιεχόμενα</w:t>
      </w:r>
      <w:r w:rsidR="00BB7453" w:rsidRPr="00382DF1">
        <w:rPr>
          <w:b/>
          <w:bCs/>
          <w:lang w:val="en-US"/>
        </w:rPr>
        <w:t>/</w:t>
      </w:r>
      <w:r w:rsidR="00BB7453">
        <w:rPr>
          <w:b/>
          <w:bCs/>
          <w:lang w:val="en-GB"/>
        </w:rPr>
        <w:t>Table</w:t>
      </w:r>
      <w:r w:rsidR="00BB7453" w:rsidRPr="00382DF1">
        <w:rPr>
          <w:b/>
          <w:bCs/>
          <w:lang w:val="en-US"/>
        </w:rPr>
        <w:t xml:space="preserve"> </w:t>
      </w:r>
      <w:r w:rsidR="00BB7453">
        <w:rPr>
          <w:b/>
          <w:bCs/>
          <w:lang w:val="en-GB"/>
        </w:rPr>
        <w:t>of</w:t>
      </w:r>
      <w:r w:rsidR="00BB7453" w:rsidRPr="00382DF1">
        <w:rPr>
          <w:b/>
          <w:bCs/>
          <w:lang w:val="en-US"/>
        </w:rPr>
        <w:t xml:space="preserve"> </w:t>
      </w:r>
      <w:r w:rsidR="00BB7453">
        <w:rPr>
          <w:b/>
          <w:bCs/>
          <w:lang w:val="en-GB"/>
        </w:rPr>
        <w:t>Contents</w:t>
      </w:r>
      <w:r w:rsidRPr="00382DF1">
        <w:rPr>
          <w:b/>
          <w:bCs/>
          <w:lang w:val="en-US"/>
        </w:rPr>
        <w:t>………………………………………………………………………………..4</w:t>
      </w:r>
    </w:p>
    <w:p w14:paraId="75542077" w14:textId="3338AD50" w:rsidR="005238D8" w:rsidRPr="00140659" w:rsidRDefault="00730E67" w:rsidP="00140659">
      <w:pPr>
        <w:jc w:val="both"/>
        <w:rPr>
          <w:b/>
          <w:bCs/>
        </w:rPr>
      </w:pPr>
      <w:r>
        <w:rPr>
          <w:b/>
          <w:bCs/>
        </w:rPr>
        <w:t>ΕΛΕΥΘΕΡΕΣ ΑΝΑΚΟΙΝΩΣΕΙΣ</w:t>
      </w:r>
      <w:r w:rsidR="00014E7D" w:rsidRPr="00140659">
        <w:rPr>
          <w:b/>
          <w:bCs/>
        </w:rPr>
        <w:t xml:space="preserve"> </w:t>
      </w:r>
      <w:r w:rsidR="005238D8" w:rsidRPr="005238D8">
        <w:rPr>
          <w:b/>
          <w:bCs/>
        </w:rPr>
        <w:t>……………………………………………………………………………………1</w:t>
      </w:r>
      <w:r w:rsidR="00666518" w:rsidRPr="00140659">
        <w:rPr>
          <w:b/>
          <w:bCs/>
        </w:rPr>
        <w:t>2</w:t>
      </w:r>
    </w:p>
    <w:p w14:paraId="6DE8C197" w14:textId="5361BC1E" w:rsidR="007F3237" w:rsidRPr="00140659" w:rsidRDefault="007F3237" w:rsidP="00140659">
      <w:pPr>
        <w:jc w:val="both"/>
        <w:rPr>
          <w:b/>
          <w:bCs/>
        </w:rPr>
      </w:pPr>
      <w:r>
        <w:rPr>
          <w:b/>
          <w:bCs/>
        </w:rPr>
        <w:t>ΟΡΘΟΠΑΙΔΙΚΗ………………………………………………………………………………………………………</w:t>
      </w:r>
      <w:r w:rsidR="005238D8" w:rsidRPr="005238D8">
        <w:rPr>
          <w:b/>
          <w:bCs/>
        </w:rPr>
        <w:t>1</w:t>
      </w:r>
      <w:r w:rsidR="00666518" w:rsidRPr="00140659">
        <w:rPr>
          <w:b/>
          <w:bCs/>
        </w:rPr>
        <w:t>2</w:t>
      </w:r>
    </w:p>
    <w:p w14:paraId="30450798" w14:textId="663FC1A4" w:rsidR="007F3237" w:rsidRPr="00666518" w:rsidRDefault="007F3237" w:rsidP="00140659">
      <w:pPr>
        <w:jc w:val="both"/>
        <w:rPr>
          <w:b/>
          <w:bCs/>
        </w:rPr>
      </w:pPr>
      <w:r w:rsidRPr="00754D07">
        <w:rPr>
          <w:b/>
          <w:bCs/>
        </w:rPr>
        <w:t>Ιδιαιτερότητες της γάτας στην Ορθοπαιδική. Γιατί δεν είναι μικρόσωμοι σκύλοι</w:t>
      </w:r>
      <w:r w:rsidR="005238D8">
        <w:rPr>
          <w:b/>
          <w:bCs/>
        </w:rPr>
        <w:t>…</w:t>
      </w:r>
      <w:r w:rsidR="005238D8" w:rsidRPr="005238D8">
        <w:rPr>
          <w:b/>
          <w:bCs/>
        </w:rPr>
        <w:t>……………1</w:t>
      </w:r>
      <w:r w:rsidR="00666518" w:rsidRPr="00666518">
        <w:rPr>
          <w:b/>
          <w:bCs/>
        </w:rPr>
        <w:t>2</w:t>
      </w:r>
    </w:p>
    <w:p w14:paraId="606C13E3" w14:textId="41918C5D" w:rsidR="00BB7453" w:rsidRPr="00666518" w:rsidRDefault="00BB7453" w:rsidP="00140659">
      <w:pPr>
        <w:jc w:val="both"/>
      </w:pPr>
      <w:r w:rsidRPr="00754D07">
        <w:rPr>
          <w:b/>
          <w:bCs/>
        </w:rPr>
        <w:t>Η χρήση των μεσεγχυματικών κυττάρων στην αποκατάσταση καταγμάτων στα Ζώα Συντροφιάς</w:t>
      </w:r>
      <w:r w:rsidR="005238D8">
        <w:rPr>
          <w:b/>
          <w:bCs/>
        </w:rPr>
        <w:t>…</w:t>
      </w:r>
      <w:r w:rsidR="005238D8" w:rsidRPr="005238D8">
        <w:rPr>
          <w:b/>
          <w:bCs/>
        </w:rPr>
        <w:t>………………………………………………………………………………………………………..1</w:t>
      </w:r>
      <w:r w:rsidR="00666518" w:rsidRPr="00666518">
        <w:rPr>
          <w:b/>
          <w:bCs/>
        </w:rPr>
        <w:t>3</w:t>
      </w:r>
    </w:p>
    <w:p w14:paraId="5D91B965" w14:textId="539472B6" w:rsidR="00BB7453" w:rsidRPr="00666518" w:rsidRDefault="00BB7453" w:rsidP="00140659">
      <w:pPr>
        <w:jc w:val="both"/>
      </w:pPr>
      <w:r w:rsidRPr="00754D07">
        <w:rPr>
          <w:b/>
          <w:bCs/>
        </w:rPr>
        <w:t>Χειρουργική Αντιμετώπιση της Ρήξης του Πρόσθιου Χιαστού Συνδέσμου στον Σκύλο: Ανασκόπηση και Σύγκριση των Σύγχρονων Τεχνικών</w:t>
      </w:r>
      <w:r w:rsidR="005238D8">
        <w:rPr>
          <w:b/>
          <w:bCs/>
        </w:rPr>
        <w:t>…</w:t>
      </w:r>
      <w:r w:rsidR="005238D8" w:rsidRPr="005238D8">
        <w:rPr>
          <w:b/>
          <w:bCs/>
        </w:rPr>
        <w:t>……………………………………………</w:t>
      </w:r>
      <w:r w:rsidR="00513778">
        <w:rPr>
          <w:b/>
          <w:bCs/>
        </w:rPr>
        <w:t>…</w:t>
      </w:r>
      <w:r w:rsidR="00513778" w:rsidRPr="00513778">
        <w:rPr>
          <w:b/>
          <w:bCs/>
        </w:rPr>
        <w:t>.</w:t>
      </w:r>
      <w:r w:rsidR="005238D8" w:rsidRPr="005238D8">
        <w:rPr>
          <w:b/>
          <w:bCs/>
        </w:rPr>
        <w:t>.1</w:t>
      </w:r>
      <w:r w:rsidR="00666518" w:rsidRPr="00666518">
        <w:rPr>
          <w:b/>
          <w:bCs/>
        </w:rPr>
        <w:t>5</w:t>
      </w:r>
    </w:p>
    <w:p w14:paraId="2FC15F6F" w14:textId="36ED6172" w:rsidR="00BB7453" w:rsidRPr="00666518" w:rsidRDefault="00BB7453" w:rsidP="00140659">
      <w:pPr>
        <w:jc w:val="both"/>
      </w:pPr>
      <w:r w:rsidRPr="00BB7453">
        <w:rPr>
          <w:b/>
          <w:bCs/>
        </w:rPr>
        <w:t>Επιπλοκές που σχετίζονται με την Εφαρμογή της Οστεοτομίας Εξισορρόπησης του Κνημιαίου Πλατώ στην Αντιμετώπιση της Ρήξης του Πρόσθιου Χιαστού Συνδέσμου στον Σκύλο</w:t>
      </w:r>
      <w:r w:rsidR="00513778">
        <w:rPr>
          <w:b/>
          <w:bCs/>
        </w:rPr>
        <w:t>…</w:t>
      </w:r>
      <w:r w:rsidR="00513778" w:rsidRPr="00513778">
        <w:rPr>
          <w:b/>
          <w:bCs/>
        </w:rPr>
        <w:t>…….1</w:t>
      </w:r>
      <w:r w:rsidR="00666518" w:rsidRPr="00666518">
        <w:rPr>
          <w:b/>
          <w:bCs/>
        </w:rPr>
        <w:t>6</w:t>
      </w:r>
    </w:p>
    <w:p w14:paraId="75000444" w14:textId="27DE8632" w:rsidR="00BB7453" w:rsidRPr="00666518" w:rsidRDefault="00BB7453" w:rsidP="00140659">
      <w:pPr>
        <w:jc w:val="both"/>
      </w:pPr>
      <w:r w:rsidRPr="00754D07">
        <w:rPr>
          <w:b/>
          <w:bCs/>
        </w:rPr>
        <w:t>Η Νευρομυϊκή Διάσταση της Ρήξης του Πρόσθιου Χιαστού Συνδέσμου στον Σκύλο: Από τη Μηχανική Σταθερότητα στη Λειτουργική Αποκατάσταση</w:t>
      </w:r>
      <w:r w:rsidR="00513778" w:rsidRPr="00513778">
        <w:rPr>
          <w:b/>
          <w:bCs/>
        </w:rPr>
        <w:t>…………………………………………</w:t>
      </w:r>
      <w:r w:rsidR="00513778">
        <w:rPr>
          <w:b/>
          <w:bCs/>
        </w:rPr>
        <w:t>……</w:t>
      </w:r>
      <w:r w:rsidR="00513778" w:rsidRPr="00513778">
        <w:rPr>
          <w:b/>
          <w:bCs/>
        </w:rPr>
        <w:t>1</w:t>
      </w:r>
      <w:r w:rsidR="00666518" w:rsidRPr="00666518">
        <w:rPr>
          <w:b/>
          <w:bCs/>
        </w:rPr>
        <w:t>8</w:t>
      </w:r>
    </w:p>
    <w:p w14:paraId="1CF80100" w14:textId="07514419" w:rsidR="007F3237" w:rsidRPr="00666518" w:rsidRDefault="00BB7453" w:rsidP="00140659">
      <w:pPr>
        <w:jc w:val="both"/>
        <w:rPr>
          <w:b/>
          <w:bCs/>
        </w:rPr>
      </w:pPr>
      <w:r>
        <w:rPr>
          <w:b/>
          <w:bCs/>
        </w:rPr>
        <w:t>ΕΣΩΤΕΡΙΚΗ ΠΑΘΟΛΟΓΙΑ &amp; ΠΑΘΟΛΟΓΙΚΗ ΑΝΑΤΟΜΙΚΗ</w:t>
      </w:r>
      <w:r w:rsidR="00513778" w:rsidRPr="00513778">
        <w:rPr>
          <w:b/>
          <w:bCs/>
        </w:rPr>
        <w:t>………………………………………………..1</w:t>
      </w:r>
      <w:r w:rsidR="00666518" w:rsidRPr="00666518">
        <w:rPr>
          <w:b/>
          <w:bCs/>
        </w:rPr>
        <w:t>8</w:t>
      </w:r>
    </w:p>
    <w:p w14:paraId="1CB0AB94" w14:textId="3A70D64C" w:rsidR="00BB7453" w:rsidRPr="00666518" w:rsidRDefault="00BB7453" w:rsidP="00140659">
      <w:pPr>
        <w:jc w:val="both"/>
      </w:pPr>
      <w:r w:rsidRPr="00754D07">
        <w:rPr>
          <w:b/>
          <w:bCs/>
        </w:rPr>
        <w:t>Η Νευρομυϊκή Διάσταση της Ρήξης του Πρόσθιου Χιαστού Συνδέσμου στον Σκύλο: Από τη Μηχανική Σταθερότητα στη Λειτουργική Αποκατάσταση</w:t>
      </w:r>
      <w:r w:rsidR="00513778" w:rsidRPr="00513778">
        <w:rPr>
          <w:b/>
          <w:bCs/>
        </w:rPr>
        <w:t>………………………………………</w:t>
      </w:r>
      <w:r w:rsidR="00513778">
        <w:rPr>
          <w:b/>
          <w:bCs/>
        </w:rPr>
        <w:t>………</w:t>
      </w:r>
      <w:r w:rsidR="00666518" w:rsidRPr="00666518">
        <w:rPr>
          <w:b/>
          <w:bCs/>
        </w:rPr>
        <w:t>20</w:t>
      </w:r>
    </w:p>
    <w:p w14:paraId="1D771190" w14:textId="347AF24F" w:rsidR="00BB7453" w:rsidRPr="00666518" w:rsidRDefault="00BB7453" w:rsidP="00140659">
      <w:pPr>
        <w:jc w:val="both"/>
      </w:pPr>
      <w:r w:rsidRPr="00DD6477">
        <w:rPr>
          <w:b/>
          <w:bCs/>
        </w:rPr>
        <w:t>Εντεροπάθεια με Απώλεια Πρωτεϊνών: Παθοφυσιολογία, Διάγνωση και Κλινική Διαχείριση</w:t>
      </w:r>
      <w:r w:rsidR="00014E7D" w:rsidRPr="00014E7D">
        <w:rPr>
          <w:b/>
          <w:bCs/>
        </w:rPr>
        <w:t xml:space="preserve"> </w:t>
      </w:r>
      <w:r w:rsidR="00014E7D">
        <w:rPr>
          <w:b/>
          <w:bCs/>
        </w:rPr>
        <w:t>………………</w:t>
      </w:r>
      <w:r w:rsidR="00513778" w:rsidRPr="00513778">
        <w:rPr>
          <w:b/>
          <w:bCs/>
        </w:rPr>
        <w:t>……………………………………………………………………………………………………………2</w:t>
      </w:r>
      <w:r w:rsidR="00666518" w:rsidRPr="00666518">
        <w:rPr>
          <w:b/>
          <w:bCs/>
        </w:rPr>
        <w:t>2</w:t>
      </w:r>
    </w:p>
    <w:p w14:paraId="45F2FDE6" w14:textId="6BAE9FA2" w:rsidR="00BB7453" w:rsidRPr="00666518" w:rsidRDefault="00BB7453" w:rsidP="00140659">
      <w:pPr>
        <w:jc w:val="both"/>
      </w:pPr>
      <w:r w:rsidRPr="00DD6477">
        <w:rPr>
          <w:b/>
          <w:bCs/>
        </w:rPr>
        <w:t>Από τον υπερφλοιοεπινεφριδισμό στον υπεραλδοστερονισμό: μία σπάνια επιπλοκή της αγωγής με τριλοστάνη</w:t>
      </w:r>
      <w:r w:rsidR="00014E7D" w:rsidRPr="00014E7D">
        <w:rPr>
          <w:b/>
          <w:bCs/>
        </w:rPr>
        <w:t xml:space="preserve"> </w:t>
      </w:r>
      <w:r w:rsidR="00513778" w:rsidRPr="00513778">
        <w:rPr>
          <w:b/>
          <w:bCs/>
        </w:rPr>
        <w:t>……………………………………………………………………………………………2</w:t>
      </w:r>
      <w:r w:rsidR="00666518" w:rsidRPr="00666518">
        <w:rPr>
          <w:b/>
          <w:bCs/>
        </w:rPr>
        <w:t>4</w:t>
      </w:r>
    </w:p>
    <w:p w14:paraId="55F9DD77" w14:textId="7A1A0195" w:rsidR="00BB7453" w:rsidRPr="00666518" w:rsidRDefault="00BB7453" w:rsidP="00140659">
      <w:pPr>
        <w:jc w:val="both"/>
      </w:pPr>
      <w:r w:rsidRPr="00BB7453">
        <w:rPr>
          <w:b/>
          <w:bCs/>
        </w:rPr>
        <w:t>Δισκοειδής ερυθηματώδης λύκος στον σκύλο: Ανάλυση περιστατικού</w:t>
      </w:r>
      <w:r w:rsidR="00513778" w:rsidRPr="00513778">
        <w:rPr>
          <w:b/>
          <w:bCs/>
        </w:rPr>
        <w:t>………………………</w:t>
      </w:r>
      <w:r w:rsidR="00513778">
        <w:rPr>
          <w:b/>
          <w:bCs/>
        </w:rPr>
        <w:t>…</w:t>
      </w:r>
      <w:r w:rsidR="00513778" w:rsidRPr="00513778">
        <w:rPr>
          <w:b/>
          <w:bCs/>
        </w:rPr>
        <w:t>..2</w:t>
      </w:r>
      <w:r w:rsidR="00666518" w:rsidRPr="00666518">
        <w:rPr>
          <w:b/>
          <w:bCs/>
        </w:rPr>
        <w:t>6</w:t>
      </w:r>
    </w:p>
    <w:p w14:paraId="5F447F2F" w14:textId="03C01087" w:rsidR="00BB7453" w:rsidRPr="00666518" w:rsidRDefault="00BB7453" w:rsidP="00140659">
      <w:pPr>
        <w:jc w:val="both"/>
      </w:pPr>
      <w:r w:rsidRPr="00BB7453">
        <w:rPr>
          <w:b/>
          <w:bCs/>
        </w:rPr>
        <w:t>Βρογχικό άσθμα: Περιστατικό σε γάτα</w:t>
      </w:r>
      <w:r w:rsidR="00513778" w:rsidRPr="00513778">
        <w:rPr>
          <w:b/>
          <w:bCs/>
        </w:rPr>
        <w:t>……………………………………………………………………</w:t>
      </w:r>
      <w:r w:rsidR="00513778">
        <w:rPr>
          <w:b/>
          <w:bCs/>
        </w:rPr>
        <w:t>…</w:t>
      </w:r>
      <w:r w:rsidR="00513778" w:rsidRPr="00513778">
        <w:rPr>
          <w:b/>
          <w:bCs/>
        </w:rPr>
        <w:t>2</w:t>
      </w:r>
      <w:r w:rsidR="00666518" w:rsidRPr="00666518">
        <w:rPr>
          <w:b/>
          <w:bCs/>
        </w:rPr>
        <w:t>8</w:t>
      </w:r>
    </w:p>
    <w:p w14:paraId="0772CF2A" w14:textId="6D14075E" w:rsidR="00BB7453" w:rsidRPr="00666518" w:rsidRDefault="00BB7453" w:rsidP="00140659">
      <w:pPr>
        <w:jc w:val="both"/>
        <w:rPr>
          <w:b/>
          <w:bCs/>
        </w:rPr>
      </w:pPr>
      <w:r w:rsidRPr="00DD6477">
        <w:rPr>
          <w:b/>
          <w:bCs/>
        </w:rPr>
        <w:t>Η διαγνωστική αξία της βιοψίας και ιστοπαθολογίας του ήπατος στο σκύλο</w:t>
      </w:r>
      <w:r w:rsidR="00513778" w:rsidRPr="00513778">
        <w:rPr>
          <w:b/>
          <w:bCs/>
        </w:rPr>
        <w:t>……………</w:t>
      </w:r>
      <w:r w:rsidR="00513778">
        <w:rPr>
          <w:b/>
          <w:bCs/>
        </w:rPr>
        <w:t>………</w:t>
      </w:r>
      <w:r w:rsidR="00513778" w:rsidRPr="00513778">
        <w:rPr>
          <w:b/>
          <w:bCs/>
        </w:rPr>
        <w:t>.</w:t>
      </w:r>
      <w:r w:rsidR="00666518" w:rsidRPr="00666518">
        <w:rPr>
          <w:b/>
          <w:bCs/>
        </w:rPr>
        <w:t>30</w:t>
      </w:r>
    </w:p>
    <w:p w14:paraId="33E57374" w14:textId="6AA04307" w:rsidR="00BB7453" w:rsidRPr="00666518" w:rsidRDefault="00BB7453" w:rsidP="00140659">
      <w:pPr>
        <w:jc w:val="both"/>
      </w:pPr>
      <w:r>
        <w:rPr>
          <w:b/>
          <w:bCs/>
        </w:rPr>
        <w:t>ΟΔΟΝΤΙΑΤΡΙΚΗ, ΧΕΙΡΟΥΡΓΙΚΗ ΜΑΛΑΚΩΝ ΙΣΤΩΝ &amp; ΟΦΘΑΛΜΟΛΟΓΙΑ</w:t>
      </w:r>
      <w:r w:rsidR="00A837B5" w:rsidRPr="00A837B5">
        <w:rPr>
          <w:b/>
          <w:bCs/>
        </w:rPr>
        <w:t>…………………………</w:t>
      </w:r>
      <w:r w:rsidR="00A837B5">
        <w:rPr>
          <w:b/>
          <w:bCs/>
        </w:rPr>
        <w:t>…</w:t>
      </w:r>
      <w:r w:rsidR="00A837B5" w:rsidRPr="00A837B5">
        <w:rPr>
          <w:b/>
          <w:bCs/>
        </w:rPr>
        <w:t>.3</w:t>
      </w:r>
      <w:r w:rsidR="00666518" w:rsidRPr="00666518">
        <w:rPr>
          <w:b/>
          <w:bCs/>
        </w:rPr>
        <w:t>2</w:t>
      </w:r>
    </w:p>
    <w:p w14:paraId="4DA42306" w14:textId="0B8845DD" w:rsidR="00BB7453" w:rsidRPr="00666518" w:rsidRDefault="00BB7453" w:rsidP="00140659">
      <w:pPr>
        <w:jc w:val="both"/>
      </w:pPr>
      <w:r w:rsidRPr="0079315E">
        <w:rPr>
          <w:b/>
          <w:bCs/>
        </w:rPr>
        <w:t>Συγγενείς ανωμαλίες της στοματικής κοιλότητας και των γνάθων στον σκύλο και τη γάτα</w:t>
      </w:r>
      <w:r w:rsidR="00A837B5">
        <w:rPr>
          <w:b/>
          <w:bCs/>
        </w:rPr>
        <w:t>…</w:t>
      </w:r>
      <w:r w:rsidR="00A837B5" w:rsidRPr="00A837B5">
        <w:rPr>
          <w:b/>
          <w:bCs/>
        </w:rPr>
        <w:t>.3</w:t>
      </w:r>
      <w:r w:rsidR="00666518" w:rsidRPr="00666518">
        <w:rPr>
          <w:b/>
          <w:bCs/>
        </w:rPr>
        <w:t>2</w:t>
      </w:r>
    </w:p>
    <w:p w14:paraId="3A14CE8F" w14:textId="6CB2B9C6" w:rsidR="00BB7453" w:rsidRPr="00666518" w:rsidRDefault="00BB7453" w:rsidP="00140659">
      <w:pPr>
        <w:jc w:val="both"/>
      </w:pPr>
      <w:r w:rsidRPr="0079315E">
        <w:rPr>
          <w:b/>
          <w:bCs/>
        </w:rPr>
        <w:t>Βλεννοκήλη της Χοληδόχου Κύστης: Αναδρομική Μελέτη Κλινικών Περιστατικών</w:t>
      </w:r>
      <w:r w:rsidR="00A837B5">
        <w:rPr>
          <w:b/>
          <w:bCs/>
        </w:rPr>
        <w:t>……</w:t>
      </w:r>
      <w:r w:rsidR="00A837B5" w:rsidRPr="00A837B5">
        <w:rPr>
          <w:b/>
          <w:bCs/>
        </w:rPr>
        <w:t>…</w:t>
      </w:r>
      <w:r w:rsidR="00A837B5">
        <w:rPr>
          <w:b/>
          <w:bCs/>
        </w:rPr>
        <w:t>……</w:t>
      </w:r>
      <w:r w:rsidR="00A837B5" w:rsidRPr="00A837B5">
        <w:rPr>
          <w:b/>
          <w:bCs/>
        </w:rPr>
        <w:t>3</w:t>
      </w:r>
      <w:r w:rsidR="00666518" w:rsidRPr="00666518">
        <w:rPr>
          <w:b/>
          <w:bCs/>
        </w:rPr>
        <w:t>4</w:t>
      </w:r>
    </w:p>
    <w:p w14:paraId="2A952161" w14:textId="216D023E" w:rsidR="00BB7453" w:rsidRPr="00666518" w:rsidRDefault="00BB7453" w:rsidP="00140659">
      <w:pPr>
        <w:jc w:val="both"/>
      </w:pPr>
      <w:r w:rsidRPr="0079315E">
        <w:rPr>
          <w:b/>
          <w:bCs/>
        </w:rPr>
        <w:t>Πρωκτοπλαστική για αφαίρεση αδενικαρκινώματος περιπρωκτικού θυλάκου σε σκύλο</w:t>
      </w:r>
      <w:r w:rsidR="00A837B5">
        <w:rPr>
          <w:b/>
          <w:bCs/>
        </w:rPr>
        <w:t>…</w:t>
      </w:r>
      <w:r w:rsidR="00A837B5" w:rsidRPr="00A837B5">
        <w:rPr>
          <w:b/>
          <w:bCs/>
        </w:rPr>
        <w:t>.3</w:t>
      </w:r>
      <w:r w:rsidR="00666518" w:rsidRPr="00666518">
        <w:rPr>
          <w:b/>
          <w:bCs/>
        </w:rPr>
        <w:t>5</w:t>
      </w:r>
    </w:p>
    <w:p w14:paraId="29B32D43" w14:textId="6CE2C8C4" w:rsidR="00BB7453" w:rsidRPr="00666518" w:rsidRDefault="00BB7453" w:rsidP="00140659">
      <w:pPr>
        <w:jc w:val="both"/>
      </w:pPr>
      <w:r w:rsidRPr="00BB7453">
        <w:rPr>
          <w:b/>
          <w:bCs/>
        </w:rPr>
        <w:t>Χειρουργική Εξαίρεση Οστεοσαρκώματος των Πλευρών σε Σκύλο: Χειρουργικές Τεχνικές και Παρουσίαση Περιστατικού</w:t>
      </w:r>
      <w:r w:rsidR="00A837B5" w:rsidRPr="00A837B5">
        <w:rPr>
          <w:b/>
          <w:bCs/>
        </w:rPr>
        <w:t>………………………………………………………………………………</w:t>
      </w:r>
      <w:r w:rsidR="00A837B5">
        <w:rPr>
          <w:b/>
          <w:bCs/>
        </w:rPr>
        <w:t>…</w:t>
      </w:r>
      <w:r w:rsidR="00A837B5" w:rsidRPr="00A837B5">
        <w:rPr>
          <w:b/>
          <w:bCs/>
        </w:rPr>
        <w:t>3</w:t>
      </w:r>
      <w:r w:rsidR="00666518" w:rsidRPr="00666518">
        <w:rPr>
          <w:b/>
          <w:bCs/>
        </w:rPr>
        <w:t>7</w:t>
      </w:r>
    </w:p>
    <w:p w14:paraId="68CFF261" w14:textId="62F0E4F7" w:rsidR="00BB7453" w:rsidRPr="00666518" w:rsidRDefault="00BB7453" w:rsidP="00140659">
      <w:pPr>
        <w:jc w:val="both"/>
      </w:pPr>
      <w:r w:rsidRPr="0079315E">
        <w:rPr>
          <w:b/>
          <w:bCs/>
        </w:rPr>
        <w:t>Αποκλίνων εξόφθαλμος και καταρράκτης σε σκύλο</w:t>
      </w:r>
      <w:r w:rsidR="00666518">
        <w:rPr>
          <w:b/>
          <w:bCs/>
        </w:rPr>
        <w:t>…</w:t>
      </w:r>
      <w:r w:rsidR="00666518" w:rsidRPr="00666518">
        <w:rPr>
          <w:b/>
          <w:bCs/>
        </w:rPr>
        <w:t>………………………………………………….38</w:t>
      </w:r>
    </w:p>
    <w:p w14:paraId="114D87B2" w14:textId="6F94083B" w:rsidR="007F3237" w:rsidRPr="00666518" w:rsidRDefault="00BB7453" w:rsidP="00140659">
      <w:pPr>
        <w:jc w:val="both"/>
        <w:rPr>
          <w:b/>
          <w:bCs/>
        </w:rPr>
      </w:pPr>
      <w:r>
        <w:rPr>
          <w:b/>
          <w:bCs/>
        </w:rPr>
        <w:t>ΖΩΑ ΕΡΓΑΣΤΗΡΙΟΥ &amp; ΙΧΘΥΟΛΟΓΙΑ</w:t>
      </w:r>
      <w:r w:rsidR="00666518">
        <w:rPr>
          <w:b/>
          <w:bCs/>
        </w:rPr>
        <w:t>…</w:t>
      </w:r>
      <w:r w:rsidR="00666518" w:rsidRPr="00666518">
        <w:rPr>
          <w:b/>
          <w:bCs/>
        </w:rPr>
        <w:t>………………………………………………………………………….40</w:t>
      </w:r>
    </w:p>
    <w:p w14:paraId="128B2158" w14:textId="0DE6F8F7" w:rsidR="00BB7453" w:rsidRPr="00666518" w:rsidRDefault="00BB7453" w:rsidP="00140659">
      <w:pPr>
        <w:jc w:val="both"/>
      </w:pPr>
      <w:r w:rsidRPr="0079315E">
        <w:rPr>
          <w:b/>
          <w:bCs/>
        </w:rPr>
        <w:t>Η Νευροεπιστήμη του Καρκίνου: Ένα Αναδυόμενο Ερευνητικό Πεδίο</w:t>
      </w:r>
      <w:r w:rsidR="00666518" w:rsidRPr="00666518">
        <w:rPr>
          <w:b/>
          <w:bCs/>
        </w:rPr>
        <w:t>…………………………….40</w:t>
      </w:r>
    </w:p>
    <w:p w14:paraId="341001B6" w14:textId="4C7A93B5" w:rsidR="00BB7453" w:rsidRPr="00666518" w:rsidRDefault="00BB7453" w:rsidP="00140659">
      <w:pPr>
        <w:jc w:val="both"/>
      </w:pPr>
      <w:r w:rsidRPr="0079315E">
        <w:rPr>
          <w:b/>
          <w:bCs/>
        </w:rPr>
        <w:t>Ο Κόνικλος ως Ζωικό Πρότυπο, το Εντερικό του Μικροβίωμα και η Σημασία του στην Ορθή Έκβαση των Πειραμάτων</w:t>
      </w:r>
      <w:r w:rsidR="00666518" w:rsidRPr="00666518">
        <w:rPr>
          <w:b/>
          <w:bCs/>
        </w:rPr>
        <w:t>………………………………………………………………………………………..42</w:t>
      </w:r>
    </w:p>
    <w:p w14:paraId="5D5C184C" w14:textId="214AB302" w:rsidR="00BB7453" w:rsidRPr="00666518" w:rsidRDefault="00BB7453" w:rsidP="00140659">
      <w:pPr>
        <w:jc w:val="both"/>
      </w:pPr>
      <w:r w:rsidRPr="0079315E">
        <w:rPr>
          <w:b/>
          <w:bCs/>
        </w:rPr>
        <w:lastRenderedPageBreak/>
        <w:t>Επίδραση του Φύλου των Ζώων Εργαστηρίου στην Έκβαση του Πειράματος</w:t>
      </w:r>
      <w:r w:rsidR="00666518" w:rsidRPr="00666518">
        <w:rPr>
          <w:b/>
          <w:bCs/>
        </w:rPr>
        <w:t>…………………..45</w:t>
      </w:r>
    </w:p>
    <w:p w14:paraId="4414EEE6" w14:textId="555952B9" w:rsidR="007F0467" w:rsidRPr="00666518" w:rsidRDefault="007F0467" w:rsidP="00140659">
      <w:pPr>
        <w:jc w:val="both"/>
      </w:pPr>
      <w:r w:rsidRPr="0079315E">
        <w:rPr>
          <w:b/>
          <w:bCs/>
        </w:rPr>
        <w:t>Χειρουργική στα Ψάρια: Βασικές Αρχές και Κλινικές Εφαρμογές</w:t>
      </w:r>
      <w:r w:rsidR="00666518">
        <w:rPr>
          <w:b/>
          <w:bCs/>
        </w:rPr>
        <w:t>…</w:t>
      </w:r>
      <w:r w:rsidR="00666518" w:rsidRPr="00666518">
        <w:rPr>
          <w:b/>
          <w:bCs/>
        </w:rPr>
        <w:t>………………………………</w:t>
      </w:r>
      <w:r w:rsidR="00666518">
        <w:rPr>
          <w:b/>
          <w:bCs/>
        </w:rPr>
        <w:t>…</w:t>
      </w:r>
      <w:r w:rsidR="00666518" w:rsidRPr="00666518">
        <w:rPr>
          <w:b/>
          <w:bCs/>
        </w:rPr>
        <w:t>47</w:t>
      </w:r>
    </w:p>
    <w:p w14:paraId="0A7FC842" w14:textId="46A3A630" w:rsidR="007F3237" w:rsidRPr="00666518" w:rsidRDefault="007F0467" w:rsidP="00140659">
      <w:pPr>
        <w:jc w:val="both"/>
        <w:rPr>
          <w:b/>
          <w:bCs/>
        </w:rPr>
      </w:pPr>
      <w:r w:rsidRPr="0079315E">
        <w:rPr>
          <w:b/>
          <w:bCs/>
        </w:rPr>
        <w:t>Αναισθησία ψαριών: πρακτικές εφαρμογές στην κτηνιατρική κλινική πράξη</w:t>
      </w:r>
      <w:r w:rsidR="00666518">
        <w:rPr>
          <w:b/>
          <w:bCs/>
        </w:rPr>
        <w:t>…</w:t>
      </w:r>
      <w:r w:rsidR="00666518" w:rsidRPr="00666518">
        <w:rPr>
          <w:b/>
          <w:bCs/>
        </w:rPr>
        <w:t>…………….…48</w:t>
      </w:r>
    </w:p>
    <w:p w14:paraId="23DFC674" w14:textId="5011644F" w:rsidR="007F3237" w:rsidRPr="00666518" w:rsidRDefault="007F0467" w:rsidP="00140659">
      <w:pPr>
        <w:jc w:val="both"/>
        <w:rPr>
          <w:b/>
          <w:bCs/>
        </w:rPr>
      </w:pPr>
      <w:r>
        <w:rPr>
          <w:b/>
          <w:bCs/>
        </w:rPr>
        <w:t>ΑΠΕΙΚΟΝΙΣΤΙΚΗ ΔΙΑΓΝΩΣΤΙΚΗ</w:t>
      </w:r>
      <w:r w:rsidR="00014E7D" w:rsidRPr="00014E7D">
        <w:rPr>
          <w:b/>
          <w:bCs/>
        </w:rPr>
        <w:t xml:space="preserve"> </w:t>
      </w:r>
      <w:r w:rsidR="00666518">
        <w:rPr>
          <w:b/>
          <w:bCs/>
        </w:rPr>
        <w:t>…</w:t>
      </w:r>
      <w:r w:rsidR="00666518" w:rsidRPr="00666518">
        <w:rPr>
          <w:b/>
          <w:bCs/>
        </w:rPr>
        <w:t>……………………………………………………………………………..49</w:t>
      </w:r>
    </w:p>
    <w:p w14:paraId="28713A9F" w14:textId="69169981" w:rsidR="007F0467" w:rsidRPr="00666518" w:rsidRDefault="007F0467" w:rsidP="00140659">
      <w:pPr>
        <w:jc w:val="both"/>
      </w:pPr>
      <w:r w:rsidRPr="007A2D0C">
        <w:rPr>
          <w:b/>
          <w:bCs/>
        </w:rPr>
        <w:t>Η Τεχνητή Νοημοσύνη (A.I.) στην Υπερηχοτομογραφία του Νεφρού: Μία Συγκριτική Μελέτη των Διαθέσιμων Τεχνικών και Μεθόδων</w:t>
      </w:r>
      <w:r w:rsidR="00666518" w:rsidRPr="00666518">
        <w:rPr>
          <w:b/>
          <w:bCs/>
        </w:rPr>
        <w:t>………………………………………………………………</w:t>
      </w:r>
      <w:r w:rsidR="00666518">
        <w:rPr>
          <w:b/>
          <w:bCs/>
        </w:rPr>
        <w:t>…</w:t>
      </w:r>
      <w:r w:rsidR="00666518" w:rsidRPr="00666518">
        <w:rPr>
          <w:b/>
          <w:bCs/>
        </w:rPr>
        <w:t>..49</w:t>
      </w:r>
    </w:p>
    <w:p w14:paraId="0282264F" w14:textId="34E800EE" w:rsidR="007F0467" w:rsidRPr="00666518" w:rsidRDefault="007F0467" w:rsidP="00140659">
      <w:pPr>
        <w:jc w:val="both"/>
      </w:pPr>
      <w:r w:rsidRPr="007A2D0C">
        <w:rPr>
          <w:b/>
          <w:bCs/>
        </w:rPr>
        <w:t>Σύγχρονοι απεικονιστικοί δείκτες στην καρδιολογική εξέταση του σκύλου: RPAD, LADi και VLAS</w:t>
      </w:r>
      <w:r w:rsidR="00666518" w:rsidRPr="00666518">
        <w:rPr>
          <w:b/>
          <w:bCs/>
        </w:rPr>
        <w:t>.............................................................................................................................50</w:t>
      </w:r>
    </w:p>
    <w:p w14:paraId="21898664" w14:textId="17062F0E" w:rsidR="007F3237" w:rsidRPr="00666518" w:rsidRDefault="007F0467" w:rsidP="00140659">
      <w:pPr>
        <w:jc w:val="both"/>
        <w:rPr>
          <w:b/>
          <w:bCs/>
        </w:rPr>
      </w:pPr>
      <w:r>
        <w:rPr>
          <w:b/>
          <w:bCs/>
        </w:rPr>
        <w:t>ΕΞΩΤΙΚΑ &amp; ΑΓΡΙΑ ΖΩΑ</w:t>
      </w:r>
      <w:r w:rsidR="00666518">
        <w:rPr>
          <w:b/>
          <w:bCs/>
        </w:rPr>
        <w:t>…</w:t>
      </w:r>
      <w:r w:rsidR="00666518" w:rsidRPr="00953ED2">
        <w:rPr>
          <w:b/>
          <w:bCs/>
        </w:rPr>
        <w:t>………………………………………………………………………………………….</w:t>
      </w:r>
      <w:r w:rsidR="00666518" w:rsidRPr="00666518">
        <w:rPr>
          <w:b/>
          <w:bCs/>
        </w:rPr>
        <w:t>52</w:t>
      </w:r>
    </w:p>
    <w:p w14:paraId="45E5D2D9" w14:textId="587ABBEC" w:rsidR="007F3237" w:rsidRPr="00666518" w:rsidRDefault="007F0467" w:rsidP="00140659">
      <w:pPr>
        <w:jc w:val="both"/>
        <w:rPr>
          <w:b/>
          <w:bCs/>
        </w:rPr>
      </w:pPr>
      <w:r w:rsidRPr="007A2D0C">
        <w:rPr>
          <w:b/>
          <w:bCs/>
        </w:rPr>
        <w:t>Νόσος του ράμφους και του πτερώματος των ψιττακόμορφων: Κλινική προσέγγιση, διαγνωστικές επιλογές και πρακτική αντιμετώπιση</w:t>
      </w:r>
      <w:r w:rsidR="00953ED2">
        <w:rPr>
          <w:b/>
          <w:bCs/>
        </w:rPr>
        <w:t>…</w:t>
      </w:r>
      <w:r w:rsidR="00953ED2" w:rsidRPr="00953ED2">
        <w:rPr>
          <w:b/>
          <w:bCs/>
        </w:rPr>
        <w:t>………………………………………………</w:t>
      </w:r>
      <w:r w:rsidR="00953ED2">
        <w:rPr>
          <w:b/>
          <w:bCs/>
        </w:rPr>
        <w:t>…</w:t>
      </w:r>
      <w:r w:rsidR="00666518" w:rsidRPr="00666518">
        <w:rPr>
          <w:b/>
          <w:bCs/>
        </w:rPr>
        <w:t>52</w:t>
      </w:r>
    </w:p>
    <w:p w14:paraId="09EBA728" w14:textId="09D781E4" w:rsidR="007F0467" w:rsidRPr="00666518" w:rsidRDefault="007F0467" w:rsidP="00140659">
      <w:pPr>
        <w:jc w:val="both"/>
      </w:pPr>
      <w:r w:rsidRPr="007A2D0C">
        <w:rPr>
          <w:b/>
          <w:bCs/>
        </w:rPr>
        <w:t>Αόρατες απειλές: Ζωοανθρωπονόσοι των κατοικίδιων ερπετών</w:t>
      </w:r>
      <w:r w:rsidR="00953ED2" w:rsidRPr="00953ED2">
        <w:rPr>
          <w:b/>
          <w:bCs/>
        </w:rPr>
        <w:t>………………………………</w:t>
      </w:r>
      <w:r w:rsidR="00953ED2">
        <w:rPr>
          <w:b/>
          <w:bCs/>
        </w:rPr>
        <w:t>…</w:t>
      </w:r>
      <w:r w:rsidR="00953ED2" w:rsidRPr="00953ED2">
        <w:rPr>
          <w:b/>
          <w:bCs/>
        </w:rPr>
        <w:t>..</w:t>
      </w:r>
      <w:r w:rsidR="00666518" w:rsidRPr="00666518">
        <w:rPr>
          <w:b/>
          <w:bCs/>
        </w:rPr>
        <w:t>53</w:t>
      </w:r>
    </w:p>
    <w:p w14:paraId="02694FCE" w14:textId="7A93F7F1" w:rsidR="007F0467" w:rsidRPr="00666518" w:rsidRDefault="007F0467" w:rsidP="00140659">
      <w:pPr>
        <w:jc w:val="both"/>
      </w:pPr>
      <w:r w:rsidRPr="007A2D0C">
        <w:rPr>
          <w:b/>
          <w:bCs/>
        </w:rPr>
        <w:t>Υβριδισμός Λύκου και Σκύλου: Μία αναδυόμενη απειλή</w:t>
      </w:r>
      <w:r w:rsidR="00953ED2" w:rsidRPr="00953ED2">
        <w:rPr>
          <w:b/>
          <w:bCs/>
        </w:rPr>
        <w:t>……………………………………………</w:t>
      </w:r>
      <w:r w:rsidR="00953ED2">
        <w:rPr>
          <w:b/>
          <w:bCs/>
        </w:rPr>
        <w:t>…</w:t>
      </w:r>
      <w:r w:rsidR="00953ED2" w:rsidRPr="00953ED2">
        <w:rPr>
          <w:b/>
          <w:bCs/>
        </w:rPr>
        <w:t>.</w:t>
      </w:r>
      <w:r w:rsidR="00666518" w:rsidRPr="00666518">
        <w:rPr>
          <w:b/>
          <w:bCs/>
        </w:rPr>
        <w:t>55</w:t>
      </w:r>
    </w:p>
    <w:p w14:paraId="277230F7" w14:textId="234EF2BE" w:rsidR="007F3237" w:rsidRPr="00666518" w:rsidRDefault="007F0467" w:rsidP="00140659">
      <w:pPr>
        <w:jc w:val="both"/>
        <w:rPr>
          <w:b/>
          <w:bCs/>
        </w:rPr>
      </w:pPr>
      <w:r w:rsidRPr="007A2D0C">
        <w:rPr>
          <w:b/>
          <w:bCs/>
        </w:rPr>
        <w:t>Από το Σκοτάδι στην Καινοτομία: Τι μας Διδάσκουν οι Νυχτερίδες</w:t>
      </w:r>
      <w:r w:rsidR="00953ED2">
        <w:rPr>
          <w:b/>
          <w:bCs/>
        </w:rPr>
        <w:t>…</w:t>
      </w:r>
      <w:r w:rsidR="00953ED2" w:rsidRPr="00953ED2">
        <w:rPr>
          <w:b/>
          <w:bCs/>
        </w:rPr>
        <w:t>……………………………</w:t>
      </w:r>
      <w:r w:rsidR="00953ED2">
        <w:rPr>
          <w:b/>
          <w:bCs/>
        </w:rPr>
        <w:t>…</w:t>
      </w:r>
      <w:r w:rsidR="00666518" w:rsidRPr="00666518">
        <w:rPr>
          <w:b/>
          <w:bCs/>
        </w:rPr>
        <w:t>57</w:t>
      </w:r>
    </w:p>
    <w:p w14:paraId="680914B1" w14:textId="6589B6A4" w:rsidR="007F0467" w:rsidRPr="003F3BEF" w:rsidRDefault="007F0467" w:rsidP="00140659">
      <w:pPr>
        <w:jc w:val="both"/>
      </w:pPr>
      <w:r w:rsidRPr="007A2D0C">
        <w:rPr>
          <w:b/>
          <w:bCs/>
        </w:rPr>
        <w:t>Ανάλυση δεδομένων και εφαρμογή πρωτοκόλλων εκβρασμών κητωδών στη Μεσόγειο Θάλασσα &amp; Κριτήρια ανθρωπογενούς αλληλεπίδρασης</w:t>
      </w:r>
      <w:r w:rsidR="003F3BEF" w:rsidRPr="003F3BEF">
        <w:rPr>
          <w:b/>
          <w:bCs/>
        </w:rPr>
        <w:t>……………………………………………….59</w:t>
      </w:r>
    </w:p>
    <w:p w14:paraId="2A72493E" w14:textId="4E46CC40" w:rsidR="007F0467" w:rsidRPr="003F3BEF" w:rsidRDefault="007F0467" w:rsidP="00140659">
      <w:pPr>
        <w:tabs>
          <w:tab w:val="num" w:pos="720"/>
        </w:tabs>
        <w:jc w:val="both"/>
        <w:rPr>
          <w:b/>
          <w:bCs/>
        </w:rPr>
      </w:pPr>
      <w:r>
        <w:rPr>
          <w:b/>
          <w:bCs/>
        </w:rPr>
        <w:t>Αλληλεπίδραση</w:t>
      </w:r>
      <w:r w:rsidRPr="00AE1A0D">
        <w:rPr>
          <w:b/>
          <w:bCs/>
        </w:rPr>
        <w:t xml:space="preserve"> </w:t>
      </w:r>
      <w:r>
        <w:rPr>
          <w:b/>
          <w:bCs/>
        </w:rPr>
        <w:t>των</w:t>
      </w:r>
      <w:r w:rsidRPr="00AE1A0D">
        <w:rPr>
          <w:b/>
          <w:bCs/>
        </w:rPr>
        <w:t xml:space="preserve"> </w:t>
      </w:r>
      <w:r>
        <w:rPr>
          <w:b/>
          <w:bCs/>
        </w:rPr>
        <w:t>Δελφινιών</w:t>
      </w:r>
      <w:r w:rsidRPr="00AE1A0D">
        <w:rPr>
          <w:b/>
          <w:bCs/>
        </w:rPr>
        <w:t xml:space="preserve"> </w:t>
      </w:r>
      <w:r>
        <w:rPr>
          <w:b/>
          <w:bCs/>
        </w:rPr>
        <w:t>με</w:t>
      </w:r>
      <w:r w:rsidRPr="00AE1A0D">
        <w:rPr>
          <w:b/>
          <w:bCs/>
        </w:rPr>
        <w:t xml:space="preserve"> </w:t>
      </w:r>
      <w:r>
        <w:rPr>
          <w:b/>
          <w:bCs/>
        </w:rPr>
        <w:t>τις</w:t>
      </w:r>
      <w:r w:rsidRPr="00AE1A0D">
        <w:rPr>
          <w:b/>
          <w:bCs/>
        </w:rPr>
        <w:t xml:space="preserve"> </w:t>
      </w:r>
      <w:r>
        <w:rPr>
          <w:b/>
          <w:bCs/>
        </w:rPr>
        <w:t>Υδατοκαλλιέργειες</w:t>
      </w:r>
      <w:r w:rsidRPr="00AE1A0D">
        <w:rPr>
          <w:b/>
          <w:bCs/>
        </w:rPr>
        <w:t xml:space="preserve"> </w:t>
      </w:r>
      <w:r>
        <w:rPr>
          <w:b/>
          <w:bCs/>
        </w:rPr>
        <w:t>στη</w:t>
      </w:r>
      <w:r w:rsidRPr="00AE1A0D">
        <w:rPr>
          <w:b/>
          <w:bCs/>
        </w:rPr>
        <w:t xml:space="preserve"> </w:t>
      </w:r>
      <w:r>
        <w:rPr>
          <w:b/>
          <w:bCs/>
        </w:rPr>
        <w:t>Μεσόγειο</w:t>
      </w:r>
      <w:r w:rsidRPr="00AE1A0D">
        <w:rPr>
          <w:b/>
          <w:bCs/>
        </w:rPr>
        <w:t xml:space="preserve"> </w:t>
      </w:r>
      <w:r>
        <w:rPr>
          <w:b/>
          <w:bCs/>
        </w:rPr>
        <w:t>Θάλασσα</w:t>
      </w:r>
      <w:r w:rsidRPr="00AE1A0D">
        <w:rPr>
          <w:b/>
          <w:bCs/>
        </w:rPr>
        <w:t xml:space="preserve">, </w:t>
      </w:r>
      <w:r>
        <w:rPr>
          <w:b/>
          <w:bCs/>
        </w:rPr>
        <w:t>με</w:t>
      </w:r>
      <w:r w:rsidRPr="00AE1A0D">
        <w:rPr>
          <w:b/>
          <w:bCs/>
        </w:rPr>
        <w:t xml:space="preserve"> </w:t>
      </w:r>
      <w:r>
        <w:rPr>
          <w:b/>
          <w:bCs/>
        </w:rPr>
        <w:t>ιδιαίτερη</w:t>
      </w:r>
      <w:r w:rsidRPr="00AE1A0D">
        <w:rPr>
          <w:b/>
          <w:bCs/>
        </w:rPr>
        <w:t xml:space="preserve"> </w:t>
      </w:r>
      <w:r>
        <w:rPr>
          <w:b/>
          <w:bCs/>
        </w:rPr>
        <w:t>αναφορά</w:t>
      </w:r>
      <w:r w:rsidRPr="00AE1A0D">
        <w:rPr>
          <w:b/>
          <w:bCs/>
        </w:rPr>
        <w:t xml:space="preserve"> </w:t>
      </w:r>
      <w:r>
        <w:rPr>
          <w:b/>
          <w:bCs/>
        </w:rPr>
        <w:t>στοο</w:t>
      </w:r>
      <w:r w:rsidRPr="00AE1A0D">
        <w:rPr>
          <w:b/>
          <w:bCs/>
        </w:rPr>
        <w:t xml:space="preserve"> </w:t>
      </w:r>
      <w:r>
        <w:rPr>
          <w:b/>
          <w:bCs/>
        </w:rPr>
        <w:t>ρινοδέλφινο</w:t>
      </w:r>
      <w:r w:rsidRPr="00AE1A0D">
        <w:rPr>
          <w:b/>
          <w:bCs/>
        </w:rPr>
        <w:t xml:space="preserve"> (</w:t>
      </w:r>
      <w:r>
        <w:rPr>
          <w:b/>
          <w:bCs/>
          <w:i/>
          <w:iCs/>
          <w:lang w:val="en-GB"/>
        </w:rPr>
        <w:t>Tursiops</w:t>
      </w:r>
      <w:r w:rsidRPr="00AE1A0D">
        <w:rPr>
          <w:b/>
          <w:bCs/>
          <w:i/>
          <w:iCs/>
        </w:rPr>
        <w:t xml:space="preserve"> </w:t>
      </w:r>
      <w:r>
        <w:rPr>
          <w:b/>
          <w:bCs/>
          <w:i/>
          <w:iCs/>
          <w:lang w:val="en-GB"/>
        </w:rPr>
        <w:t>truncatus</w:t>
      </w:r>
      <w:r w:rsidRPr="00AE1A0D">
        <w:rPr>
          <w:b/>
          <w:bCs/>
        </w:rPr>
        <w:t>)</w:t>
      </w:r>
      <w:r w:rsidR="003F3BEF">
        <w:rPr>
          <w:b/>
          <w:bCs/>
        </w:rPr>
        <w:t>…</w:t>
      </w:r>
      <w:r w:rsidR="003F3BEF" w:rsidRPr="003F3BEF">
        <w:rPr>
          <w:b/>
          <w:bCs/>
        </w:rPr>
        <w:t>……………………………………</w:t>
      </w:r>
      <w:r w:rsidR="003F3BEF">
        <w:rPr>
          <w:b/>
          <w:bCs/>
        </w:rPr>
        <w:t>…</w:t>
      </w:r>
      <w:r w:rsidR="003F3BEF" w:rsidRPr="003F3BEF">
        <w:rPr>
          <w:b/>
          <w:bCs/>
        </w:rPr>
        <w:t>.62</w:t>
      </w:r>
    </w:p>
    <w:p w14:paraId="1D7C3579" w14:textId="1A41ECEA" w:rsidR="00F15AC6" w:rsidRPr="003F3BEF" w:rsidRDefault="00F15AC6" w:rsidP="00140659">
      <w:pPr>
        <w:tabs>
          <w:tab w:val="num" w:pos="720"/>
        </w:tabs>
        <w:jc w:val="both"/>
        <w:rPr>
          <w:b/>
          <w:bCs/>
        </w:rPr>
      </w:pPr>
      <w:r>
        <w:rPr>
          <w:b/>
          <w:bCs/>
        </w:rPr>
        <w:t>ΝΕΥΡΟΛΟΓΙΑ, ΣΥΜΠΕΡΙΦΟΡΑ &amp; ΦΥΣΙΟΛΟΓΙΑ ΤΩΝ ΖΩΩΝ</w:t>
      </w:r>
      <w:r w:rsidR="003F3BEF" w:rsidRPr="003F3BEF">
        <w:rPr>
          <w:b/>
          <w:bCs/>
        </w:rPr>
        <w:t>…………………………………………</w:t>
      </w:r>
      <w:r w:rsidR="003F3BEF">
        <w:rPr>
          <w:b/>
          <w:bCs/>
        </w:rPr>
        <w:t>…</w:t>
      </w:r>
      <w:r w:rsidR="003F3BEF" w:rsidRPr="003F3BEF">
        <w:rPr>
          <w:b/>
          <w:bCs/>
        </w:rPr>
        <w:t>.64</w:t>
      </w:r>
    </w:p>
    <w:p w14:paraId="6318E93E" w14:textId="2E1FA23A" w:rsidR="007F0467" w:rsidRPr="003F3BEF" w:rsidRDefault="007F0467" w:rsidP="00140659">
      <w:pPr>
        <w:jc w:val="both"/>
      </w:pPr>
      <w:r w:rsidRPr="00CB3A31">
        <w:rPr>
          <w:b/>
          <w:bCs/>
        </w:rPr>
        <w:t>Μελέτη της νευρογένεσης στον εγκέφαλο του νεαρού και του ηλικιωμένου σκύλου: πιθανές εφαρμογές στην διαχείριση νευρολογικών νοσημάτων</w:t>
      </w:r>
      <w:r w:rsidR="003F3BEF" w:rsidRPr="003F3BEF">
        <w:rPr>
          <w:b/>
          <w:bCs/>
        </w:rPr>
        <w:t>……………………………………………</w:t>
      </w:r>
      <w:r w:rsidR="003F3BEF">
        <w:rPr>
          <w:b/>
          <w:bCs/>
        </w:rPr>
        <w:t>…</w:t>
      </w:r>
      <w:r w:rsidR="003F3BEF" w:rsidRPr="003F3BEF">
        <w:rPr>
          <w:b/>
          <w:bCs/>
        </w:rPr>
        <w:t>.64</w:t>
      </w:r>
    </w:p>
    <w:p w14:paraId="4A2ACBBE" w14:textId="443600CE" w:rsidR="007F0467" w:rsidRPr="003F3BEF" w:rsidRDefault="007F0467" w:rsidP="00140659">
      <w:pPr>
        <w:jc w:val="both"/>
      </w:pPr>
      <w:r w:rsidRPr="00F15AC6">
        <w:rPr>
          <w:b/>
          <w:bCs/>
        </w:rPr>
        <w:t>Μηνιγγοεγκεφαλίτιδα Άγνωστης Αιτιολογίας (</w:t>
      </w:r>
      <w:r w:rsidRPr="00CB3A31">
        <w:rPr>
          <w:b/>
          <w:bCs/>
        </w:rPr>
        <w:t>MUO</w:t>
      </w:r>
      <w:r w:rsidRPr="00F15AC6">
        <w:rPr>
          <w:b/>
          <w:bCs/>
        </w:rPr>
        <w:t>)</w:t>
      </w:r>
      <w:r w:rsidR="003F3BEF" w:rsidRPr="003F3BEF">
        <w:rPr>
          <w:b/>
          <w:bCs/>
        </w:rPr>
        <w:t>……………………………………………………66</w:t>
      </w:r>
    </w:p>
    <w:p w14:paraId="2C2A7762" w14:textId="749B7815" w:rsidR="00F15AC6" w:rsidRPr="003F3BEF" w:rsidRDefault="00F15AC6" w:rsidP="00140659">
      <w:pPr>
        <w:jc w:val="both"/>
      </w:pPr>
      <w:r w:rsidRPr="00CB3A31">
        <w:rPr>
          <w:b/>
          <w:bCs/>
        </w:rPr>
        <w:t>Η Εκπαίδευση ως Κλινικό Εργαλείο: Νευροβιολογικοί Μηχανισμοί και Εφαρμογές της Συνεργατικής Φροντίδας στον Σκύλο</w:t>
      </w:r>
      <w:r w:rsidR="003F3BEF" w:rsidRPr="003F3BEF">
        <w:rPr>
          <w:b/>
          <w:bCs/>
        </w:rPr>
        <w:t>……………………………………………………………………</w:t>
      </w:r>
      <w:r w:rsidR="003F3BEF">
        <w:rPr>
          <w:b/>
          <w:bCs/>
        </w:rPr>
        <w:t>…</w:t>
      </w:r>
      <w:r w:rsidR="003F3BEF" w:rsidRPr="003F3BEF">
        <w:rPr>
          <w:b/>
          <w:bCs/>
        </w:rPr>
        <w:t>..68</w:t>
      </w:r>
    </w:p>
    <w:p w14:paraId="57513B22" w14:textId="6E2A8AAC" w:rsidR="00F15AC6" w:rsidRPr="003F3BEF" w:rsidRDefault="00F15AC6" w:rsidP="00140659">
      <w:pPr>
        <w:jc w:val="both"/>
      </w:pPr>
      <w:r w:rsidRPr="00CB3A31">
        <w:rPr>
          <w:b/>
          <w:bCs/>
        </w:rPr>
        <w:t>Ομοφυλοφιλία στα Ζώα: Ένα Παιχνίδι Γονιδιακής Προδιάθεσης και Περιβαλλοντικών Συνθηκών</w:t>
      </w:r>
      <w:r w:rsidR="00014E7D" w:rsidRPr="00014E7D">
        <w:rPr>
          <w:b/>
          <w:bCs/>
        </w:rPr>
        <w:t xml:space="preserve"> </w:t>
      </w:r>
      <w:r w:rsidR="003F3BEF" w:rsidRPr="003F3BEF">
        <w:rPr>
          <w:b/>
          <w:bCs/>
        </w:rPr>
        <w:t>………………………………………………………………………………………………………</w:t>
      </w:r>
      <w:r w:rsidR="003F3BEF">
        <w:rPr>
          <w:b/>
          <w:bCs/>
        </w:rPr>
        <w:t>……</w:t>
      </w:r>
      <w:r w:rsidR="003F3BEF" w:rsidRPr="003F3BEF">
        <w:rPr>
          <w:b/>
          <w:bCs/>
        </w:rPr>
        <w:t>.69</w:t>
      </w:r>
    </w:p>
    <w:p w14:paraId="26402D75" w14:textId="7DD804F8" w:rsidR="00F15AC6" w:rsidRPr="003F3BEF" w:rsidRDefault="00F15AC6" w:rsidP="00140659">
      <w:pPr>
        <w:jc w:val="both"/>
        <w:rPr>
          <w:b/>
          <w:bCs/>
        </w:rPr>
      </w:pPr>
      <w:r w:rsidRPr="00CB3A31">
        <w:rPr>
          <w:b/>
          <w:bCs/>
        </w:rPr>
        <w:t>Η ικανότητα των σκύλων να ανιχνεύουν μέσω της όσφρησης ασθένειες σε αρχικά στάδια</w:t>
      </w:r>
      <w:r w:rsidR="00666518" w:rsidRPr="00666518">
        <w:rPr>
          <w:b/>
          <w:bCs/>
        </w:rPr>
        <w:t>.</w:t>
      </w:r>
      <w:r w:rsidR="00666518">
        <w:rPr>
          <w:b/>
          <w:bCs/>
        </w:rPr>
        <w:t>…</w:t>
      </w:r>
      <w:r w:rsidR="00666518" w:rsidRPr="00666518">
        <w:rPr>
          <w:b/>
          <w:bCs/>
        </w:rPr>
        <w:t>.......................................................................................................................</w:t>
      </w:r>
      <w:r w:rsidR="003F3BEF" w:rsidRPr="003F3BEF">
        <w:rPr>
          <w:b/>
          <w:bCs/>
        </w:rPr>
        <w:t>72</w:t>
      </w:r>
    </w:p>
    <w:p w14:paraId="0F079AB5" w14:textId="13FB3B84" w:rsidR="00F15AC6" w:rsidRPr="003F3BEF" w:rsidRDefault="00F15AC6" w:rsidP="00140659">
      <w:pPr>
        <w:jc w:val="both"/>
      </w:pPr>
      <w:r>
        <w:rPr>
          <w:b/>
          <w:bCs/>
        </w:rPr>
        <w:t>ΙΠΠΟΕΙΔΗ</w:t>
      </w:r>
      <w:r w:rsidR="003F3BEF" w:rsidRPr="003F3BEF">
        <w:rPr>
          <w:b/>
          <w:bCs/>
        </w:rPr>
        <w:t>…………………………………………………………………………………………………………….74</w:t>
      </w:r>
    </w:p>
    <w:p w14:paraId="73157E9B" w14:textId="51818139" w:rsidR="00F15AC6" w:rsidRPr="003F3BEF" w:rsidRDefault="00F15AC6" w:rsidP="00140659">
      <w:pPr>
        <w:jc w:val="both"/>
      </w:pPr>
      <w:r w:rsidRPr="00844433">
        <w:rPr>
          <w:b/>
          <w:bCs/>
        </w:rPr>
        <w:t>Σύνδρομο Νεογνικής Δυσπροσαρμογής Πουλαριών: Κλινική Προσέγγιση και Aντιμετώπιση</w:t>
      </w:r>
      <w:r w:rsidR="00014E7D" w:rsidRPr="00014E7D">
        <w:rPr>
          <w:b/>
          <w:bCs/>
        </w:rPr>
        <w:t xml:space="preserve"> </w:t>
      </w:r>
      <w:r w:rsidR="00014E7D">
        <w:rPr>
          <w:b/>
          <w:bCs/>
        </w:rPr>
        <w:t>…</w:t>
      </w:r>
      <w:r w:rsidR="00014E7D" w:rsidRPr="00014E7D">
        <w:rPr>
          <w:b/>
          <w:bCs/>
        </w:rPr>
        <w:t>……</w:t>
      </w:r>
      <w:r w:rsidR="00014E7D">
        <w:rPr>
          <w:b/>
          <w:bCs/>
        </w:rPr>
        <w:t>…………</w:t>
      </w:r>
      <w:r w:rsidR="00014E7D" w:rsidRPr="00014E7D">
        <w:rPr>
          <w:b/>
          <w:bCs/>
        </w:rPr>
        <w:t>.</w:t>
      </w:r>
      <w:r w:rsidR="00666518">
        <w:rPr>
          <w:b/>
          <w:bCs/>
        </w:rPr>
        <w:t>…</w:t>
      </w:r>
      <w:r w:rsidR="00666518" w:rsidRPr="00666518">
        <w:rPr>
          <w:b/>
          <w:bCs/>
        </w:rPr>
        <w:t>…………………………………………………</w:t>
      </w:r>
      <w:r w:rsidR="003F3BEF" w:rsidRPr="003F3BEF">
        <w:rPr>
          <w:b/>
          <w:bCs/>
        </w:rPr>
        <w:t>.</w:t>
      </w:r>
      <w:r w:rsidR="00666518" w:rsidRPr="00666518">
        <w:rPr>
          <w:b/>
          <w:bCs/>
        </w:rPr>
        <w:t>…………………………………………………</w:t>
      </w:r>
      <w:r w:rsidR="003F3BEF" w:rsidRPr="003F3BEF">
        <w:rPr>
          <w:b/>
          <w:bCs/>
        </w:rPr>
        <w:t>74</w:t>
      </w:r>
    </w:p>
    <w:p w14:paraId="116FCE80" w14:textId="13FCCF33" w:rsidR="00F15AC6" w:rsidRPr="003F3BEF" w:rsidRDefault="00F15AC6" w:rsidP="00140659">
      <w:pPr>
        <w:jc w:val="both"/>
      </w:pPr>
      <w:r w:rsidRPr="00844433">
        <w:rPr>
          <w:b/>
          <w:bCs/>
        </w:rPr>
        <w:t>Πνευμονική Αιμορραγία από Άσκηση στον Ίππο (EIPH): Όταν οι πνεύμονες υποκύπτουν στην ταχύτητα</w:t>
      </w:r>
      <w:r w:rsidR="003F3BEF" w:rsidRPr="003F3BEF">
        <w:rPr>
          <w:b/>
          <w:bCs/>
        </w:rPr>
        <w:t>……………………………………………………………………………………………………………</w:t>
      </w:r>
      <w:r w:rsidR="003F3BEF">
        <w:rPr>
          <w:b/>
          <w:bCs/>
        </w:rPr>
        <w:t>…</w:t>
      </w:r>
      <w:r w:rsidR="003F3BEF" w:rsidRPr="003F3BEF">
        <w:rPr>
          <w:b/>
          <w:bCs/>
        </w:rPr>
        <w:t>76</w:t>
      </w:r>
    </w:p>
    <w:p w14:paraId="0E3FB6FC" w14:textId="300DF146" w:rsidR="00F15AC6" w:rsidRPr="003F3BEF" w:rsidRDefault="00F15AC6" w:rsidP="00140659">
      <w:pPr>
        <w:jc w:val="both"/>
      </w:pPr>
      <w:r w:rsidRPr="00844433">
        <w:rPr>
          <w:b/>
          <w:bCs/>
        </w:rPr>
        <w:t>Διαγνωστική και Θεραπευτική Προσέγγιση Παθολογίας Αυχένα Ίππων</w:t>
      </w:r>
      <w:r w:rsidR="003F3BEF" w:rsidRPr="003F3BEF">
        <w:rPr>
          <w:b/>
          <w:bCs/>
        </w:rPr>
        <w:t>………………………….78</w:t>
      </w:r>
    </w:p>
    <w:p w14:paraId="08B6413B" w14:textId="595D3AF2" w:rsidR="00F15AC6" w:rsidRPr="003F3BEF" w:rsidRDefault="00F15AC6" w:rsidP="00140659">
      <w:pPr>
        <w:jc w:val="both"/>
      </w:pPr>
      <w:r w:rsidRPr="00844433">
        <w:rPr>
          <w:b/>
          <w:bCs/>
        </w:rPr>
        <w:lastRenderedPageBreak/>
        <w:t>Εγκεφαλίτιδα του Δυτικού Νείλου στα Ιπποειδή: Η Σημασία της Κλινικής και Εργαστηριακής Διάγνωσης στην Επιτήρηση του Νοσήματος</w:t>
      </w:r>
      <w:r w:rsidR="003F3BEF">
        <w:rPr>
          <w:b/>
          <w:bCs/>
        </w:rPr>
        <w:t>…</w:t>
      </w:r>
      <w:r w:rsidR="003F3BEF" w:rsidRPr="003F3BEF">
        <w:rPr>
          <w:b/>
          <w:bCs/>
        </w:rPr>
        <w:t>…………………………………………………………….79</w:t>
      </w:r>
    </w:p>
    <w:p w14:paraId="099D5B6C" w14:textId="4E1881B7" w:rsidR="00F15AC6" w:rsidRPr="003F3BEF" w:rsidRDefault="00F15AC6" w:rsidP="00140659">
      <w:pPr>
        <w:jc w:val="both"/>
        <w:rPr>
          <w:b/>
          <w:bCs/>
        </w:rPr>
      </w:pPr>
      <w:r w:rsidRPr="00844433">
        <w:rPr>
          <w:b/>
          <w:bCs/>
        </w:rPr>
        <w:t>Ζωοανθρωπονόσοι στα Ιπποειδή και η Πρόληψή τους </w:t>
      </w:r>
      <w:r w:rsidR="003F3BEF" w:rsidRPr="003F3BEF">
        <w:rPr>
          <w:b/>
          <w:bCs/>
        </w:rPr>
        <w:t>.....................................................81</w:t>
      </w:r>
    </w:p>
    <w:p w14:paraId="782F7A05" w14:textId="24A49CD7" w:rsidR="008015BC" w:rsidRPr="00481BDF" w:rsidRDefault="008015BC" w:rsidP="00140659">
      <w:pPr>
        <w:jc w:val="both"/>
      </w:pPr>
      <w:r>
        <w:rPr>
          <w:b/>
          <w:bCs/>
        </w:rPr>
        <w:t>ΟΓΚΟΛΟΓΙΑ &amp; ΛΟΙΜΩΔΗ ΝΟΣΗΜΑΤΑ</w:t>
      </w:r>
      <w:r w:rsidR="00481BDF" w:rsidRPr="00481BDF">
        <w:rPr>
          <w:b/>
          <w:bCs/>
        </w:rPr>
        <w:t>…………………………………………………………………………83</w:t>
      </w:r>
    </w:p>
    <w:p w14:paraId="5C88DDCE" w14:textId="2ACA7008" w:rsidR="00F15AC6" w:rsidRPr="00481BDF" w:rsidRDefault="00F15AC6" w:rsidP="00140659">
      <w:pPr>
        <w:jc w:val="both"/>
      </w:pPr>
      <w:r w:rsidRPr="00B020FA">
        <w:rPr>
          <w:b/>
          <w:bCs/>
        </w:rPr>
        <w:t>Κλινική Προσέγγιση Μάζας με Πιθανή Κακοήθη Αιτιολογία σε Σκύλο (Ύποπτο Αιμαγγειοσάρκωμα)</w:t>
      </w:r>
      <w:r w:rsidR="00014E7D" w:rsidRPr="00014E7D">
        <w:rPr>
          <w:b/>
          <w:bCs/>
        </w:rPr>
        <w:t xml:space="preserve"> </w:t>
      </w:r>
      <w:r w:rsidR="00481BDF" w:rsidRPr="00481BDF">
        <w:rPr>
          <w:b/>
          <w:bCs/>
        </w:rPr>
        <w:t>………………………………………………………………………………………………83</w:t>
      </w:r>
    </w:p>
    <w:p w14:paraId="0532B60D" w14:textId="2FEA3292" w:rsidR="008015BC" w:rsidRPr="00481BDF" w:rsidRDefault="008015BC" w:rsidP="00140659">
      <w:pPr>
        <w:jc w:val="both"/>
      </w:pPr>
      <w:r w:rsidRPr="00B020FA">
        <w:rPr>
          <w:b/>
          <w:bCs/>
        </w:rPr>
        <w:t>Χρόνια Λεμφοκυτταρική Λευχαιμία Σκύλου</w:t>
      </w:r>
      <w:r w:rsidR="00481BDF" w:rsidRPr="00481BDF">
        <w:rPr>
          <w:b/>
          <w:bCs/>
        </w:rPr>
        <w:t>……………………………………………………………….84</w:t>
      </w:r>
    </w:p>
    <w:p w14:paraId="6DF14AE6" w14:textId="3B34584B" w:rsidR="008015BC" w:rsidRPr="00481BDF" w:rsidRDefault="008015BC" w:rsidP="00140659">
      <w:pPr>
        <w:jc w:val="both"/>
      </w:pPr>
      <w:r w:rsidRPr="008015BC">
        <w:rPr>
          <w:b/>
          <w:bCs/>
        </w:rPr>
        <w:t>Κατευθυντήριες Γραμμές στη Διαγνωστική Προσέγγιση της Λοιμώδους Περιτονίτιδας της Γάτας (</w:t>
      </w:r>
      <w:r w:rsidRPr="00B020FA">
        <w:rPr>
          <w:b/>
          <w:bCs/>
        </w:rPr>
        <w:t>FIP</w:t>
      </w:r>
      <w:r w:rsidRPr="008015BC">
        <w:rPr>
          <w:b/>
          <w:bCs/>
        </w:rPr>
        <w:t>)</w:t>
      </w:r>
      <w:r w:rsidR="00481BDF" w:rsidRPr="00481BDF">
        <w:rPr>
          <w:b/>
          <w:bCs/>
        </w:rPr>
        <w:t>…………………………………………………………………………………………………………</w:t>
      </w:r>
      <w:r w:rsidR="00481BDF">
        <w:rPr>
          <w:b/>
          <w:bCs/>
        </w:rPr>
        <w:t>…</w:t>
      </w:r>
      <w:r w:rsidR="00481BDF" w:rsidRPr="00481BDF">
        <w:rPr>
          <w:b/>
          <w:bCs/>
        </w:rPr>
        <w:t>.85</w:t>
      </w:r>
    </w:p>
    <w:p w14:paraId="71CF74C7" w14:textId="4C45BF58" w:rsidR="008015BC" w:rsidRPr="00481BDF" w:rsidRDefault="008015BC" w:rsidP="00140659">
      <w:pPr>
        <w:jc w:val="both"/>
      </w:pPr>
      <w:r w:rsidRPr="00B020FA">
        <w:rPr>
          <w:b/>
          <w:bCs/>
        </w:rPr>
        <w:t>Λεϊσμανίωση στο Σκύλο: Κλινικά συμπτώματα, Διαγνωστικές Προκλήσεις, και Θεραπευτικές επιλογές</w:t>
      </w:r>
      <w:r w:rsidR="00014E7D" w:rsidRPr="00014E7D">
        <w:rPr>
          <w:b/>
          <w:bCs/>
        </w:rPr>
        <w:t xml:space="preserve"> </w:t>
      </w:r>
      <w:r w:rsidR="00481BDF" w:rsidRPr="00481BDF">
        <w:rPr>
          <w:b/>
          <w:bCs/>
        </w:rPr>
        <w:t>……………………………………………………………………………………………………………</w:t>
      </w:r>
      <w:r w:rsidR="00481BDF">
        <w:rPr>
          <w:b/>
          <w:bCs/>
        </w:rPr>
        <w:t>…</w:t>
      </w:r>
      <w:r w:rsidR="00481BDF" w:rsidRPr="00481BDF">
        <w:rPr>
          <w:b/>
          <w:bCs/>
        </w:rPr>
        <w:t>87</w:t>
      </w:r>
    </w:p>
    <w:p w14:paraId="66600C4C" w14:textId="0BAA665B" w:rsidR="008015BC" w:rsidRPr="00481BDF" w:rsidRDefault="008015BC" w:rsidP="00140659">
      <w:pPr>
        <w:jc w:val="both"/>
        <w:rPr>
          <w:b/>
          <w:bCs/>
          <w:lang w:val="en-GB"/>
        </w:rPr>
      </w:pPr>
      <w:r w:rsidRPr="00382DF1">
        <w:rPr>
          <w:b/>
          <w:bCs/>
          <w:lang w:val="en-US"/>
        </w:rPr>
        <w:t>A Cat-and-Mouse Game: The Staggering Discovery of Rustrela Virus</w:t>
      </w:r>
      <w:r w:rsidR="00481BDF" w:rsidRPr="00382DF1">
        <w:rPr>
          <w:b/>
          <w:bCs/>
          <w:lang w:val="en-US"/>
        </w:rPr>
        <w:t>.................................89</w:t>
      </w:r>
    </w:p>
    <w:p w14:paraId="5E967C1B" w14:textId="65DE7ECD" w:rsidR="006755E8" w:rsidRPr="00481BDF" w:rsidRDefault="006755E8" w:rsidP="00140659">
      <w:pPr>
        <w:jc w:val="both"/>
      </w:pPr>
      <w:r>
        <w:rPr>
          <w:b/>
          <w:bCs/>
        </w:rPr>
        <w:t>ΠΑΡΑΓΩΓΙΚΑ ΖΩΑ</w:t>
      </w:r>
      <w:r w:rsidR="00481BDF" w:rsidRPr="00481BDF">
        <w:rPr>
          <w:b/>
          <w:bCs/>
        </w:rPr>
        <w:t>…………………………………………………………………………………………………..91</w:t>
      </w:r>
    </w:p>
    <w:p w14:paraId="4CB52620" w14:textId="71C1157B" w:rsidR="008015BC" w:rsidRPr="00481BDF" w:rsidRDefault="008015BC" w:rsidP="00140659">
      <w:pPr>
        <w:jc w:val="both"/>
      </w:pPr>
      <w:r w:rsidRPr="00B020FA">
        <w:rPr>
          <w:b/>
          <w:bCs/>
        </w:rPr>
        <w:t>Το Γονίδιο της Ευζωίας και η Θέση του Κτηνιάτρου σ’ έναν Κόσμο που Αλλάζει</w:t>
      </w:r>
      <w:r w:rsidR="00481BDF" w:rsidRPr="00481BDF">
        <w:rPr>
          <w:b/>
          <w:bCs/>
        </w:rPr>
        <w:t>……………</w:t>
      </w:r>
      <w:r w:rsidR="00481BDF">
        <w:rPr>
          <w:b/>
          <w:bCs/>
        </w:rPr>
        <w:t>……</w:t>
      </w:r>
      <w:r w:rsidR="00481BDF" w:rsidRPr="00481BDF">
        <w:rPr>
          <w:b/>
          <w:bCs/>
        </w:rPr>
        <w:t>91</w:t>
      </w:r>
    </w:p>
    <w:p w14:paraId="62F7AF40" w14:textId="59BCAA3C" w:rsidR="008015BC" w:rsidRPr="00481BDF" w:rsidRDefault="008015BC" w:rsidP="00140659">
      <w:pPr>
        <w:jc w:val="both"/>
      </w:pPr>
      <w:r w:rsidRPr="00B020FA">
        <w:rPr>
          <w:b/>
          <w:bCs/>
        </w:rPr>
        <w:t>Αποχωρισμός Αγελάδας – Μόσχου και Ευζωΐα σε Γαλακτοπαραγωγές Εκτροφές</w:t>
      </w:r>
      <w:r w:rsidR="00481BDF" w:rsidRPr="00481BDF">
        <w:rPr>
          <w:b/>
          <w:bCs/>
        </w:rPr>
        <w:t>…………</w:t>
      </w:r>
      <w:r w:rsidR="00481BDF">
        <w:rPr>
          <w:b/>
          <w:bCs/>
        </w:rPr>
        <w:t>…</w:t>
      </w:r>
      <w:r w:rsidR="00481BDF" w:rsidRPr="00481BDF">
        <w:rPr>
          <w:b/>
          <w:bCs/>
        </w:rPr>
        <w:t>..93</w:t>
      </w:r>
    </w:p>
    <w:p w14:paraId="6BB3B4FA" w14:textId="46531C94" w:rsidR="008015BC" w:rsidRPr="00481BDF" w:rsidRDefault="008015BC" w:rsidP="00140659">
      <w:pPr>
        <w:jc w:val="both"/>
      </w:pPr>
      <w:r w:rsidRPr="00B020FA">
        <w:rPr>
          <w:b/>
          <w:bCs/>
        </w:rPr>
        <w:t>Βιταμίνη Α και Βοοειδή: Μία Σχέση «Τυφλής» Αγάπης</w:t>
      </w:r>
      <w:r w:rsidR="00481BDF" w:rsidRPr="00481BDF">
        <w:rPr>
          <w:b/>
          <w:bCs/>
        </w:rPr>
        <w:t>………………………………………………</w:t>
      </w:r>
      <w:r w:rsidR="00481BDF">
        <w:rPr>
          <w:b/>
          <w:bCs/>
        </w:rPr>
        <w:t>……</w:t>
      </w:r>
      <w:r w:rsidR="00481BDF" w:rsidRPr="00481BDF">
        <w:rPr>
          <w:b/>
          <w:bCs/>
        </w:rPr>
        <w:t>96</w:t>
      </w:r>
    </w:p>
    <w:p w14:paraId="01542F01" w14:textId="1DF16F3B" w:rsidR="008015BC" w:rsidRPr="00481BDF" w:rsidRDefault="008015BC" w:rsidP="00140659">
      <w:pPr>
        <w:jc w:val="both"/>
      </w:pPr>
      <w:r w:rsidRPr="00B020FA">
        <w:rPr>
          <w:b/>
          <w:bCs/>
        </w:rPr>
        <w:t>Διόγκωση στην Περιοχή του Καρπού και του Ταρσού στα Βοοειδή: Είναι Πάντα Αρθρίτιδα;</w:t>
      </w:r>
      <w:r w:rsidR="00014E7D" w:rsidRPr="00014E7D">
        <w:rPr>
          <w:b/>
          <w:bCs/>
        </w:rPr>
        <w:t xml:space="preserve"> </w:t>
      </w:r>
      <w:r w:rsidR="00014E7D">
        <w:rPr>
          <w:b/>
          <w:bCs/>
        </w:rPr>
        <w:t>…</w:t>
      </w:r>
      <w:r w:rsidR="00014E7D" w:rsidRPr="00014E7D">
        <w:rPr>
          <w:b/>
          <w:bCs/>
        </w:rPr>
        <w:t>……</w:t>
      </w:r>
      <w:r w:rsidR="00014E7D">
        <w:rPr>
          <w:b/>
          <w:bCs/>
        </w:rPr>
        <w:t>……</w:t>
      </w:r>
      <w:r w:rsidR="00014E7D" w:rsidRPr="00014E7D">
        <w:rPr>
          <w:b/>
          <w:bCs/>
        </w:rPr>
        <w:t>..</w:t>
      </w:r>
      <w:r w:rsidR="00666518">
        <w:rPr>
          <w:b/>
          <w:bCs/>
        </w:rPr>
        <w:t>…</w:t>
      </w:r>
      <w:r w:rsidR="00666518" w:rsidRPr="00666518">
        <w:rPr>
          <w:b/>
          <w:bCs/>
        </w:rPr>
        <w:t>…</w:t>
      </w:r>
      <w:r w:rsidR="00666518">
        <w:rPr>
          <w:b/>
          <w:bCs/>
        </w:rPr>
        <w:t>…</w:t>
      </w:r>
      <w:r w:rsidR="00666518" w:rsidRPr="00666518">
        <w:rPr>
          <w:b/>
          <w:bCs/>
        </w:rPr>
        <w:t>……………………………………………………………………………………………</w:t>
      </w:r>
      <w:r w:rsidR="00481BDF" w:rsidRPr="00481BDF">
        <w:rPr>
          <w:b/>
          <w:bCs/>
        </w:rPr>
        <w:t>..</w:t>
      </w:r>
      <w:r w:rsidR="00666518" w:rsidRPr="00666518">
        <w:rPr>
          <w:b/>
          <w:bCs/>
        </w:rPr>
        <w:t>…….</w:t>
      </w:r>
      <w:r w:rsidR="00481BDF" w:rsidRPr="00481BDF">
        <w:rPr>
          <w:b/>
          <w:bCs/>
        </w:rPr>
        <w:t>98</w:t>
      </w:r>
    </w:p>
    <w:p w14:paraId="187275F2" w14:textId="29C7E11D" w:rsidR="008015BC" w:rsidRPr="00981805" w:rsidRDefault="008015BC" w:rsidP="00140659">
      <w:pPr>
        <w:jc w:val="both"/>
      </w:pPr>
      <w:r w:rsidRPr="00B020FA">
        <w:rPr>
          <w:b/>
          <w:bCs/>
        </w:rPr>
        <w:t>Διερεύνηση της φόρτισης δαπέδου και της διαθεσιμότητας πόρων σε εμπορικές εκτροφές μικρών μηρυκαστικών στην Ελλάδα</w:t>
      </w:r>
      <w:r w:rsidR="00981805" w:rsidRPr="00981805">
        <w:rPr>
          <w:b/>
          <w:bCs/>
        </w:rPr>
        <w:t>…………………………………………………………………</w:t>
      </w:r>
      <w:r w:rsidR="00981805">
        <w:rPr>
          <w:b/>
          <w:bCs/>
        </w:rPr>
        <w:t>……</w:t>
      </w:r>
      <w:r w:rsidR="00981805" w:rsidRPr="00981805">
        <w:rPr>
          <w:b/>
          <w:bCs/>
        </w:rPr>
        <w:t>.100</w:t>
      </w:r>
    </w:p>
    <w:p w14:paraId="41EBE69A" w14:textId="7D7CDA53" w:rsidR="008015BC" w:rsidRPr="00981805" w:rsidRDefault="008015BC" w:rsidP="00140659">
      <w:pPr>
        <w:jc w:val="both"/>
      </w:pPr>
      <w:r w:rsidRPr="00B020FA">
        <w:rPr>
          <w:b/>
          <w:bCs/>
        </w:rPr>
        <w:t>Κλινική Προσέγγιση Νοσημάτων Νευρικού των Ενήλικων Προβάτων</w:t>
      </w:r>
      <w:r w:rsidR="00981805" w:rsidRPr="00981805">
        <w:rPr>
          <w:b/>
          <w:bCs/>
        </w:rPr>
        <w:t>………………………….102</w:t>
      </w:r>
    </w:p>
    <w:p w14:paraId="2CA769A9" w14:textId="2996C227" w:rsidR="008015BC" w:rsidRPr="00981805" w:rsidRDefault="008015BC" w:rsidP="00140659">
      <w:pPr>
        <w:jc w:val="both"/>
      </w:pPr>
      <w:r w:rsidRPr="008015BC">
        <w:rPr>
          <w:b/>
          <w:bCs/>
        </w:rPr>
        <w:t>Υποκλινικές Εντεροπάθειες στα Κρεοπαραγωγά Όρνιθια</w:t>
      </w:r>
      <w:r w:rsidR="00981805" w:rsidRPr="00981805">
        <w:rPr>
          <w:b/>
          <w:bCs/>
        </w:rPr>
        <w:t>…………………………………………..104</w:t>
      </w:r>
    </w:p>
    <w:p w14:paraId="7EDDC13B" w14:textId="6B6A6B2B" w:rsidR="008015BC" w:rsidRPr="00981805" w:rsidRDefault="008015BC" w:rsidP="00140659">
      <w:pPr>
        <w:jc w:val="both"/>
      </w:pPr>
      <w:r w:rsidRPr="00B020FA">
        <w:rPr>
          <w:b/>
          <w:bCs/>
        </w:rPr>
        <w:t>Περιστατικό Λοιμώδους Λαρρυγγοτραχειίτιδας σε Πτηνοτροφική Μονάδα Κρεοπαραγωγών Ορνίθων Βιολογικής Εκτροφής</w:t>
      </w:r>
      <w:r w:rsidR="00981805" w:rsidRPr="00981805">
        <w:rPr>
          <w:b/>
          <w:bCs/>
        </w:rPr>
        <w:t>……………………………………………………………………</w:t>
      </w:r>
      <w:r w:rsidR="00981805">
        <w:rPr>
          <w:b/>
          <w:bCs/>
        </w:rPr>
        <w:t>…………</w:t>
      </w:r>
      <w:r w:rsidR="00981805" w:rsidRPr="00981805">
        <w:rPr>
          <w:b/>
          <w:bCs/>
        </w:rPr>
        <w:t>106</w:t>
      </w:r>
    </w:p>
    <w:p w14:paraId="1D20748F" w14:textId="545BAA72" w:rsidR="006755E8" w:rsidRPr="00981805" w:rsidRDefault="006755E8" w:rsidP="00140659">
      <w:pPr>
        <w:jc w:val="both"/>
        <w:rPr>
          <w:b/>
          <w:bCs/>
        </w:rPr>
      </w:pPr>
      <w:r w:rsidRPr="00B020FA">
        <w:rPr>
          <w:b/>
          <w:bCs/>
        </w:rPr>
        <w:t>Πρόοδοι και Κλινικές Εφαρμογές της Υπερηχογραφίας στη Χοιροτροφία</w:t>
      </w:r>
      <w:r w:rsidR="00981805" w:rsidRPr="00981805">
        <w:rPr>
          <w:b/>
          <w:bCs/>
        </w:rPr>
        <w:t>.........................110</w:t>
      </w:r>
    </w:p>
    <w:p w14:paraId="4AA27D62" w14:textId="5244DF68" w:rsidR="006755E8" w:rsidRPr="006B6503" w:rsidRDefault="006755E8" w:rsidP="00140659">
      <w:pPr>
        <w:jc w:val="both"/>
        <w:rPr>
          <w:b/>
          <w:bCs/>
        </w:rPr>
      </w:pPr>
      <w:r>
        <w:rPr>
          <w:b/>
          <w:bCs/>
        </w:rPr>
        <w:t>ΑΝΑΙΣΘΗΣΙΟΛΟΓΙΑ &amp; ΕΝΤΑΤΙΚΗ ΘΕΡΑΠΕΙΑ</w:t>
      </w:r>
      <w:r w:rsidR="00014E7D" w:rsidRPr="00140659">
        <w:rPr>
          <w:b/>
          <w:bCs/>
        </w:rPr>
        <w:t xml:space="preserve"> </w:t>
      </w:r>
      <w:r w:rsidR="006B6503" w:rsidRPr="006B6503">
        <w:rPr>
          <w:b/>
          <w:bCs/>
        </w:rPr>
        <w:t>………………………………………………………………111</w:t>
      </w:r>
    </w:p>
    <w:p w14:paraId="6B3FAD76" w14:textId="165F1C3E" w:rsidR="006755E8" w:rsidRPr="006B6503" w:rsidRDefault="006755E8" w:rsidP="00140659">
      <w:pPr>
        <w:jc w:val="both"/>
      </w:pPr>
      <w:r w:rsidRPr="00B020FA">
        <w:rPr>
          <w:b/>
          <w:bCs/>
        </w:rPr>
        <w:t>Ολική Ενδοφλέβια Αναισθησία με Έγχυση Προποφόλης Προκαθορισμένου Στόχου</w:t>
      </w:r>
      <w:r w:rsidR="006B6503" w:rsidRPr="006B6503">
        <w:rPr>
          <w:b/>
          <w:bCs/>
        </w:rPr>
        <w:t>…</w:t>
      </w:r>
      <w:r w:rsidR="006B6503">
        <w:rPr>
          <w:b/>
          <w:bCs/>
        </w:rPr>
        <w:t>……</w:t>
      </w:r>
      <w:r w:rsidR="006B6503" w:rsidRPr="006B6503">
        <w:rPr>
          <w:b/>
          <w:bCs/>
        </w:rPr>
        <w:t>..111</w:t>
      </w:r>
    </w:p>
    <w:p w14:paraId="0459C609" w14:textId="0B90D158" w:rsidR="006755E8" w:rsidRPr="006B6503" w:rsidRDefault="006755E8" w:rsidP="00140659">
      <w:pPr>
        <w:jc w:val="both"/>
      </w:pPr>
      <w:r w:rsidRPr="00B020FA">
        <w:rPr>
          <w:b/>
          <w:bCs/>
        </w:rPr>
        <w:t>Αναδρομική Μελέτη Αναισθητικής Διαχείρισης Χειρουργικών Περιστατικών Αποκατάστασης Αναστομώσεων της Πυλαίας Φλέβας</w:t>
      </w:r>
      <w:r w:rsidR="006B6503" w:rsidRPr="006B6503">
        <w:rPr>
          <w:b/>
          <w:bCs/>
        </w:rPr>
        <w:t>……………………………………………</w:t>
      </w:r>
      <w:r w:rsidR="006B6503">
        <w:rPr>
          <w:b/>
          <w:bCs/>
        </w:rPr>
        <w:t>…</w:t>
      </w:r>
      <w:r w:rsidR="006B6503" w:rsidRPr="006B6503">
        <w:rPr>
          <w:b/>
          <w:bCs/>
        </w:rPr>
        <w:t>.113</w:t>
      </w:r>
    </w:p>
    <w:p w14:paraId="704907F8" w14:textId="0D45F61C" w:rsidR="006755E8" w:rsidRPr="006B6503" w:rsidRDefault="006755E8" w:rsidP="00140659">
      <w:pPr>
        <w:jc w:val="both"/>
        <w:rPr>
          <w:b/>
          <w:bCs/>
        </w:rPr>
      </w:pPr>
      <w:r w:rsidRPr="00B020FA">
        <w:rPr>
          <w:b/>
          <w:bCs/>
        </w:rPr>
        <w:t>Κλινική Προσέγγιση και Αναισθησιολογική Διαχείριση του Πολυτραυματία Σκύλου: Αναφορά σε 2 Περιστατικά</w:t>
      </w:r>
      <w:r w:rsidR="006B6503" w:rsidRPr="006B6503">
        <w:rPr>
          <w:b/>
          <w:bCs/>
        </w:rPr>
        <w:t>………………………………………………………………………………………………….114</w:t>
      </w:r>
    </w:p>
    <w:p w14:paraId="3433FFA4" w14:textId="269E5C3E" w:rsidR="00730E67" w:rsidRPr="00730E67" w:rsidRDefault="00730E67" w:rsidP="00140659">
      <w:pPr>
        <w:jc w:val="both"/>
        <w:rPr>
          <w:b/>
          <w:bCs/>
          <w:lang w:val="en-GB"/>
        </w:rPr>
      </w:pPr>
      <w:r>
        <w:rPr>
          <w:b/>
          <w:bCs/>
          <w:lang w:val="en-GB"/>
        </w:rPr>
        <w:t>ORAL ANNOUNCEMENTS</w:t>
      </w:r>
      <w:r w:rsidR="006B6503">
        <w:rPr>
          <w:b/>
          <w:bCs/>
          <w:lang w:val="en-GB"/>
        </w:rPr>
        <w:t>………………………………………………………………………………………115</w:t>
      </w:r>
    </w:p>
    <w:p w14:paraId="7E9A4B46" w14:textId="2A3A7E2E" w:rsidR="006755E8" w:rsidRPr="006755E8" w:rsidRDefault="006755E8" w:rsidP="00140659">
      <w:pPr>
        <w:jc w:val="both"/>
        <w:rPr>
          <w:lang w:val="en-GB"/>
        </w:rPr>
      </w:pPr>
      <w:r>
        <w:rPr>
          <w:b/>
          <w:bCs/>
          <w:lang w:val="en-GB"/>
        </w:rPr>
        <w:t>ORTHOPEDICS</w:t>
      </w:r>
      <w:r w:rsidR="006B6503">
        <w:rPr>
          <w:b/>
          <w:bCs/>
          <w:lang w:val="en-GB"/>
        </w:rPr>
        <w:t>…………………………………………………………………………………………………….115</w:t>
      </w:r>
    </w:p>
    <w:p w14:paraId="3B7688A1" w14:textId="5CF6D23B" w:rsidR="006755E8" w:rsidRPr="00382DF1" w:rsidRDefault="006755E8" w:rsidP="00140659">
      <w:pPr>
        <w:jc w:val="both"/>
        <w:rPr>
          <w:lang w:val="en-US"/>
        </w:rPr>
      </w:pPr>
      <w:r w:rsidRPr="00382DF1">
        <w:rPr>
          <w:b/>
          <w:bCs/>
          <w:lang w:val="en-US"/>
        </w:rPr>
        <w:t>Feline Orthopaedic Peculiarities. Why cats are not small dogs</w:t>
      </w:r>
      <w:r w:rsidR="006B6503" w:rsidRPr="00382DF1">
        <w:rPr>
          <w:b/>
          <w:bCs/>
          <w:lang w:val="en-US"/>
        </w:rPr>
        <w:t>........................................115</w:t>
      </w:r>
    </w:p>
    <w:p w14:paraId="1E7369D2" w14:textId="14E5F771" w:rsidR="006755E8" w:rsidRPr="00382DF1" w:rsidRDefault="006755E8" w:rsidP="00140659">
      <w:pPr>
        <w:jc w:val="both"/>
        <w:rPr>
          <w:lang w:val="en-US"/>
        </w:rPr>
      </w:pPr>
      <w:r w:rsidRPr="00382DF1">
        <w:rPr>
          <w:b/>
          <w:bCs/>
          <w:lang w:val="en-US"/>
        </w:rPr>
        <w:lastRenderedPageBreak/>
        <w:t>The Use of Stem Cells in the Repair of Fractures in Companion Animals</w:t>
      </w:r>
      <w:r w:rsidR="006B6503" w:rsidRPr="00382DF1">
        <w:rPr>
          <w:b/>
          <w:bCs/>
          <w:lang w:val="en-US"/>
        </w:rPr>
        <w:t>...........................116</w:t>
      </w:r>
    </w:p>
    <w:p w14:paraId="33BEA30C" w14:textId="0E18A04A" w:rsidR="006755E8" w:rsidRPr="00382DF1" w:rsidRDefault="006755E8" w:rsidP="00140659">
      <w:pPr>
        <w:jc w:val="both"/>
        <w:rPr>
          <w:lang w:val="en-US"/>
        </w:rPr>
      </w:pPr>
      <w:r w:rsidRPr="00382DF1">
        <w:rPr>
          <w:b/>
          <w:bCs/>
          <w:lang w:val="en-US"/>
        </w:rPr>
        <w:t>Surgical Treatment of Cranial Cruciate Ligament Rupture in the Dog: A Review and Comparison of Modern Techniques</w:t>
      </w:r>
      <w:r w:rsidR="006B6503" w:rsidRPr="00382DF1">
        <w:rPr>
          <w:b/>
          <w:bCs/>
          <w:lang w:val="en-US"/>
        </w:rPr>
        <w:t>...............................................................................118</w:t>
      </w:r>
    </w:p>
    <w:p w14:paraId="3381C286" w14:textId="53E4DD35" w:rsidR="006755E8" w:rsidRPr="00382DF1" w:rsidRDefault="006755E8" w:rsidP="00140659">
      <w:pPr>
        <w:jc w:val="both"/>
        <w:rPr>
          <w:lang w:val="en-US"/>
        </w:rPr>
      </w:pPr>
      <w:r w:rsidRPr="00382DF1">
        <w:rPr>
          <w:b/>
          <w:bCs/>
          <w:lang w:val="en-US"/>
        </w:rPr>
        <w:t>Complications Associated with Tibial Plateau Leveling Osteotomy in the Treatment of Cranial Cruciate Ligament Rupture in Dog</w:t>
      </w:r>
      <w:r w:rsidR="00014E7D" w:rsidRPr="00382DF1">
        <w:rPr>
          <w:b/>
          <w:bCs/>
          <w:lang w:val="en-US"/>
        </w:rPr>
        <w:t xml:space="preserve"> </w:t>
      </w:r>
      <w:r w:rsidR="006B6503" w:rsidRPr="00382DF1">
        <w:rPr>
          <w:b/>
          <w:bCs/>
          <w:lang w:val="en-US"/>
        </w:rPr>
        <w:t>....................................................................119</w:t>
      </w:r>
    </w:p>
    <w:p w14:paraId="14106D3E" w14:textId="5AEF6ADE" w:rsidR="006755E8" w:rsidRPr="00382DF1" w:rsidRDefault="006755E8" w:rsidP="00140659">
      <w:pPr>
        <w:jc w:val="both"/>
        <w:rPr>
          <w:b/>
          <w:bCs/>
          <w:lang w:val="en-US"/>
        </w:rPr>
      </w:pPr>
      <w:r w:rsidRPr="00382DF1">
        <w:rPr>
          <w:b/>
          <w:bCs/>
          <w:lang w:val="en-US"/>
        </w:rPr>
        <w:t>The Neuromuscular Dimension of Cranial Cruciate Ligament Rupture in Dogs: From Mechanical Stability to Functional Recovery</w:t>
      </w:r>
      <w:r w:rsidR="006B6503" w:rsidRPr="00382DF1">
        <w:rPr>
          <w:b/>
          <w:bCs/>
          <w:lang w:val="en-US"/>
        </w:rPr>
        <w:t>..................................................................121</w:t>
      </w:r>
    </w:p>
    <w:p w14:paraId="5803E85E" w14:textId="01162942" w:rsidR="00237021" w:rsidRPr="00382DF1" w:rsidRDefault="00237021" w:rsidP="00140659">
      <w:pPr>
        <w:jc w:val="both"/>
        <w:rPr>
          <w:lang w:val="en-US"/>
        </w:rPr>
      </w:pPr>
      <w:r w:rsidRPr="00382DF1">
        <w:rPr>
          <w:b/>
          <w:bCs/>
          <w:lang w:val="en-US"/>
        </w:rPr>
        <w:t>INTERNAL MEDICINE &amp; PATHOLOGY</w:t>
      </w:r>
      <w:r w:rsidR="006B6503" w:rsidRPr="00382DF1">
        <w:rPr>
          <w:b/>
          <w:bCs/>
          <w:lang w:val="en-US"/>
        </w:rPr>
        <w:t>..............................................................................123</w:t>
      </w:r>
    </w:p>
    <w:p w14:paraId="0B864940" w14:textId="00FD5BCB" w:rsidR="00237021" w:rsidRPr="00382DF1" w:rsidRDefault="00237021" w:rsidP="00140659">
      <w:pPr>
        <w:jc w:val="both"/>
        <w:rPr>
          <w:lang w:val="en-US"/>
        </w:rPr>
      </w:pPr>
      <w:r w:rsidRPr="00382DF1">
        <w:rPr>
          <w:b/>
          <w:bCs/>
          <w:lang w:val="en-US"/>
        </w:rPr>
        <w:t>Chronic Kidney Disease: The role of stem cells in kidney regeneration</w:t>
      </w:r>
      <w:r w:rsidR="006B6503" w:rsidRPr="00382DF1">
        <w:rPr>
          <w:b/>
          <w:bCs/>
          <w:lang w:val="en-US"/>
        </w:rPr>
        <w:t>.............................123</w:t>
      </w:r>
    </w:p>
    <w:p w14:paraId="39B4C2D7" w14:textId="7A73977F" w:rsidR="00237021" w:rsidRPr="00382DF1" w:rsidRDefault="00237021" w:rsidP="00140659">
      <w:pPr>
        <w:jc w:val="both"/>
        <w:rPr>
          <w:lang w:val="en-US"/>
        </w:rPr>
      </w:pPr>
      <w:r w:rsidRPr="00382DF1">
        <w:rPr>
          <w:b/>
          <w:bCs/>
          <w:lang w:val="en-US"/>
        </w:rPr>
        <w:t>Protein-losing enteropathy: Pathophysiology, Diagnosis and Clinical management</w:t>
      </w:r>
      <w:r w:rsidR="00DB25DE" w:rsidRPr="00382DF1">
        <w:rPr>
          <w:b/>
          <w:bCs/>
          <w:lang w:val="en-US"/>
        </w:rPr>
        <w:t>.........125</w:t>
      </w:r>
    </w:p>
    <w:p w14:paraId="66A37A7C" w14:textId="3F6FC74E" w:rsidR="00237021" w:rsidRPr="00382DF1" w:rsidRDefault="00237021" w:rsidP="00140659">
      <w:pPr>
        <w:jc w:val="both"/>
        <w:rPr>
          <w:lang w:val="en-US"/>
        </w:rPr>
      </w:pPr>
      <w:r w:rsidRPr="00382DF1">
        <w:rPr>
          <w:b/>
          <w:bCs/>
          <w:lang w:val="en-US"/>
        </w:rPr>
        <w:t>From hyperadrenocorticism to hypoaldosteronism: a rare complication of trilostane therapy</w:t>
      </w:r>
      <w:r w:rsidR="00666518" w:rsidRPr="00382DF1">
        <w:rPr>
          <w:b/>
          <w:bCs/>
          <w:lang w:val="en-US"/>
        </w:rPr>
        <w:t>........................................................................................................................</w:t>
      </w:r>
      <w:r w:rsidR="00DB25DE" w:rsidRPr="00382DF1">
        <w:rPr>
          <w:b/>
          <w:bCs/>
          <w:lang w:val="en-US"/>
        </w:rPr>
        <w:t>127</w:t>
      </w:r>
    </w:p>
    <w:p w14:paraId="289ED2B8" w14:textId="195E109F" w:rsidR="00237021" w:rsidRPr="00382DF1" w:rsidRDefault="00237021" w:rsidP="00140659">
      <w:pPr>
        <w:jc w:val="both"/>
        <w:rPr>
          <w:lang w:val="en-US"/>
        </w:rPr>
      </w:pPr>
      <w:r w:rsidRPr="00382DF1">
        <w:rPr>
          <w:b/>
          <w:bCs/>
          <w:lang w:val="en-US"/>
        </w:rPr>
        <w:t>Canine discoid lupus erythematosus: A case analysis.</w:t>
      </w:r>
      <w:r w:rsidR="00DB25DE" w:rsidRPr="00382DF1">
        <w:rPr>
          <w:b/>
          <w:bCs/>
          <w:lang w:val="en-US"/>
        </w:rPr>
        <w:t>...................................................129</w:t>
      </w:r>
    </w:p>
    <w:p w14:paraId="7006B75B" w14:textId="3E3DD34D" w:rsidR="00237021" w:rsidRPr="00382DF1" w:rsidRDefault="00237021" w:rsidP="00140659">
      <w:pPr>
        <w:jc w:val="both"/>
        <w:rPr>
          <w:lang w:val="en-US"/>
        </w:rPr>
      </w:pPr>
      <w:r w:rsidRPr="00382DF1">
        <w:rPr>
          <w:b/>
          <w:bCs/>
          <w:lang w:val="en-US"/>
        </w:rPr>
        <w:t>Bronchial asthma: a feline case</w:t>
      </w:r>
      <w:r w:rsidR="00014E7D" w:rsidRPr="00382DF1">
        <w:rPr>
          <w:b/>
          <w:bCs/>
          <w:lang w:val="en-US"/>
        </w:rPr>
        <w:t xml:space="preserve"> </w:t>
      </w:r>
      <w:r w:rsidR="00DB25DE" w:rsidRPr="00382DF1">
        <w:rPr>
          <w:b/>
          <w:bCs/>
          <w:lang w:val="en-US"/>
        </w:rPr>
        <w:t>....................................................................................131</w:t>
      </w:r>
    </w:p>
    <w:p w14:paraId="2826985C" w14:textId="2A8A1B95" w:rsidR="00237021" w:rsidRPr="00382DF1" w:rsidRDefault="00237021" w:rsidP="00140659">
      <w:pPr>
        <w:jc w:val="both"/>
        <w:rPr>
          <w:lang w:val="en-US"/>
        </w:rPr>
      </w:pPr>
      <w:r w:rsidRPr="00382DF1">
        <w:rPr>
          <w:b/>
          <w:bCs/>
          <w:lang w:val="en-US"/>
        </w:rPr>
        <w:t>The diagnostic value of liver biopsy and histopathological examination in dogs</w:t>
      </w:r>
      <w:r w:rsidR="00DB25DE" w:rsidRPr="00382DF1">
        <w:rPr>
          <w:b/>
          <w:bCs/>
          <w:lang w:val="en-US"/>
        </w:rPr>
        <w:t>................133</w:t>
      </w:r>
    </w:p>
    <w:p w14:paraId="6DA40446" w14:textId="1FFF6B37" w:rsidR="007F3237" w:rsidRPr="00237021" w:rsidRDefault="00237021" w:rsidP="00140659">
      <w:pPr>
        <w:jc w:val="both"/>
        <w:rPr>
          <w:b/>
          <w:bCs/>
          <w:lang w:val="en-GB"/>
        </w:rPr>
      </w:pPr>
      <w:r>
        <w:rPr>
          <w:b/>
          <w:bCs/>
          <w:lang w:val="en-GB"/>
        </w:rPr>
        <w:t>DENTAL MEDICINE, SOFT TISSUE SURGERY &amp; OPTHALMOLOGY</w:t>
      </w:r>
      <w:r w:rsidR="00DB25DE">
        <w:rPr>
          <w:b/>
          <w:bCs/>
          <w:lang w:val="en-GB"/>
        </w:rPr>
        <w:t>…………………………………135</w:t>
      </w:r>
    </w:p>
    <w:p w14:paraId="1629A18C" w14:textId="4C06B820" w:rsidR="00237021" w:rsidRPr="00382DF1" w:rsidRDefault="00237021" w:rsidP="00140659">
      <w:pPr>
        <w:jc w:val="both"/>
        <w:rPr>
          <w:lang w:val="en-US"/>
        </w:rPr>
      </w:pPr>
      <w:r w:rsidRPr="00382DF1">
        <w:rPr>
          <w:b/>
          <w:bCs/>
          <w:lang w:val="en-US"/>
        </w:rPr>
        <w:t>Congenital Anomalies of the Oral Cavity and the Jaws in Dogs and Cats</w:t>
      </w:r>
      <w:r w:rsidR="00DB25DE" w:rsidRPr="00382DF1">
        <w:rPr>
          <w:b/>
          <w:bCs/>
          <w:lang w:val="en-US"/>
        </w:rPr>
        <w:t>...........................135</w:t>
      </w:r>
    </w:p>
    <w:p w14:paraId="5627408A" w14:textId="16E9BC37" w:rsidR="00237021" w:rsidRPr="00D531C3" w:rsidRDefault="00237021" w:rsidP="00140659">
      <w:pPr>
        <w:jc w:val="both"/>
        <w:rPr>
          <w:lang w:val="en-GB"/>
        </w:rPr>
      </w:pPr>
      <w:r w:rsidRPr="00382DF1">
        <w:rPr>
          <w:b/>
          <w:bCs/>
          <w:lang w:val="en-US"/>
        </w:rPr>
        <w:t>Gallbladder</w:t>
      </w:r>
      <w:r w:rsidRPr="00D531C3">
        <w:rPr>
          <w:b/>
          <w:bCs/>
          <w:lang w:val="en-GB"/>
        </w:rPr>
        <w:t xml:space="preserve"> </w:t>
      </w:r>
      <w:r w:rsidRPr="00382DF1">
        <w:rPr>
          <w:b/>
          <w:bCs/>
          <w:lang w:val="en-US"/>
        </w:rPr>
        <w:t>Mucocele</w:t>
      </w:r>
      <w:r w:rsidRPr="00D531C3">
        <w:rPr>
          <w:b/>
          <w:bCs/>
          <w:lang w:val="en-GB"/>
        </w:rPr>
        <w:t xml:space="preserve">: </w:t>
      </w:r>
      <w:r w:rsidRPr="00382DF1">
        <w:rPr>
          <w:b/>
          <w:bCs/>
          <w:lang w:val="en-US"/>
        </w:rPr>
        <w:t>Retrospective</w:t>
      </w:r>
      <w:r w:rsidRPr="00D531C3">
        <w:rPr>
          <w:b/>
          <w:bCs/>
          <w:lang w:val="en-GB"/>
        </w:rPr>
        <w:t xml:space="preserve"> </w:t>
      </w:r>
      <w:r w:rsidRPr="00382DF1">
        <w:rPr>
          <w:b/>
          <w:bCs/>
          <w:lang w:val="en-US"/>
        </w:rPr>
        <w:t>Study</w:t>
      </w:r>
      <w:r w:rsidRPr="00D531C3">
        <w:rPr>
          <w:b/>
          <w:bCs/>
          <w:lang w:val="en-GB"/>
        </w:rPr>
        <w:t xml:space="preserve"> </w:t>
      </w:r>
      <w:r w:rsidRPr="00382DF1">
        <w:rPr>
          <w:b/>
          <w:bCs/>
          <w:lang w:val="en-US"/>
        </w:rPr>
        <w:t>in</w:t>
      </w:r>
      <w:r w:rsidRPr="00D531C3">
        <w:rPr>
          <w:b/>
          <w:bCs/>
          <w:lang w:val="en-GB"/>
        </w:rPr>
        <w:t xml:space="preserve"> </w:t>
      </w:r>
      <w:r w:rsidRPr="00382DF1">
        <w:rPr>
          <w:b/>
          <w:bCs/>
          <w:lang w:val="en-US"/>
        </w:rPr>
        <w:t>Clinical</w:t>
      </w:r>
      <w:r w:rsidRPr="00D531C3">
        <w:rPr>
          <w:b/>
          <w:bCs/>
          <w:lang w:val="en-GB"/>
        </w:rPr>
        <w:t xml:space="preserve"> </w:t>
      </w:r>
      <w:r w:rsidRPr="00382DF1">
        <w:rPr>
          <w:b/>
          <w:bCs/>
          <w:lang w:val="en-US"/>
        </w:rPr>
        <w:t>Cases</w:t>
      </w:r>
      <w:r w:rsidR="00DB25DE" w:rsidRPr="00382DF1">
        <w:rPr>
          <w:b/>
          <w:bCs/>
          <w:lang w:val="en-US"/>
        </w:rPr>
        <w:t>........................................137</w:t>
      </w:r>
    </w:p>
    <w:p w14:paraId="3AE3CF51" w14:textId="3945B71E" w:rsidR="00237021" w:rsidRPr="00382DF1" w:rsidRDefault="00237021" w:rsidP="00140659">
      <w:pPr>
        <w:jc w:val="both"/>
        <w:rPr>
          <w:lang w:val="en-US"/>
        </w:rPr>
      </w:pPr>
      <w:r w:rsidRPr="00382DF1">
        <w:rPr>
          <w:b/>
          <w:bCs/>
          <w:lang w:val="en-US"/>
        </w:rPr>
        <w:t>Anoplasty for the Excision of Anal Sac Gland Adenocarcinoma (AGASACA) in a Dog</w:t>
      </w:r>
      <w:r w:rsidR="00666518" w:rsidRPr="00382DF1">
        <w:rPr>
          <w:b/>
          <w:bCs/>
          <w:lang w:val="en-US"/>
        </w:rPr>
        <w:t>.........</w:t>
      </w:r>
      <w:r w:rsidR="00DB25DE" w:rsidRPr="00382DF1">
        <w:rPr>
          <w:b/>
          <w:bCs/>
          <w:lang w:val="en-US"/>
        </w:rPr>
        <w:t>.138</w:t>
      </w:r>
    </w:p>
    <w:p w14:paraId="50952074" w14:textId="00C3AA06" w:rsidR="00237021" w:rsidRPr="00382DF1" w:rsidRDefault="00237021" w:rsidP="00140659">
      <w:pPr>
        <w:jc w:val="both"/>
        <w:rPr>
          <w:lang w:val="en-US"/>
        </w:rPr>
      </w:pPr>
      <w:r w:rsidRPr="00382DF1">
        <w:rPr>
          <w:b/>
          <w:bCs/>
          <w:lang w:val="en-US"/>
        </w:rPr>
        <w:t>Surgical Resection of Thoracic Wall Osteosarcoma in Canines: Surgical Techniques and Case Report</w:t>
      </w:r>
      <w:r w:rsidR="00014E7D" w:rsidRPr="00382DF1">
        <w:rPr>
          <w:b/>
          <w:bCs/>
          <w:lang w:val="en-US"/>
        </w:rPr>
        <w:t xml:space="preserve"> </w:t>
      </w:r>
      <w:r w:rsidR="00DB25DE" w:rsidRPr="00382DF1">
        <w:rPr>
          <w:b/>
          <w:bCs/>
          <w:lang w:val="en-US"/>
        </w:rPr>
        <w:t>................................................................................................................140</w:t>
      </w:r>
    </w:p>
    <w:p w14:paraId="040AEDAB" w14:textId="65176A34" w:rsidR="00237021" w:rsidRPr="00382DF1" w:rsidRDefault="00237021" w:rsidP="00140659">
      <w:pPr>
        <w:jc w:val="both"/>
        <w:rPr>
          <w:lang w:val="en-US"/>
        </w:rPr>
      </w:pPr>
      <w:r w:rsidRPr="00382DF1">
        <w:rPr>
          <w:b/>
          <w:bCs/>
          <w:lang w:val="en-US"/>
        </w:rPr>
        <w:t>Divergent Exophthalmos and Cataract in a Dog.</w:t>
      </w:r>
      <w:r w:rsidR="00DB25DE" w:rsidRPr="00382DF1">
        <w:rPr>
          <w:b/>
          <w:bCs/>
          <w:lang w:val="en-US"/>
        </w:rPr>
        <w:t>.............................................................141</w:t>
      </w:r>
    </w:p>
    <w:p w14:paraId="689C3648" w14:textId="4F4E84E0" w:rsidR="007F3237" w:rsidRPr="00382DF1" w:rsidRDefault="00237021" w:rsidP="00140659">
      <w:pPr>
        <w:jc w:val="both"/>
        <w:rPr>
          <w:b/>
          <w:bCs/>
          <w:lang w:val="en-US"/>
        </w:rPr>
      </w:pPr>
      <w:r w:rsidRPr="00382DF1">
        <w:rPr>
          <w:b/>
          <w:bCs/>
          <w:lang w:val="en-US"/>
        </w:rPr>
        <w:t>LABORATORY ANIMALS &amp; ICHTHYOLOGY</w:t>
      </w:r>
      <w:r w:rsidR="00DB25DE" w:rsidRPr="00382DF1">
        <w:rPr>
          <w:b/>
          <w:bCs/>
          <w:lang w:val="en-US"/>
        </w:rPr>
        <w:t>......................................................................143</w:t>
      </w:r>
    </w:p>
    <w:p w14:paraId="74E5848D" w14:textId="1038CF21" w:rsidR="00237021" w:rsidRPr="00382DF1" w:rsidRDefault="00237021" w:rsidP="00140659">
      <w:pPr>
        <w:jc w:val="both"/>
        <w:rPr>
          <w:lang w:val="en-US"/>
        </w:rPr>
      </w:pPr>
      <w:r w:rsidRPr="00382DF1">
        <w:rPr>
          <w:b/>
          <w:bCs/>
          <w:lang w:val="en-US"/>
        </w:rPr>
        <w:t>Cancer “neuroscience¨: An emerging research field</w:t>
      </w:r>
      <w:r w:rsidR="00DB25DE" w:rsidRPr="00382DF1">
        <w:rPr>
          <w:b/>
          <w:bCs/>
          <w:lang w:val="en-US"/>
        </w:rPr>
        <w:t>......................................................143</w:t>
      </w:r>
    </w:p>
    <w:p w14:paraId="241B1B92" w14:textId="7A221BA7" w:rsidR="00237021" w:rsidRPr="00382DF1" w:rsidRDefault="00237021" w:rsidP="00140659">
      <w:pPr>
        <w:jc w:val="both"/>
        <w:rPr>
          <w:lang w:val="en-US"/>
        </w:rPr>
      </w:pPr>
      <w:r w:rsidRPr="00382DF1">
        <w:rPr>
          <w:b/>
          <w:bCs/>
          <w:lang w:val="en-US"/>
        </w:rPr>
        <w:t>The Rabbit as an Experimental Animal Model: Characterization of Its Gut Microbiota and Its Critical Role in Ensuring Valid and Reproducible Experimental Outcomes</w:t>
      </w:r>
      <w:r w:rsidR="00DB25DE" w:rsidRPr="00382DF1">
        <w:rPr>
          <w:b/>
          <w:bCs/>
          <w:lang w:val="en-US"/>
        </w:rPr>
        <w:t>.......................145</w:t>
      </w:r>
    </w:p>
    <w:p w14:paraId="3EFD7DBD" w14:textId="3E4BC15E" w:rsidR="00237021" w:rsidRPr="00382DF1" w:rsidRDefault="00237021" w:rsidP="00140659">
      <w:pPr>
        <w:jc w:val="both"/>
        <w:rPr>
          <w:lang w:val="en-US"/>
        </w:rPr>
      </w:pPr>
      <w:r w:rsidRPr="00382DF1">
        <w:rPr>
          <w:b/>
          <w:bCs/>
          <w:lang w:val="en-US"/>
        </w:rPr>
        <w:t>Influence of Biological Sex in Laboratory Animals on Experimental Outcomes</w:t>
      </w:r>
      <w:r w:rsidR="00DB25DE" w:rsidRPr="00382DF1">
        <w:rPr>
          <w:b/>
          <w:bCs/>
          <w:lang w:val="en-US"/>
        </w:rPr>
        <w:t>.................152</w:t>
      </w:r>
    </w:p>
    <w:p w14:paraId="1DCDA35D" w14:textId="03B104D2" w:rsidR="00237021" w:rsidRPr="00382DF1" w:rsidRDefault="00237021" w:rsidP="00140659">
      <w:pPr>
        <w:jc w:val="both"/>
        <w:rPr>
          <w:lang w:val="en-US"/>
        </w:rPr>
      </w:pPr>
      <w:r w:rsidRPr="00382DF1">
        <w:rPr>
          <w:b/>
          <w:bCs/>
          <w:lang w:val="en-US"/>
        </w:rPr>
        <w:t>Surgery in fish: Fundamental principles and clinical applications</w:t>
      </w:r>
      <w:r w:rsidR="00DB25DE" w:rsidRPr="00382DF1">
        <w:rPr>
          <w:b/>
          <w:bCs/>
          <w:lang w:val="en-US"/>
        </w:rPr>
        <w:t>...................................154</w:t>
      </w:r>
    </w:p>
    <w:p w14:paraId="7500E93E" w14:textId="687DEEAC" w:rsidR="00237021" w:rsidRPr="00382DF1" w:rsidRDefault="00237021" w:rsidP="00140659">
      <w:pPr>
        <w:jc w:val="both"/>
        <w:rPr>
          <w:b/>
          <w:bCs/>
          <w:lang w:val="en-US"/>
        </w:rPr>
      </w:pPr>
      <w:r w:rsidRPr="00382DF1">
        <w:rPr>
          <w:b/>
          <w:bCs/>
          <w:lang w:val="en-US"/>
        </w:rPr>
        <w:t>Practical anaesthetic toolkit for fish in small animal practise</w:t>
      </w:r>
      <w:r w:rsidR="00DB25DE" w:rsidRPr="00382DF1">
        <w:rPr>
          <w:b/>
          <w:bCs/>
          <w:lang w:val="en-US"/>
        </w:rPr>
        <w:t>..........................................155</w:t>
      </w:r>
    </w:p>
    <w:p w14:paraId="38C49870" w14:textId="18F0F7F2" w:rsidR="00237021" w:rsidRPr="00382DF1" w:rsidRDefault="00237021" w:rsidP="00140659">
      <w:pPr>
        <w:jc w:val="both"/>
        <w:rPr>
          <w:lang w:val="en-US"/>
        </w:rPr>
      </w:pPr>
      <w:r w:rsidRPr="00382DF1">
        <w:rPr>
          <w:b/>
          <w:bCs/>
          <w:lang w:val="en-US"/>
        </w:rPr>
        <w:t>DIAGNOSTIC IMAGING</w:t>
      </w:r>
      <w:r w:rsidR="00014E7D" w:rsidRPr="00382DF1">
        <w:rPr>
          <w:b/>
          <w:bCs/>
          <w:lang w:val="en-US"/>
        </w:rPr>
        <w:t xml:space="preserve"> </w:t>
      </w:r>
      <w:r w:rsidR="00DB25DE" w:rsidRPr="00382DF1">
        <w:rPr>
          <w:b/>
          <w:bCs/>
          <w:lang w:val="en-US"/>
        </w:rPr>
        <w:t>.................................................................................................156</w:t>
      </w:r>
    </w:p>
    <w:p w14:paraId="3F00F426" w14:textId="72ECD5F2" w:rsidR="00237021" w:rsidRPr="00382DF1" w:rsidRDefault="00237021" w:rsidP="00140659">
      <w:pPr>
        <w:jc w:val="both"/>
        <w:rPr>
          <w:lang w:val="en-US"/>
        </w:rPr>
      </w:pPr>
      <w:r w:rsidRPr="00382DF1">
        <w:rPr>
          <w:b/>
          <w:bCs/>
          <w:lang w:val="en-US"/>
        </w:rPr>
        <w:t>Artificial Intelligence (A.I.) in Renal Ultrasonography: A Comparative Study of Available Techniques and Methods</w:t>
      </w:r>
      <w:r w:rsidR="00DB25DE" w:rsidRPr="00382DF1">
        <w:rPr>
          <w:b/>
          <w:bCs/>
          <w:lang w:val="en-US"/>
        </w:rPr>
        <w:t>..............................................................................................156</w:t>
      </w:r>
    </w:p>
    <w:p w14:paraId="22A31CC4" w14:textId="535ACED5" w:rsidR="00237021" w:rsidRPr="00382DF1" w:rsidRDefault="00237021" w:rsidP="00140659">
      <w:pPr>
        <w:jc w:val="both"/>
        <w:rPr>
          <w:lang w:val="en-US"/>
        </w:rPr>
      </w:pPr>
      <w:r w:rsidRPr="00382DF1">
        <w:rPr>
          <w:b/>
          <w:bCs/>
          <w:lang w:val="en-US"/>
        </w:rPr>
        <w:t>Modern Imaging Indices in Canine Cardiology: RPAD, LADi, and VLAS</w:t>
      </w:r>
      <w:r w:rsidR="00DB25DE" w:rsidRPr="00382DF1">
        <w:rPr>
          <w:b/>
          <w:bCs/>
          <w:lang w:val="en-US"/>
        </w:rPr>
        <w:t>..............................157</w:t>
      </w:r>
    </w:p>
    <w:p w14:paraId="1076FE29" w14:textId="6F64CEEF" w:rsidR="007F3237" w:rsidRPr="00382DF1" w:rsidRDefault="00237021" w:rsidP="00140659">
      <w:pPr>
        <w:jc w:val="both"/>
        <w:rPr>
          <w:b/>
          <w:bCs/>
          <w:lang w:val="en-US"/>
        </w:rPr>
      </w:pPr>
      <w:r w:rsidRPr="00382DF1">
        <w:rPr>
          <w:b/>
          <w:bCs/>
          <w:lang w:val="en-US"/>
        </w:rPr>
        <w:lastRenderedPageBreak/>
        <w:t>EXOTIC &amp; WILD ANIMALS</w:t>
      </w:r>
      <w:r w:rsidR="00014E7D" w:rsidRPr="00382DF1">
        <w:rPr>
          <w:b/>
          <w:bCs/>
          <w:lang w:val="en-US"/>
        </w:rPr>
        <w:t xml:space="preserve"> </w:t>
      </w:r>
      <w:r w:rsidR="00DB25DE" w:rsidRPr="00382DF1">
        <w:rPr>
          <w:b/>
          <w:bCs/>
          <w:lang w:val="en-US"/>
        </w:rPr>
        <w:t>.............................................................................................159</w:t>
      </w:r>
    </w:p>
    <w:p w14:paraId="303CB710" w14:textId="0963A6BB" w:rsidR="00237021" w:rsidRPr="00382DF1" w:rsidRDefault="00237021" w:rsidP="00140659">
      <w:pPr>
        <w:jc w:val="both"/>
        <w:rPr>
          <w:lang w:val="en-US"/>
        </w:rPr>
      </w:pPr>
      <w:r w:rsidRPr="00382DF1">
        <w:rPr>
          <w:b/>
          <w:bCs/>
          <w:lang w:val="en-US"/>
        </w:rPr>
        <w:t>Beak and Feather Disease in Psittaciformes: Clinical Approach, Diagnostic Options, and Practical Management</w:t>
      </w:r>
      <w:r w:rsidR="00014E7D" w:rsidRPr="00382DF1">
        <w:rPr>
          <w:b/>
          <w:bCs/>
          <w:lang w:val="en-US"/>
        </w:rPr>
        <w:t xml:space="preserve"> </w:t>
      </w:r>
      <w:r w:rsidR="00DB25DE" w:rsidRPr="00382DF1">
        <w:rPr>
          <w:b/>
          <w:bCs/>
          <w:lang w:val="en-US"/>
        </w:rPr>
        <w:t>.................................................................................................159</w:t>
      </w:r>
    </w:p>
    <w:p w14:paraId="2447B15D" w14:textId="42D95B29" w:rsidR="00237021" w:rsidRPr="00382DF1" w:rsidRDefault="00237021" w:rsidP="00140659">
      <w:pPr>
        <w:jc w:val="both"/>
        <w:rPr>
          <w:lang w:val="en-US"/>
        </w:rPr>
      </w:pPr>
      <w:r w:rsidRPr="00382DF1">
        <w:rPr>
          <w:b/>
          <w:bCs/>
          <w:lang w:val="en-US"/>
        </w:rPr>
        <w:t>Invisible threats; Zoonoses in pet reptiles</w:t>
      </w:r>
      <w:r w:rsidR="00DB25DE" w:rsidRPr="00382DF1">
        <w:rPr>
          <w:b/>
          <w:bCs/>
          <w:lang w:val="en-US"/>
        </w:rPr>
        <w:t>......................................................................160</w:t>
      </w:r>
    </w:p>
    <w:p w14:paraId="6D6BFA60" w14:textId="4F8514AD" w:rsidR="00237021" w:rsidRPr="00382DF1" w:rsidRDefault="00237021" w:rsidP="00140659">
      <w:pPr>
        <w:jc w:val="both"/>
        <w:rPr>
          <w:lang w:val="en-US"/>
        </w:rPr>
      </w:pPr>
      <w:r w:rsidRPr="00382DF1">
        <w:rPr>
          <w:b/>
          <w:bCs/>
          <w:lang w:val="en-US"/>
        </w:rPr>
        <w:t>Wolf and Dog hybridization: A rising threat</w:t>
      </w:r>
      <w:r w:rsidR="00DB25DE" w:rsidRPr="00382DF1">
        <w:rPr>
          <w:b/>
          <w:bCs/>
          <w:lang w:val="en-US"/>
        </w:rPr>
        <w:t>.....................................................................16</w:t>
      </w:r>
      <w:r w:rsidR="00A26751" w:rsidRPr="00382DF1">
        <w:rPr>
          <w:b/>
          <w:bCs/>
          <w:lang w:val="en-US"/>
        </w:rPr>
        <w:t>2</w:t>
      </w:r>
    </w:p>
    <w:p w14:paraId="62711A8D" w14:textId="3A8E75AB" w:rsidR="00237021" w:rsidRPr="00382DF1" w:rsidRDefault="00237021" w:rsidP="00140659">
      <w:pPr>
        <w:jc w:val="both"/>
        <w:rPr>
          <w:lang w:val="en-US"/>
        </w:rPr>
      </w:pPr>
      <w:r w:rsidRPr="00382DF1">
        <w:rPr>
          <w:b/>
          <w:bCs/>
          <w:lang w:val="en-US"/>
        </w:rPr>
        <w:t>From Darkness to Innovation: Unveiling the Secrets of Bats</w:t>
      </w:r>
      <w:r w:rsidR="00DB25DE" w:rsidRPr="00382DF1">
        <w:rPr>
          <w:b/>
          <w:bCs/>
          <w:lang w:val="en-US"/>
        </w:rPr>
        <w:t>............................................16</w:t>
      </w:r>
      <w:r w:rsidR="00A26751" w:rsidRPr="00382DF1">
        <w:rPr>
          <w:b/>
          <w:bCs/>
          <w:lang w:val="en-US"/>
        </w:rPr>
        <w:t>4</w:t>
      </w:r>
    </w:p>
    <w:p w14:paraId="28147FCC" w14:textId="3F771FD1" w:rsidR="00237021" w:rsidRPr="00382DF1" w:rsidRDefault="00237021" w:rsidP="00140659">
      <w:pPr>
        <w:jc w:val="both"/>
        <w:rPr>
          <w:lang w:val="en-US"/>
        </w:rPr>
      </w:pPr>
      <w:r w:rsidRPr="00382DF1">
        <w:rPr>
          <w:b/>
          <w:bCs/>
          <w:lang w:val="en-US"/>
        </w:rPr>
        <w:t>Application and stranding data of cetaceans at the Mediterranean Sea &amp; Criteria for human interaction</w:t>
      </w:r>
      <w:r w:rsidR="00014E7D" w:rsidRPr="00382DF1">
        <w:rPr>
          <w:b/>
          <w:bCs/>
          <w:lang w:val="en-US"/>
        </w:rPr>
        <w:t xml:space="preserve"> </w:t>
      </w:r>
      <w:r w:rsidR="00A26751" w:rsidRPr="00382DF1">
        <w:rPr>
          <w:b/>
          <w:bCs/>
          <w:lang w:val="en-US"/>
        </w:rPr>
        <w:t>..................................................................................................................166</w:t>
      </w:r>
    </w:p>
    <w:p w14:paraId="35777027" w14:textId="1C5C7E58" w:rsidR="00237021" w:rsidRPr="00382DF1" w:rsidRDefault="00237021" w:rsidP="00140659">
      <w:pPr>
        <w:jc w:val="both"/>
        <w:rPr>
          <w:lang w:val="en-US"/>
        </w:rPr>
      </w:pPr>
      <w:r w:rsidRPr="00382DF1">
        <w:rPr>
          <w:b/>
          <w:bCs/>
          <w:lang w:val="en-US"/>
        </w:rPr>
        <w:t xml:space="preserve">Dolphins’ Interaction with Aquaculture in the Mediterranean Sea, with special reference to the bottlenose dolphin (Tursiops </w:t>
      </w:r>
      <w:r w:rsidR="00A26751" w:rsidRPr="00382DF1">
        <w:rPr>
          <w:b/>
          <w:bCs/>
          <w:lang w:val="en-US"/>
        </w:rPr>
        <w:t>truncatus) ..................................................................169</w:t>
      </w:r>
    </w:p>
    <w:p w14:paraId="0DA7F9BC" w14:textId="50FE1697" w:rsidR="00237021" w:rsidRPr="00382DF1" w:rsidRDefault="00543FCC" w:rsidP="00140659">
      <w:pPr>
        <w:jc w:val="both"/>
        <w:rPr>
          <w:b/>
          <w:bCs/>
          <w:lang w:val="en-US"/>
        </w:rPr>
      </w:pPr>
      <w:r w:rsidRPr="00382DF1">
        <w:rPr>
          <w:b/>
          <w:bCs/>
          <w:lang w:val="en-US"/>
        </w:rPr>
        <w:t>NEUROLOGY, BEHAVIOR &amp; PHYSIOLOGY OF ANIMALS</w:t>
      </w:r>
      <w:r w:rsidR="00A26751" w:rsidRPr="00382DF1">
        <w:rPr>
          <w:b/>
          <w:bCs/>
          <w:lang w:val="en-US"/>
        </w:rPr>
        <w:t>...................................................171</w:t>
      </w:r>
    </w:p>
    <w:p w14:paraId="5CD8329D" w14:textId="40D3E12D" w:rsidR="00543FCC" w:rsidRPr="00382DF1" w:rsidRDefault="00543FCC" w:rsidP="00140659">
      <w:pPr>
        <w:jc w:val="both"/>
        <w:rPr>
          <w:lang w:val="en-US"/>
        </w:rPr>
      </w:pPr>
      <w:r w:rsidRPr="00382DF1">
        <w:rPr>
          <w:b/>
          <w:bCs/>
          <w:lang w:val="en-US"/>
        </w:rPr>
        <w:t>Neurogenesis in the Young and Aged Canine Brain: Potential Applications in the Management of Neurological Diseases</w:t>
      </w:r>
      <w:r w:rsidR="00A26751" w:rsidRPr="00382DF1">
        <w:rPr>
          <w:b/>
          <w:bCs/>
          <w:lang w:val="en-US"/>
        </w:rPr>
        <w:t>.........................................................................171</w:t>
      </w:r>
    </w:p>
    <w:p w14:paraId="6D1A9F8D" w14:textId="65769570" w:rsidR="00543FCC" w:rsidRPr="00382DF1" w:rsidRDefault="00543FCC" w:rsidP="00140659">
      <w:pPr>
        <w:jc w:val="both"/>
        <w:rPr>
          <w:lang w:val="en-US"/>
        </w:rPr>
      </w:pPr>
      <w:r w:rsidRPr="00382DF1">
        <w:rPr>
          <w:b/>
          <w:bCs/>
          <w:lang w:val="en-US"/>
        </w:rPr>
        <w:t>Meningoencephalitis of unknown origin (MUO)</w:t>
      </w:r>
      <w:r w:rsidR="00A26751" w:rsidRPr="00382DF1">
        <w:rPr>
          <w:b/>
          <w:bCs/>
          <w:lang w:val="en-US"/>
        </w:rPr>
        <w:t>..............................................................173</w:t>
      </w:r>
    </w:p>
    <w:p w14:paraId="3167E15B" w14:textId="13A27911" w:rsidR="00543FCC" w:rsidRPr="00382DF1" w:rsidRDefault="00543FCC" w:rsidP="00140659">
      <w:pPr>
        <w:jc w:val="both"/>
        <w:rPr>
          <w:lang w:val="en-US"/>
        </w:rPr>
      </w:pPr>
      <w:r w:rsidRPr="00382DF1">
        <w:rPr>
          <w:b/>
          <w:bCs/>
          <w:lang w:val="en-US"/>
        </w:rPr>
        <w:t>Training as a Clinical Tool: Neurobiological Mechanisms and Application of Cooperative Care in Dogs</w:t>
      </w:r>
      <w:r w:rsidR="00A26751" w:rsidRPr="00382DF1">
        <w:rPr>
          <w:b/>
          <w:bCs/>
          <w:lang w:val="en-US"/>
        </w:rPr>
        <w:t>................................................................................................................175</w:t>
      </w:r>
    </w:p>
    <w:p w14:paraId="793D20B8" w14:textId="5C36EB11" w:rsidR="00543FCC" w:rsidRPr="00382DF1" w:rsidRDefault="00543FCC" w:rsidP="00140659">
      <w:pPr>
        <w:jc w:val="both"/>
        <w:rPr>
          <w:lang w:val="en-US"/>
        </w:rPr>
      </w:pPr>
      <w:r w:rsidRPr="00382DF1">
        <w:rPr>
          <w:b/>
          <w:bCs/>
          <w:lang w:val="en-US"/>
        </w:rPr>
        <w:t>Homosexuality in Animals: A Game of Genetic Predisposition and Environmental Conditions</w:t>
      </w:r>
      <w:r w:rsidR="00014E7D" w:rsidRPr="00382DF1">
        <w:rPr>
          <w:b/>
          <w:bCs/>
          <w:lang w:val="en-US"/>
        </w:rPr>
        <w:t xml:space="preserve"> .................</w:t>
      </w:r>
      <w:r w:rsidR="00666518" w:rsidRPr="00382DF1">
        <w:rPr>
          <w:b/>
          <w:bCs/>
          <w:lang w:val="en-US"/>
        </w:rPr>
        <w:t>..................................................................................................................</w:t>
      </w:r>
      <w:r w:rsidR="00A26751" w:rsidRPr="00382DF1">
        <w:rPr>
          <w:b/>
          <w:bCs/>
          <w:lang w:val="en-US"/>
        </w:rPr>
        <w:t>176</w:t>
      </w:r>
    </w:p>
    <w:p w14:paraId="391D29AE" w14:textId="10CF1983" w:rsidR="00543FCC" w:rsidRPr="00382DF1" w:rsidRDefault="00543FCC" w:rsidP="00140659">
      <w:pPr>
        <w:jc w:val="both"/>
        <w:rPr>
          <w:b/>
          <w:bCs/>
          <w:lang w:val="en-US"/>
        </w:rPr>
      </w:pPr>
      <w:r w:rsidRPr="00382DF1">
        <w:rPr>
          <w:b/>
          <w:bCs/>
          <w:lang w:val="en-US"/>
        </w:rPr>
        <w:t>Dogs’ Ability to Detect Diseases at Early Stages through Olfaction</w:t>
      </w:r>
      <w:r w:rsidR="00A26751" w:rsidRPr="00382DF1">
        <w:rPr>
          <w:b/>
          <w:bCs/>
          <w:lang w:val="en-US"/>
        </w:rPr>
        <w:t>..................................179</w:t>
      </w:r>
    </w:p>
    <w:p w14:paraId="4D982250" w14:textId="41E4C205" w:rsidR="00543FCC" w:rsidRPr="00382DF1" w:rsidRDefault="00543FCC" w:rsidP="00140659">
      <w:pPr>
        <w:jc w:val="both"/>
        <w:rPr>
          <w:lang w:val="en-US"/>
        </w:rPr>
      </w:pPr>
      <w:r w:rsidRPr="00382DF1">
        <w:rPr>
          <w:b/>
          <w:bCs/>
          <w:lang w:val="en-US"/>
        </w:rPr>
        <w:t>EQUINES</w:t>
      </w:r>
      <w:r w:rsidR="00014E7D" w:rsidRPr="00382DF1">
        <w:rPr>
          <w:b/>
          <w:bCs/>
          <w:lang w:val="en-US"/>
        </w:rPr>
        <w:t xml:space="preserve"> </w:t>
      </w:r>
      <w:r w:rsidR="00A26751" w:rsidRPr="00382DF1">
        <w:rPr>
          <w:b/>
          <w:bCs/>
          <w:lang w:val="en-US"/>
        </w:rPr>
        <w:t>.....................................................................................................................181</w:t>
      </w:r>
    </w:p>
    <w:p w14:paraId="145E88E8" w14:textId="7EF30D92" w:rsidR="00543FCC" w:rsidRPr="00382DF1" w:rsidRDefault="00543FCC" w:rsidP="00140659">
      <w:pPr>
        <w:jc w:val="both"/>
        <w:rPr>
          <w:lang w:val="en-US"/>
        </w:rPr>
      </w:pPr>
      <w:r w:rsidRPr="00382DF1">
        <w:rPr>
          <w:b/>
          <w:bCs/>
          <w:lang w:val="en-US"/>
        </w:rPr>
        <w:t>Neonatal Maladjustment Syndrome in Foals: Clinical Approach and Management</w:t>
      </w:r>
      <w:r w:rsidR="00A26751" w:rsidRPr="00382DF1">
        <w:rPr>
          <w:b/>
          <w:bCs/>
          <w:lang w:val="en-US"/>
        </w:rPr>
        <w:t>...........181</w:t>
      </w:r>
    </w:p>
    <w:p w14:paraId="09B6D9FE" w14:textId="6AFAE556" w:rsidR="00543FCC" w:rsidRPr="00382DF1" w:rsidRDefault="00543FCC" w:rsidP="00140659">
      <w:pPr>
        <w:jc w:val="both"/>
        <w:rPr>
          <w:lang w:val="en-US"/>
        </w:rPr>
      </w:pPr>
      <w:r w:rsidRPr="00382DF1">
        <w:rPr>
          <w:b/>
          <w:bCs/>
          <w:lang w:val="en-US"/>
        </w:rPr>
        <w:t>Exercise-Induced Pulmonary Haemorrhage in Horses (EIPH): When the lungs give in to speed</w:t>
      </w:r>
      <w:r w:rsidR="00A26751" w:rsidRPr="00382DF1">
        <w:rPr>
          <w:b/>
          <w:bCs/>
          <w:lang w:val="en-US"/>
        </w:rPr>
        <w:t>..........................................................................................................................183</w:t>
      </w:r>
    </w:p>
    <w:p w14:paraId="46D5911B" w14:textId="604866AC" w:rsidR="00543FCC" w:rsidRPr="00382DF1" w:rsidRDefault="00543FCC" w:rsidP="00140659">
      <w:pPr>
        <w:jc w:val="both"/>
        <w:rPr>
          <w:lang w:val="en-US"/>
        </w:rPr>
      </w:pPr>
      <w:r w:rsidRPr="00382DF1">
        <w:rPr>
          <w:b/>
          <w:bCs/>
          <w:lang w:val="en-US"/>
        </w:rPr>
        <w:t xml:space="preserve">Diagnostic and Therapeutic Approach to </w:t>
      </w:r>
      <w:r w:rsidRPr="005379B4">
        <w:rPr>
          <w:b/>
          <w:bCs/>
        </w:rPr>
        <w:t>Ε</w:t>
      </w:r>
      <w:r w:rsidRPr="00382DF1">
        <w:rPr>
          <w:b/>
          <w:bCs/>
          <w:lang w:val="en-US"/>
        </w:rPr>
        <w:t>quine Cervical Pathology</w:t>
      </w:r>
      <w:r w:rsidR="00A26751" w:rsidRPr="00382DF1">
        <w:rPr>
          <w:b/>
          <w:bCs/>
          <w:lang w:val="en-US"/>
        </w:rPr>
        <w:t>................................185</w:t>
      </w:r>
    </w:p>
    <w:p w14:paraId="0A2C9C9E" w14:textId="70BEFC12" w:rsidR="00543FCC" w:rsidRPr="00382DF1" w:rsidRDefault="00543FCC" w:rsidP="00140659">
      <w:pPr>
        <w:jc w:val="both"/>
        <w:rPr>
          <w:lang w:val="en-US"/>
        </w:rPr>
      </w:pPr>
      <w:r w:rsidRPr="00382DF1">
        <w:rPr>
          <w:b/>
          <w:bCs/>
          <w:lang w:val="en-US"/>
        </w:rPr>
        <w:t>West Nile Virus in Equids: The Importance of Clinical and Laboratory Diagnosis in Disease Surveillance</w:t>
      </w:r>
      <w:r w:rsidR="00A26751" w:rsidRPr="00382DF1">
        <w:rPr>
          <w:b/>
          <w:bCs/>
          <w:lang w:val="en-US"/>
        </w:rPr>
        <w:t>................................................................................................................186</w:t>
      </w:r>
    </w:p>
    <w:p w14:paraId="6C810AC6" w14:textId="7EC0E4DA" w:rsidR="00543FCC" w:rsidRPr="00382DF1" w:rsidRDefault="00543FCC" w:rsidP="00140659">
      <w:pPr>
        <w:jc w:val="both"/>
        <w:rPr>
          <w:lang w:val="en-US"/>
        </w:rPr>
      </w:pPr>
      <w:r w:rsidRPr="00382DF1">
        <w:rPr>
          <w:b/>
          <w:bCs/>
          <w:lang w:val="en-US"/>
        </w:rPr>
        <w:t>Zoonotic Diseases in Equids and their Prevention</w:t>
      </w:r>
      <w:r w:rsidR="00A26751" w:rsidRPr="00382DF1">
        <w:rPr>
          <w:b/>
          <w:bCs/>
          <w:lang w:val="en-US"/>
        </w:rPr>
        <w:t>..........................................................188</w:t>
      </w:r>
    </w:p>
    <w:p w14:paraId="7E1374B8" w14:textId="6368D716" w:rsidR="007F3237" w:rsidRPr="00382DF1" w:rsidRDefault="00543FCC" w:rsidP="00140659">
      <w:pPr>
        <w:jc w:val="both"/>
        <w:rPr>
          <w:b/>
          <w:bCs/>
          <w:lang w:val="en-US"/>
        </w:rPr>
      </w:pPr>
      <w:r w:rsidRPr="00382DF1">
        <w:rPr>
          <w:b/>
          <w:bCs/>
          <w:lang w:val="en-US"/>
        </w:rPr>
        <w:t>ONCOLOGY &amp; INFECTIOUS DISEASES</w:t>
      </w:r>
      <w:r w:rsidR="00A26751" w:rsidRPr="00382DF1">
        <w:rPr>
          <w:b/>
          <w:bCs/>
          <w:lang w:val="en-US"/>
        </w:rPr>
        <w:t>...........................................................................190</w:t>
      </w:r>
    </w:p>
    <w:p w14:paraId="74B25CC2" w14:textId="26A2144A" w:rsidR="00543FCC" w:rsidRPr="00382DF1" w:rsidRDefault="00543FCC" w:rsidP="00140659">
      <w:pPr>
        <w:jc w:val="both"/>
        <w:rPr>
          <w:b/>
          <w:bCs/>
          <w:lang w:val="en-US"/>
        </w:rPr>
      </w:pPr>
      <w:r w:rsidRPr="00382DF1">
        <w:rPr>
          <w:b/>
          <w:bCs/>
          <w:lang w:val="en-US"/>
        </w:rPr>
        <w:t xml:space="preserve">Clinical Approach to a Mass with Suspected Malignant Etiology in a Dog (Suspected </w:t>
      </w:r>
      <w:r w:rsidR="00A26751" w:rsidRPr="00382DF1">
        <w:rPr>
          <w:b/>
          <w:bCs/>
          <w:lang w:val="en-US"/>
        </w:rPr>
        <w:t>Hemangiosarcoma) .....................................................................................................190</w:t>
      </w:r>
    </w:p>
    <w:p w14:paraId="799D6427" w14:textId="708B8979" w:rsidR="00543FCC" w:rsidRPr="00382DF1" w:rsidRDefault="00543FCC" w:rsidP="00140659">
      <w:pPr>
        <w:jc w:val="both"/>
        <w:rPr>
          <w:b/>
          <w:bCs/>
          <w:lang w:val="en-US"/>
        </w:rPr>
      </w:pPr>
      <w:r w:rsidRPr="00382DF1">
        <w:rPr>
          <w:b/>
          <w:bCs/>
          <w:lang w:val="en-US"/>
        </w:rPr>
        <w:t>Chronic Lymphocytic Leukemia in Dogs</w:t>
      </w:r>
      <w:r w:rsidR="00A26751" w:rsidRPr="00382DF1">
        <w:rPr>
          <w:b/>
          <w:bCs/>
          <w:lang w:val="en-US"/>
        </w:rPr>
        <w:t>........................................................................191</w:t>
      </w:r>
    </w:p>
    <w:p w14:paraId="261818BE" w14:textId="20962478" w:rsidR="00543FCC" w:rsidRPr="00382DF1" w:rsidRDefault="00543FCC" w:rsidP="00140659">
      <w:pPr>
        <w:jc w:val="both"/>
        <w:rPr>
          <w:lang w:val="en-US"/>
        </w:rPr>
      </w:pPr>
      <w:r w:rsidRPr="00382DF1">
        <w:rPr>
          <w:b/>
          <w:bCs/>
          <w:lang w:val="en-US"/>
        </w:rPr>
        <w:t>Guidelines for the Diagnostic Approach to Feline Infectious Peritonitis (FIP)</w:t>
      </w:r>
      <w:r w:rsidR="00A26751" w:rsidRPr="00382DF1">
        <w:rPr>
          <w:b/>
          <w:bCs/>
          <w:lang w:val="en-US"/>
        </w:rPr>
        <w:t>....................192</w:t>
      </w:r>
    </w:p>
    <w:p w14:paraId="0579EC25" w14:textId="2631731F" w:rsidR="00543FCC" w:rsidRPr="00382DF1" w:rsidRDefault="00543FCC" w:rsidP="00140659">
      <w:pPr>
        <w:jc w:val="both"/>
        <w:rPr>
          <w:lang w:val="en-US"/>
        </w:rPr>
      </w:pPr>
      <w:r w:rsidRPr="00382DF1">
        <w:rPr>
          <w:b/>
          <w:bCs/>
          <w:lang w:val="en-US"/>
        </w:rPr>
        <w:t>Canine Leishmaniosis: Clinical Signs, Diagnostic Challenges and Treatment Options</w:t>
      </w:r>
      <w:r w:rsidR="00014E7D" w:rsidRPr="00382DF1">
        <w:rPr>
          <w:b/>
          <w:bCs/>
          <w:lang w:val="en-US"/>
        </w:rPr>
        <w:t xml:space="preserve"> ............</w:t>
      </w:r>
      <w:r w:rsidR="00666518" w:rsidRPr="00382DF1">
        <w:rPr>
          <w:b/>
          <w:bCs/>
          <w:lang w:val="en-US"/>
        </w:rPr>
        <w:t>.......................................................................................................................</w:t>
      </w:r>
      <w:r w:rsidR="00A26751" w:rsidRPr="00382DF1">
        <w:rPr>
          <w:b/>
          <w:bCs/>
          <w:lang w:val="en-US"/>
        </w:rPr>
        <w:t>194</w:t>
      </w:r>
    </w:p>
    <w:p w14:paraId="316506FB" w14:textId="74C6F059" w:rsidR="00543FCC" w:rsidRPr="00382DF1" w:rsidRDefault="00543FCC" w:rsidP="00140659">
      <w:pPr>
        <w:jc w:val="both"/>
        <w:rPr>
          <w:lang w:val="en-US"/>
        </w:rPr>
      </w:pPr>
      <w:r w:rsidRPr="00382DF1">
        <w:rPr>
          <w:b/>
          <w:bCs/>
          <w:lang w:val="en-US"/>
        </w:rPr>
        <w:lastRenderedPageBreak/>
        <w:t>A Cat-and-Mouse Game: The Staggering Discovery of Rustrela Virus</w:t>
      </w:r>
      <w:r w:rsidR="00A26751" w:rsidRPr="00382DF1">
        <w:rPr>
          <w:b/>
          <w:bCs/>
          <w:lang w:val="en-US"/>
        </w:rPr>
        <w:t>...............................196</w:t>
      </w:r>
    </w:p>
    <w:p w14:paraId="0BC9A63A" w14:textId="0C601DEB" w:rsidR="00543FCC" w:rsidRPr="00382DF1" w:rsidRDefault="00543FCC" w:rsidP="00140659">
      <w:pPr>
        <w:jc w:val="both"/>
        <w:rPr>
          <w:b/>
          <w:bCs/>
          <w:lang w:val="en-US"/>
        </w:rPr>
      </w:pPr>
      <w:r w:rsidRPr="00382DF1">
        <w:rPr>
          <w:b/>
          <w:bCs/>
          <w:lang w:val="en-US"/>
        </w:rPr>
        <w:t>The Welfare Gene and the Role of the Veterinarian in a Changing World</w:t>
      </w:r>
      <w:r w:rsidR="00A26751" w:rsidRPr="00382DF1">
        <w:rPr>
          <w:b/>
          <w:bCs/>
          <w:lang w:val="en-US"/>
        </w:rPr>
        <w:t>...........................198</w:t>
      </w:r>
    </w:p>
    <w:p w14:paraId="1FA6E09F" w14:textId="0A3E2C1E" w:rsidR="00543FCC" w:rsidRPr="00382DF1" w:rsidRDefault="00543FCC" w:rsidP="00140659">
      <w:pPr>
        <w:jc w:val="both"/>
        <w:rPr>
          <w:lang w:val="en-US"/>
        </w:rPr>
      </w:pPr>
      <w:r w:rsidRPr="00382DF1">
        <w:rPr>
          <w:b/>
          <w:bCs/>
          <w:lang w:val="en-US"/>
        </w:rPr>
        <w:t>PRODUCTION ANIMALS</w:t>
      </w:r>
      <w:r w:rsidR="006971BC" w:rsidRPr="00382DF1">
        <w:rPr>
          <w:b/>
          <w:bCs/>
          <w:lang w:val="en-US"/>
        </w:rPr>
        <w:t xml:space="preserve"> </w:t>
      </w:r>
      <w:r w:rsidR="00A26751" w:rsidRPr="00382DF1">
        <w:rPr>
          <w:b/>
          <w:bCs/>
          <w:lang w:val="en-US"/>
        </w:rPr>
        <w:t>...............................................................................................200</w:t>
      </w:r>
    </w:p>
    <w:p w14:paraId="51FAA6C8" w14:textId="190C3253" w:rsidR="00543FCC" w:rsidRPr="00382DF1" w:rsidRDefault="00543FCC" w:rsidP="00140659">
      <w:pPr>
        <w:jc w:val="both"/>
        <w:rPr>
          <w:lang w:val="en-US"/>
        </w:rPr>
      </w:pPr>
      <w:r w:rsidRPr="00382DF1">
        <w:rPr>
          <w:b/>
          <w:bCs/>
          <w:lang w:val="en-US"/>
        </w:rPr>
        <w:t>Cow – Calf Separation and Welfare in Dairy Farms</w:t>
      </w:r>
      <w:r w:rsidR="00A26751" w:rsidRPr="00382DF1">
        <w:rPr>
          <w:b/>
          <w:bCs/>
          <w:lang w:val="en-US"/>
        </w:rPr>
        <w:t>..........................................................200</w:t>
      </w:r>
    </w:p>
    <w:p w14:paraId="17DD2AD7" w14:textId="6AA0315E" w:rsidR="00543FCC" w:rsidRPr="00382DF1" w:rsidRDefault="00543FCC" w:rsidP="00140659">
      <w:pPr>
        <w:jc w:val="both"/>
        <w:rPr>
          <w:lang w:val="en-US"/>
        </w:rPr>
      </w:pPr>
      <w:r w:rsidRPr="00382DF1">
        <w:rPr>
          <w:b/>
          <w:bCs/>
          <w:lang w:val="en-US"/>
        </w:rPr>
        <w:t>Vitamin A and Cattle: A “Blind” Love Story</w:t>
      </w:r>
      <w:r w:rsidR="006971BC" w:rsidRPr="00382DF1">
        <w:rPr>
          <w:b/>
          <w:bCs/>
          <w:lang w:val="en-US"/>
        </w:rPr>
        <w:t>......................................................................</w:t>
      </w:r>
      <w:r w:rsidR="00A26751" w:rsidRPr="00382DF1">
        <w:rPr>
          <w:b/>
          <w:bCs/>
          <w:lang w:val="en-US"/>
        </w:rPr>
        <w:t>202</w:t>
      </w:r>
    </w:p>
    <w:p w14:paraId="1AC127F7" w14:textId="0E668055" w:rsidR="00543FCC" w:rsidRPr="00382DF1" w:rsidRDefault="00543FCC" w:rsidP="00140659">
      <w:pPr>
        <w:jc w:val="both"/>
        <w:rPr>
          <w:lang w:val="en-US"/>
        </w:rPr>
      </w:pPr>
      <w:r w:rsidRPr="00382DF1">
        <w:rPr>
          <w:b/>
          <w:bCs/>
          <w:lang w:val="en-US"/>
        </w:rPr>
        <w:t>Carpal and Tarsal Swelling in Cattle: Always Arthritis?</w:t>
      </w:r>
      <w:r w:rsidR="006971BC" w:rsidRPr="00382DF1">
        <w:rPr>
          <w:b/>
          <w:bCs/>
          <w:lang w:val="en-US"/>
        </w:rPr>
        <w:t>....................................................</w:t>
      </w:r>
      <w:r w:rsidR="00A26751" w:rsidRPr="00382DF1">
        <w:rPr>
          <w:b/>
          <w:bCs/>
          <w:lang w:val="en-US"/>
        </w:rPr>
        <w:t>204</w:t>
      </w:r>
    </w:p>
    <w:p w14:paraId="1BA8B7FB" w14:textId="13689C1B" w:rsidR="00543FCC" w:rsidRPr="00382DF1" w:rsidRDefault="00543FCC" w:rsidP="00140659">
      <w:pPr>
        <w:jc w:val="both"/>
        <w:rPr>
          <w:lang w:val="en-US"/>
        </w:rPr>
      </w:pPr>
      <w:r w:rsidRPr="00382DF1">
        <w:rPr>
          <w:b/>
          <w:bCs/>
          <w:lang w:val="en-US"/>
        </w:rPr>
        <w:t>Stocking Density and resource availability in commercial small ruminant farms in Greece</w:t>
      </w:r>
      <w:r w:rsidR="00014E7D" w:rsidRPr="00382DF1">
        <w:rPr>
          <w:b/>
          <w:bCs/>
          <w:lang w:val="en-US"/>
        </w:rPr>
        <w:t xml:space="preserve"> ...........</w:t>
      </w:r>
      <w:r w:rsidR="00666518" w:rsidRPr="00382DF1">
        <w:rPr>
          <w:b/>
          <w:bCs/>
          <w:lang w:val="en-US"/>
        </w:rPr>
        <w:t>........................................................................................................................</w:t>
      </w:r>
      <w:r w:rsidR="00A26751" w:rsidRPr="00382DF1">
        <w:rPr>
          <w:b/>
          <w:bCs/>
          <w:lang w:val="en-US"/>
        </w:rPr>
        <w:t>206</w:t>
      </w:r>
    </w:p>
    <w:p w14:paraId="32A6D21B" w14:textId="424E729C" w:rsidR="00543FCC" w:rsidRPr="00382DF1" w:rsidRDefault="00543FCC" w:rsidP="00140659">
      <w:pPr>
        <w:jc w:val="both"/>
        <w:rPr>
          <w:lang w:val="en-US"/>
        </w:rPr>
      </w:pPr>
      <w:r w:rsidRPr="00382DF1">
        <w:rPr>
          <w:b/>
          <w:bCs/>
          <w:lang w:val="en-US"/>
        </w:rPr>
        <w:t>Clinical Approach of Nervous System Diseases in Adult Sheep</w:t>
      </w:r>
      <w:r w:rsidR="006971BC" w:rsidRPr="00382DF1">
        <w:rPr>
          <w:b/>
          <w:bCs/>
          <w:lang w:val="en-US"/>
        </w:rPr>
        <w:t>.......................................</w:t>
      </w:r>
      <w:r w:rsidR="00A26751" w:rsidRPr="00382DF1">
        <w:rPr>
          <w:b/>
          <w:bCs/>
          <w:lang w:val="en-US"/>
        </w:rPr>
        <w:t>207</w:t>
      </w:r>
    </w:p>
    <w:p w14:paraId="44D72FF3" w14:textId="02DD4947" w:rsidR="00543FCC" w:rsidRPr="00382DF1" w:rsidRDefault="00543FCC" w:rsidP="00140659">
      <w:pPr>
        <w:jc w:val="both"/>
        <w:rPr>
          <w:lang w:val="en-US"/>
        </w:rPr>
      </w:pPr>
      <w:r w:rsidRPr="00382DF1">
        <w:rPr>
          <w:b/>
          <w:bCs/>
          <w:lang w:val="en-US"/>
        </w:rPr>
        <w:t>Subclinical Enteropathies in Broiler Chickens</w:t>
      </w:r>
      <w:r w:rsidR="006971BC" w:rsidRPr="00382DF1">
        <w:rPr>
          <w:b/>
          <w:bCs/>
          <w:lang w:val="en-US"/>
        </w:rPr>
        <w:t>...............................................................</w:t>
      </w:r>
      <w:r w:rsidR="00A26751" w:rsidRPr="00382DF1">
        <w:rPr>
          <w:b/>
          <w:bCs/>
          <w:lang w:val="en-US"/>
        </w:rPr>
        <w:t>209</w:t>
      </w:r>
    </w:p>
    <w:p w14:paraId="0E574476" w14:textId="75919733" w:rsidR="00543FCC" w:rsidRPr="00382DF1" w:rsidRDefault="00543FCC" w:rsidP="00140659">
      <w:pPr>
        <w:jc w:val="both"/>
        <w:rPr>
          <w:b/>
          <w:bCs/>
          <w:lang w:val="en-US"/>
        </w:rPr>
      </w:pPr>
      <w:r w:rsidRPr="00382DF1">
        <w:rPr>
          <w:b/>
          <w:bCs/>
          <w:lang w:val="en-US"/>
        </w:rPr>
        <w:t>A Case of Infectious Laryngotracheitis in an Organic Broiler Chicken Farm in Greece</w:t>
      </w:r>
      <w:r w:rsidR="00014E7D" w:rsidRPr="00382DF1">
        <w:rPr>
          <w:b/>
          <w:bCs/>
          <w:lang w:val="en-US"/>
        </w:rPr>
        <w:t>.</w:t>
      </w:r>
      <w:r w:rsidR="006971BC" w:rsidRPr="00382DF1">
        <w:rPr>
          <w:b/>
          <w:bCs/>
          <w:lang w:val="en-US"/>
        </w:rPr>
        <w:t>.......................................................................................................................211</w:t>
      </w:r>
    </w:p>
    <w:p w14:paraId="44EA2BC6" w14:textId="64C1CCF3" w:rsidR="00543FCC" w:rsidRPr="00382DF1" w:rsidRDefault="00543FCC" w:rsidP="00140659">
      <w:pPr>
        <w:jc w:val="both"/>
        <w:rPr>
          <w:b/>
          <w:bCs/>
          <w:lang w:val="en-US"/>
        </w:rPr>
      </w:pPr>
      <w:r w:rsidRPr="00382DF1">
        <w:rPr>
          <w:b/>
          <w:bCs/>
          <w:lang w:val="en-US"/>
        </w:rPr>
        <w:t>Advances and Clinical Applications of Ultrasonography in Swine Production</w:t>
      </w:r>
      <w:r w:rsidR="006971BC" w:rsidRPr="00382DF1">
        <w:rPr>
          <w:b/>
          <w:bCs/>
          <w:lang w:val="en-US"/>
        </w:rPr>
        <w:t>...................215</w:t>
      </w:r>
    </w:p>
    <w:p w14:paraId="7C8A03B6" w14:textId="3D866C4C" w:rsidR="00543FCC" w:rsidRPr="00382DF1" w:rsidRDefault="00543FCC" w:rsidP="00140659">
      <w:pPr>
        <w:jc w:val="both"/>
        <w:rPr>
          <w:lang w:val="en-US"/>
        </w:rPr>
      </w:pPr>
      <w:r w:rsidRPr="00382DF1">
        <w:rPr>
          <w:b/>
          <w:bCs/>
          <w:lang w:val="en-US"/>
        </w:rPr>
        <w:t>ANAESTH</w:t>
      </w:r>
      <w:r w:rsidR="00730E67" w:rsidRPr="00382DF1">
        <w:rPr>
          <w:b/>
          <w:bCs/>
          <w:lang w:val="en-US"/>
        </w:rPr>
        <w:t>E</w:t>
      </w:r>
      <w:r w:rsidRPr="00382DF1">
        <w:rPr>
          <w:b/>
          <w:bCs/>
          <w:lang w:val="en-US"/>
        </w:rPr>
        <w:t>SIOLOGY &amp; INTENSIVE CARE</w:t>
      </w:r>
      <w:r w:rsidR="006971BC" w:rsidRPr="00382DF1">
        <w:rPr>
          <w:b/>
          <w:bCs/>
          <w:lang w:val="en-US"/>
        </w:rPr>
        <w:t>........................................................................216</w:t>
      </w:r>
    </w:p>
    <w:p w14:paraId="669E1AA7" w14:textId="1E9A8C85" w:rsidR="00543FCC" w:rsidRPr="00382DF1" w:rsidRDefault="00543FCC" w:rsidP="00140659">
      <w:pPr>
        <w:jc w:val="both"/>
        <w:rPr>
          <w:lang w:val="en-US"/>
        </w:rPr>
      </w:pPr>
      <w:r w:rsidRPr="00382DF1">
        <w:rPr>
          <w:b/>
          <w:bCs/>
          <w:lang w:val="en-US"/>
        </w:rPr>
        <w:t>Total Intravenous Anesthesia (TIVA) with Target-Controlled Infusion (TCI) of Propofol</w:t>
      </w:r>
      <w:r w:rsidR="00014E7D" w:rsidRPr="00382DF1">
        <w:rPr>
          <w:b/>
          <w:bCs/>
          <w:lang w:val="en-US"/>
        </w:rPr>
        <w:t xml:space="preserve"> .............</w:t>
      </w:r>
      <w:r w:rsidR="00666518" w:rsidRPr="00382DF1">
        <w:rPr>
          <w:b/>
          <w:bCs/>
          <w:lang w:val="en-US"/>
        </w:rPr>
        <w:t>.................................................................................................................</w:t>
      </w:r>
      <w:r w:rsidR="006971BC" w:rsidRPr="00382DF1">
        <w:rPr>
          <w:b/>
          <w:bCs/>
          <w:lang w:val="en-US"/>
        </w:rPr>
        <w:t>.....216</w:t>
      </w:r>
    </w:p>
    <w:p w14:paraId="5A715CB2" w14:textId="7DE29D13" w:rsidR="00543FCC" w:rsidRPr="00382DF1" w:rsidRDefault="00543FCC" w:rsidP="00140659">
      <w:pPr>
        <w:jc w:val="both"/>
        <w:rPr>
          <w:lang w:val="en-US"/>
        </w:rPr>
      </w:pPr>
      <w:r w:rsidRPr="00382DF1">
        <w:rPr>
          <w:b/>
          <w:bCs/>
          <w:lang w:val="en-US"/>
        </w:rPr>
        <w:t>Retrospective Study of Anesthetic Management in Surgical Cases of Portosystemic Shunt Reconstruction</w:t>
      </w:r>
      <w:r w:rsidR="006971BC" w:rsidRPr="00382DF1">
        <w:rPr>
          <w:b/>
          <w:bCs/>
          <w:lang w:val="en-US"/>
        </w:rPr>
        <w:t>............................................................................................................217</w:t>
      </w:r>
    </w:p>
    <w:p w14:paraId="49FE054F" w14:textId="407D88BB" w:rsidR="00543FCC" w:rsidRPr="00382DF1" w:rsidRDefault="00543FCC" w:rsidP="00140659">
      <w:pPr>
        <w:jc w:val="both"/>
        <w:rPr>
          <w:lang w:val="en-US"/>
        </w:rPr>
      </w:pPr>
      <w:r w:rsidRPr="00382DF1">
        <w:rPr>
          <w:b/>
          <w:bCs/>
          <w:lang w:val="en-US"/>
        </w:rPr>
        <w:t>Clinical Approach and Anesthetic Management of the Polytraumatised Dog: 2 clinical cases</w:t>
      </w:r>
      <w:r w:rsidR="00014E7D" w:rsidRPr="00382DF1">
        <w:rPr>
          <w:b/>
          <w:bCs/>
          <w:lang w:val="en-US"/>
        </w:rPr>
        <w:t xml:space="preserve"> .........</w:t>
      </w:r>
      <w:r w:rsidR="00666518" w:rsidRPr="00382DF1">
        <w:rPr>
          <w:b/>
          <w:bCs/>
          <w:lang w:val="en-US"/>
        </w:rPr>
        <w:t>.....................................................................................................................</w:t>
      </w:r>
      <w:r w:rsidR="006971BC" w:rsidRPr="00382DF1">
        <w:rPr>
          <w:b/>
          <w:bCs/>
          <w:lang w:val="en-US"/>
        </w:rPr>
        <w:t>....</w:t>
      </w:r>
      <w:r w:rsidR="00666518" w:rsidRPr="00382DF1">
        <w:rPr>
          <w:b/>
          <w:bCs/>
          <w:lang w:val="en-US"/>
        </w:rPr>
        <w:t>.</w:t>
      </w:r>
      <w:r w:rsidR="006971BC" w:rsidRPr="00382DF1">
        <w:rPr>
          <w:b/>
          <w:bCs/>
          <w:lang w:val="en-US"/>
        </w:rPr>
        <w:t>218</w:t>
      </w:r>
    </w:p>
    <w:p w14:paraId="79921172" w14:textId="2AF3380A" w:rsidR="007F3237" w:rsidRPr="006971BC" w:rsidRDefault="00730E67" w:rsidP="00140659">
      <w:pPr>
        <w:jc w:val="both"/>
        <w:rPr>
          <w:b/>
          <w:bCs/>
        </w:rPr>
      </w:pPr>
      <w:r>
        <w:rPr>
          <w:b/>
          <w:bCs/>
        </w:rPr>
        <w:t>ΑΝΑΡΤΗΜΕΝΕΣ ΑΝΑΚΟΙΝΩΣΕΙΣ</w:t>
      </w:r>
      <w:r w:rsidR="00014E7D" w:rsidRPr="00014E7D">
        <w:rPr>
          <w:b/>
          <w:bCs/>
        </w:rPr>
        <w:t xml:space="preserve"> </w:t>
      </w:r>
      <w:r w:rsidR="006971BC" w:rsidRPr="006971BC">
        <w:rPr>
          <w:b/>
          <w:bCs/>
        </w:rPr>
        <w:t>…………………………………………………………………………….219</w:t>
      </w:r>
    </w:p>
    <w:p w14:paraId="2556B42E" w14:textId="4FB9A3C2" w:rsidR="00730E67" w:rsidRPr="006971BC" w:rsidRDefault="00730E67" w:rsidP="00140659">
      <w:pPr>
        <w:jc w:val="both"/>
      </w:pPr>
      <w:r w:rsidRPr="0072531A">
        <w:rPr>
          <w:b/>
          <w:bCs/>
        </w:rPr>
        <w:t>Νεοπλασίες στα Κατοικίδια Κουνέλια: Επιδημιολογικά Πρότυπα και Διαγνωστικές Στρατηγικές</w:t>
      </w:r>
      <w:r w:rsidR="00014E7D" w:rsidRPr="00014E7D">
        <w:rPr>
          <w:b/>
          <w:bCs/>
        </w:rPr>
        <w:t xml:space="preserve"> </w:t>
      </w:r>
      <w:r w:rsidR="006971BC" w:rsidRPr="006971BC">
        <w:rPr>
          <w:b/>
          <w:bCs/>
        </w:rPr>
        <w:t>………………………………………………………………………………………………………..219</w:t>
      </w:r>
    </w:p>
    <w:p w14:paraId="0A4B0D20" w14:textId="6D44EEB2" w:rsidR="00730E67" w:rsidRPr="006971BC" w:rsidRDefault="00730E67" w:rsidP="00140659">
      <w:pPr>
        <w:jc w:val="both"/>
      </w:pPr>
      <w:r w:rsidRPr="0072531A">
        <w:rPr>
          <w:b/>
          <w:bCs/>
        </w:rPr>
        <w:t>Αλγαισθητική Οδός – Ουδός του Πόνου</w:t>
      </w:r>
      <w:r w:rsidR="006971BC" w:rsidRPr="006971BC">
        <w:rPr>
          <w:b/>
          <w:bCs/>
        </w:rPr>
        <w:t>..........................................................................221</w:t>
      </w:r>
    </w:p>
    <w:p w14:paraId="7C4331E1" w14:textId="789887E2" w:rsidR="00730E67" w:rsidRPr="006971BC" w:rsidRDefault="00730E67" w:rsidP="00140659">
      <w:pPr>
        <w:jc w:val="both"/>
      </w:pPr>
      <w:r w:rsidRPr="0072531A">
        <w:rPr>
          <w:b/>
          <w:bCs/>
        </w:rPr>
        <w:t>Θεραπευτική Προσέγγιση Πρωτογενούς Ανοσολογικής Αιμολυτικής Αναιμίας σε Σκύλο</w:t>
      </w:r>
      <w:r w:rsidR="00666518">
        <w:rPr>
          <w:b/>
          <w:bCs/>
        </w:rPr>
        <w:t>…</w:t>
      </w:r>
      <w:r w:rsidR="00666518" w:rsidRPr="00666518">
        <w:rPr>
          <w:b/>
          <w:bCs/>
        </w:rPr>
        <w:t>……………………………………………………………………</w:t>
      </w:r>
      <w:r w:rsidR="006971BC">
        <w:rPr>
          <w:b/>
          <w:bCs/>
        </w:rPr>
        <w:t>……</w:t>
      </w:r>
      <w:r w:rsidR="006971BC" w:rsidRPr="006971BC">
        <w:rPr>
          <w:b/>
          <w:bCs/>
        </w:rPr>
        <w:t>………………………</w:t>
      </w:r>
      <w:r w:rsidR="006971BC">
        <w:rPr>
          <w:b/>
          <w:bCs/>
        </w:rPr>
        <w:t>………</w:t>
      </w:r>
      <w:r w:rsidR="006971BC" w:rsidRPr="006971BC">
        <w:rPr>
          <w:b/>
          <w:bCs/>
        </w:rPr>
        <w:t>.</w:t>
      </w:r>
      <w:r w:rsidR="00666518" w:rsidRPr="00666518">
        <w:rPr>
          <w:b/>
          <w:bCs/>
        </w:rPr>
        <w:t>…..</w:t>
      </w:r>
      <w:r w:rsidR="006971BC" w:rsidRPr="006971BC">
        <w:rPr>
          <w:b/>
          <w:bCs/>
        </w:rPr>
        <w:t>223</w:t>
      </w:r>
    </w:p>
    <w:p w14:paraId="38DD79DA" w14:textId="2FC8CC70" w:rsidR="00730E67" w:rsidRPr="006971BC" w:rsidRDefault="00730E67" w:rsidP="00140659">
      <w:pPr>
        <w:jc w:val="both"/>
      </w:pPr>
      <w:r w:rsidRPr="0072531A">
        <w:rPr>
          <w:b/>
          <w:bCs/>
        </w:rPr>
        <w:t>Λοιμώδης Περιτονίτιδα της Γάτας: Συνοπτική Παρουσίαση και Συγκριτική Ανάλυση των Μακροσκοπικών και Μικροσκοπικών Αλλοιώσεων των Δύο Μορφών του Νοσήματος</w:t>
      </w:r>
      <w:r w:rsidR="00014E7D" w:rsidRPr="00014E7D">
        <w:rPr>
          <w:b/>
          <w:bCs/>
        </w:rPr>
        <w:t xml:space="preserve"> </w:t>
      </w:r>
      <w:r w:rsidR="00014E7D">
        <w:rPr>
          <w:b/>
          <w:bCs/>
        </w:rPr>
        <w:t>…</w:t>
      </w:r>
      <w:r w:rsidR="00014E7D" w:rsidRPr="00014E7D">
        <w:rPr>
          <w:b/>
          <w:bCs/>
        </w:rPr>
        <w:t>………</w:t>
      </w:r>
      <w:r w:rsidR="00014E7D">
        <w:rPr>
          <w:b/>
          <w:bCs/>
        </w:rPr>
        <w:t>……</w:t>
      </w:r>
      <w:r w:rsidR="00666518">
        <w:rPr>
          <w:b/>
          <w:bCs/>
        </w:rPr>
        <w:t>…</w:t>
      </w:r>
      <w:r w:rsidR="00666518" w:rsidRPr="00666518">
        <w:rPr>
          <w:b/>
          <w:bCs/>
        </w:rPr>
        <w:t>…………</w:t>
      </w:r>
      <w:r w:rsidR="00666518">
        <w:rPr>
          <w:b/>
          <w:bCs/>
        </w:rPr>
        <w:t>…</w:t>
      </w:r>
      <w:r w:rsidR="00666518" w:rsidRPr="00666518">
        <w:rPr>
          <w:b/>
          <w:bCs/>
        </w:rPr>
        <w:t>………………………………………………………</w:t>
      </w:r>
      <w:r w:rsidR="006971BC">
        <w:rPr>
          <w:b/>
          <w:bCs/>
        </w:rPr>
        <w:t>…</w:t>
      </w:r>
      <w:r w:rsidR="006971BC" w:rsidRPr="006971BC">
        <w:rPr>
          <w:b/>
          <w:bCs/>
        </w:rPr>
        <w:t>.</w:t>
      </w:r>
      <w:r w:rsidR="00666518" w:rsidRPr="00666518">
        <w:rPr>
          <w:b/>
          <w:bCs/>
        </w:rPr>
        <w:t>……………………………..</w:t>
      </w:r>
      <w:r w:rsidR="006971BC" w:rsidRPr="006971BC">
        <w:rPr>
          <w:b/>
          <w:bCs/>
        </w:rPr>
        <w:t>225</w:t>
      </w:r>
    </w:p>
    <w:p w14:paraId="23987671" w14:textId="63E2F22E" w:rsidR="00730E67" w:rsidRPr="006971BC" w:rsidRDefault="00730E67" w:rsidP="00140659">
      <w:pPr>
        <w:jc w:val="both"/>
      </w:pPr>
      <w:r w:rsidRPr="0072531A">
        <w:rPr>
          <w:b/>
          <w:bCs/>
        </w:rPr>
        <w:t>FeCocktail</w:t>
      </w:r>
      <w:r w:rsidRPr="00730E67">
        <w:rPr>
          <w:b/>
          <w:bCs/>
        </w:rPr>
        <w:t xml:space="preserve">: Εμβόλιο Νέας Γενιάς κατά του </w:t>
      </w:r>
      <w:r w:rsidRPr="0072531A">
        <w:rPr>
          <w:b/>
          <w:bCs/>
        </w:rPr>
        <w:t>PRRSV</w:t>
      </w:r>
      <w:r w:rsidR="006971BC" w:rsidRPr="006971BC">
        <w:rPr>
          <w:b/>
          <w:bCs/>
        </w:rPr>
        <w:t>..........................................................226</w:t>
      </w:r>
    </w:p>
    <w:p w14:paraId="2B048327" w14:textId="77759939" w:rsidR="00730E67" w:rsidRPr="00382DF1" w:rsidRDefault="00730E67" w:rsidP="00140659">
      <w:pPr>
        <w:jc w:val="both"/>
        <w:rPr>
          <w:lang w:val="en-US"/>
        </w:rPr>
      </w:pPr>
      <w:r w:rsidRPr="00382DF1">
        <w:rPr>
          <w:b/>
          <w:bCs/>
          <w:lang w:val="en-US"/>
        </w:rPr>
        <w:t>Silent Genes, Broken Fertility: Insights in KO mice and male infertility</w:t>
      </w:r>
      <w:r w:rsidR="006971BC" w:rsidRPr="00382DF1">
        <w:rPr>
          <w:b/>
          <w:bCs/>
          <w:lang w:val="en-US"/>
        </w:rPr>
        <w:t>.............................228</w:t>
      </w:r>
    </w:p>
    <w:p w14:paraId="67282830" w14:textId="711ED403" w:rsidR="00730E67" w:rsidRPr="006971BC" w:rsidRDefault="00730E67" w:rsidP="00140659">
      <w:pPr>
        <w:jc w:val="both"/>
      </w:pPr>
      <w:r w:rsidRPr="0072531A">
        <w:rPr>
          <w:b/>
          <w:bCs/>
        </w:rPr>
        <w:t>Ρήξη Πρόσθιου Χιαστού Συνδέσμου στον Σκύλο: Συντηρητική vs Χειρουργική Αντιμετώπιση</w:t>
      </w:r>
      <w:r w:rsidR="00014E7D" w:rsidRPr="00014E7D">
        <w:rPr>
          <w:b/>
          <w:bCs/>
        </w:rPr>
        <w:t xml:space="preserve"> </w:t>
      </w:r>
      <w:r w:rsidR="00014E7D">
        <w:rPr>
          <w:b/>
          <w:bCs/>
        </w:rPr>
        <w:t>…</w:t>
      </w:r>
      <w:r w:rsidR="00014E7D" w:rsidRPr="00014E7D">
        <w:rPr>
          <w:b/>
          <w:bCs/>
        </w:rPr>
        <w:t>……………….</w:t>
      </w:r>
      <w:r w:rsidR="00666518">
        <w:rPr>
          <w:b/>
          <w:bCs/>
        </w:rPr>
        <w:t>…</w:t>
      </w:r>
      <w:r w:rsidR="00666518" w:rsidRPr="00666518">
        <w:rPr>
          <w:b/>
          <w:bCs/>
        </w:rPr>
        <w:t>………………………………………………………</w:t>
      </w:r>
      <w:r w:rsidR="006971BC">
        <w:rPr>
          <w:b/>
          <w:bCs/>
        </w:rPr>
        <w:t>…</w:t>
      </w:r>
      <w:r w:rsidR="006971BC" w:rsidRPr="006971BC">
        <w:rPr>
          <w:b/>
          <w:bCs/>
        </w:rPr>
        <w:t>……………………………………</w:t>
      </w:r>
      <w:r w:rsidR="006971BC">
        <w:rPr>
          <w:b/>
          <w:bCs/>
        </w:rPr>
        <w:t>…</w:t>
      </w:r>
      <w:r w:rsidR="006971BC" w:rsidRPr="006971BC">
        <w:rPr>
          <w:b/>
          <w:bCs/>
        </w:rPr>
        <w:t>..230</w:t>
      </w:r>
    </w:p>
    <w:p w14:paraId="0A9A9C0C" w14:textId="517A8EDE" w:rsidR="00730E67" w:rsidRPr="006971BC" w:rsidRDefault="00730E67" w:rsidP="00140659">
      <w:pPr>
        <w:jc w:val="both"/>
      </w:pPr>
      <w:r w:rsidRPr="00730E67">
        <w:rPr>
          <w:b/>
          <w:bCs/>
        </w:rPr>
        <w:t>Ολική Αρθροπλαστική Ισχίου στον Σκύλο</w:t>
      </w:r>
      <w:r w:rsidR="006971BC" w:rsidRPr="006971BC">
        <w:rPr>
          <w:b/>
          <w:bCs/>
        </w:rPr>
        <w:t>………………………………………………………………</w:t>
      </w:r>
      <w:r w:rsidR="006971BC">
        <w:rPr>
          <w:b/>
          <w:bCs/>
        </w:rPr>
        <w:t>…</w:t>
      </w:r>
      <w:r w:rsidR="006971BC" w:rsidRPr="006971BC">
        <w:rPr>
          <w:b/>
          <w:bCs/>
        </w:rPr>
        <w:t>232</w:t>
      </w:r>
    </w:p>
    <w:p w14:paraId="68612D55" w14:textId="43FB5825" w:rsidR="00730E67" w:rsidRPr="006971BC" w:rsidRDefault="00730E67" w:rsidP="00140659">
      <w:pPr>
        <w:jc w:val="both"/>
      </w:pPr>
      <w:r w:rsidRPr="0072531A">
        <w:rPr>
          <w:b/>
          <w:bCs/>
        </w:rPr>
        <w:lastRenderedPageBreak/>
        <w:t>Σκύλοι σε Δράση: Από την Απεικόνιση των Μυοσκελετικών Κακώσεων στη Φυσιοθεραπεία</w:t>
      </w:r>
      <w:r w:rsidR="00014E7D" w:rsidRPr="00014E7D">
        <w:rPr>
          <w:b/>
          <w:bCs/>
        </w:rPr>
        <w:t xml:space="preserve"> </w:t>
      </w:r>
      <w:r w:rsidR="00014E7D">
        <w:rPr>
          <w:b/>
          <w:bCs/>
        </w:rPr>
        <w:t>…</w:t>
      </w:r>
      <w:r w:rsidR="00014E7D" w:rsidRPr="00014E7D">
        <w:rPr>
          <w:b/>
          <w:bCs/>
        </w:rPr>
        <w:t>……………</w:t>
      </w:r>
      <w:r w:rsidR="00014E7D">
        <w:rPr>
          <w:b/>
          <w:bCs/>
        </w:rPr>
        <w:t>……</w:t>
      </w:r>
      <w:r w:rsidR="00014E7D" w:rsidRPr="00014E7D">
        <w:rPr>
          <w:b/>
          <w:bCs/>
        </w:rPr>
        <w:t>.</w:t>
      </w:r>
      <w:r w:rsidR="00666518">
        <w:rPr>
          <w:b/>
          <w:bCs/>
        </w:rPr>
        <w:t>…</w:t>
      </w:r>
      <w:r w:rsidR="00666518" w:rsidRPr="00666518">
        <w:rPr>
          <w:b/>
          <w:bCs/>
        </w:rPr>
        <w:t>…………………………………………………………………………</w:t>
      </w:r>
      <w:r w:rsidR="006971BC">
        <w:rPr>
          <w:b/>
          <w:bCs/>
        </w:rPr>
        <w:t>…</w:t>
      </w:r>
      <w:r w:rsidR="006971BC" w:rsidRPr="006971BC">
        <w:rPr>
          <w:b/>
          <w:bCs/>
        </w:rPr>
        <w:t>………</w:t>
      </w:r>
      <w:r w:rsidR="006971BC">
        <w:rPr>
          <w:b/>
          <w:bCs/>
        </w:rPr>
        <w:t>…</w:t>
      </w:r>
      <w:r w:rsidR="006971BC" w:rsidRPr="006971BC">
        <w:rPr>
          <w:b/>
          <w:bCs/>
        </w:rPr>
        <w:t>..</w:t>
      </w:r>
      <w:r w:rsidR="00666518" w:rsidRPr="00666518">
        <w:rPr>
          <w:b/>
          <w:bCs/>
        </w:rPr>
        <w:t>………</w:t>
      </w:r>
      <w:r w:rsidR="006971BC" w:rsidRPr="006971BC">
        <w:rPr>
          <w:b/>
          <w:bCs/>
        </w:rPr>
        <w:t>234</w:t>
      </w:r>
    </w:p>
    <w:p w14:paraId="7314FFD3" w14:textId="2ADB41DC" w:rsidR="00730E67" w:rsidRPr="006971BC" w:rsidRDefault="00730E67" w:rsidP="00140659">
      <w:pPr>
        <w:jc w:val="both"/>
      </w:pPr>
      <w:r w:rsidRPr="0072531A">
        <w:rPr>
          <w:b/>
          <w:bCs/>
        </w:rPr>
        <w:t>Αντιπαρασιτική Αγωγή Βοοειδών: Περιβαλλοντικός Αντίκτυπος και Πρακτικές Διαχείρισης των Φαρμακευτικών Καταλοίπων με Χαμηλό Οικολογικό Αποτύπωμα</w:t>
      </w:r>
      <w:r w:rsidR="006971BC">
        <w:rPr>
          <w:b/>
          <w:bCs/>
        </w:rPr>
        <w:t>…</w:t>
      </w:r>
      <w:r w:rsidR="006971BC" w:rsidRPr="006971BC">
        <w:rPr>
          <w:b/>
          <w:bCs/>
        </w:rPr>
        <w:t>……………………</w:t>
      </w:r>
      <w:r w:rsidR="006971BC">
        <w:rPr>
          <w:b/>
          <w:bCs/>
        </w:rPr>
        <w:t>…</w:t>
      </w:r>
      <w:r w:rsidR="006971BC" w:rsidRPr="006971BC">
        <w:rPr>
          <w:b/>
          <w:bCs/>
        </w:rPr>
        <w:t>236</w:t>
      </w:r>
    </w:p>
    <w:p w14:paraId="07A73BB7" w14:textId="53E0FC86" w:rsidR="00730E67" w:rsidRPr="006971BC" w:rsidRDefault="00730E67" w:rsidP="00140659">
      <w:pPr>
        <w:jc w:val="both"/>
      </w:pPr>
      <w:r w:rsidRPr="0072531A">
        <w:rPr>
          <w:b/>
          <w:bCs/>
        </w:rPr>
        <w:t>Συγκριτική Μελέτη των Ενδοκρανιακών Μηνιγγιωμάτων στον Σκύλο και στη Γάτα</w:t>
      </w:r>
      <w:r w:rsidR="006971BC" w:rsidRPr="006971BC">
        <w:rPr>
          <w:b/>
          <w:bCs/>
        </w:rPr>
        <w:t>………</w:t>
      </w:r>
      <w:r w:rsidR="006971BC">
        <w:rPr>
          <w:b/>
          <w:bCs/>
        </w:rPr>
        <w:t>…</w:t>
      </w:r>
      <w:r w:rsidR="006971BC" w:rsidRPr="006971BC">
        <w:rPr>
          <w:b/>
          <w:bCs/>
        </w:rPr>
        <w:t>.239</w:t>
      </w:r>
    </w:p>
    <w:p w14:paraId="35AA8AE9" w14:textId="215AB510" w:rsidR="00730E67" w:rsidRPr="006971BC" w:rsidRDefault="00730E67" w:rsidP="00140659">
      <w:pPr>
        <w:jc w:val="both"/>
      </w:pPr>
      <w:r w:rsidRPr="0072531A">
        <w:rPr>
          <w:b/>
          <w:bCs/>
        </w:rPr>
        <w:t>Μεταμοσχευόμενος</w:t>
      </w:r>
      <w:r w:rsidRPr="0072531A">
        <w:rPr>
          <w:b/>
          <w:bCs/>
          <w:i/>
          <w:iCs/>
        </w:rPr>
        <w:t xml:space="preserve"> Καρκίνος: Όταν τα Νεοπλάσματα </w:t>
      </w:r>
      <w:r w:rsidRPr="007565EC">
        <w:rPr>
          <w:b/>
          <w:bCs/>
        </w:rPr>
        <w:t>μεταδίδονται</w:t>
      </w:r>
      <w:r w:rsidR="007565EC" w:rsidRPr="007565EC">
        <w:rPr>
          <w:b/>
          <w:bCs/>
        </w:rPr>
        <w:t>…………………………</w:t>
      </w:r>
      <w:r w:rsidR="007565EC">
        <w:rPr>
          <w:b/>
          <w:bCs/>
        </w:rPr>
        <w:t>…</w:t>
      </w:r>
      <w:r w:rsidR="007565EC" w:rsidRPr="007565EC">
        <w:rPr>
          <w:b/>
          <w:bCs/>
        </w:rPr>
        <w:t>.</w:t>
      </w:r>
      <w:r w:rsidR="006971BC" w:rsidRPr="007565EC">
        <w:rPr>
          <w:b/>
          <w:bCs/>
        </w:rPr>
        <w:t>241</w:t>
      </w:r>
    </w:p>
    <w:p w14:paraId="6A9FE5A8" w14:textId="373B628C" w:rsidR="00730E67" w:rsidRPr="007565EC" w:rsidRDefault="00730E67" w:rsidP="00140659">
      <w:pPr>
        <w:jc w:val="both"/>
      </w:pPr>
      <w:r w:rsidRPr="0072531A">
        <w:rPr>
          <w:b/>
          <w:bCs/>
        </w:rPr>
        <w:t>Brachycephalic Obstructive Airway Syndrome (B.O.A.S.)</w:t>
      </w:r>
      <w:r w:rsidR="007565EC">
        <w:rPr>
          <w:b/>
          <w:bCs/>
        </w:rPr>
        <w:t xml:space="preserve"> </w:t>
      </w:r>
      <w:r w:rsidR="007565EC" w:rsidRPr="007565EC">
        <w:rPr>
          <w:b/>
          <w:bCs/>
        </w:rPr>
        <w:t>...............................................</w:t>
      </w:r>
      <w:r w:rsidR="006971BC" w:rsidRPr="007565EC">
        <w:rPr>
          <w:b/>
          <w:bCs/>
        </w:rPr>
        <w:t>243</w:t>
      </w:r>
    </w:p>
    <w:p w14:paraId="133A5625" w14:textId="01FBC338" w:rsidR="00730E67" w:rsidRPr="006971BC" w:rsidRDefault="00730E67" w:rsidP="00140659">
      <w:pPr>
        <w:jc w:val="both"/>
      </w:pPr>
      <w:r w:rsidRPr="0072531A">
        <w:rPr>
          <w:b/>
          <w:bCs/>
        </w:rPr>
        <w:t>Αρσενικό ή θηλυκό; Έχει τελικά σημασία το φύλο στον πειραματικό σχεδιασμό;</w:t>
      </w:r>
      <w:r w:rsidR="007565EC" w:rsidRPr="007565EC">
        <w:rPr>
          <w:b/>
          <w:bCs/>
        </w:rPr>
        <w:t>…………….</w:t>
      </w:r>
      <w:r w:rsidR="006971BC" w:rsidRPr="006971BC">
        <w:rPr>
          <w:b/>
          <w:bCs/>
        </w:rPr>
        <w:t>245</w:t>
      </w:r>
    </w:p>
    <w:p w14:paraId="40078370" w14:textId="42EF3205" w:rsidR="00730E67" w:rsidRPr="006971BC" w:rsidRDefault="00730E67" w:rsidP="00140659">
      <w:pPr>
        <w:jc w:val="both"/>
      </w:pPr>
      <w:r w:rsidRPr="0072531A">
        <w:rPr>
          <w:b/>
          <w:bCs/>
        </w:rPr>
        <w:t>Υπέρυθρα Συναισθήματα και Παθολογοανατομική Υπογραφή του Πόνου: Οι Θερμικοί Χάρτες του Προσώπου αποκαλύπτουν Εγκεφαλικά Πρότυπα σε Χοίρους και Σκύλους</w:t>
      </w:r>
      <w:r w:rsidR="007565EC">
        <w:rPr>
          <w:b/>
          <w:bCs/>
        </w:rPr>
        <w:t>…</w:t>
      </w:r>
      <w:r w:rsidR="007565EC" w:rsidRPr="007565EC">
        <w:rPr>
          <w:b/>
          <w:bCs/>
        </w:rPr>
        <w:t>…………</w:t>
      </w:r>
      <w:r w:rsidR="007565EC">
        <w:rPr>
          <w:b/>
          <w:bCs/>
        </w:rPr>
        <w:t>…</w:t>
      </w:r>
      <w:r w:rsidR="007565EC" w:rsidRPr="007565EC">
        <w:rPr>
          <w:b/>
          <w:bCs/>
        </w:rPr>
        <w:t>.</w:t>
      </w:r>
      <w:r w:rsidR="006971BC" w:rsidRPr="006971BC">
        <w:rPr>
          <w:b/>
          <w:bCs/>
        </w:rPr>
        <w:t>247</w:t>
      </w:r>
    </w:p>
    <w:p w14:paraId="7B4A29CA" w14:textId="25C0BE34" w:rsidR="00730E67" w:rsidRPr="006971BC" w:rsidRDefault="00730E67" w:rsidP="00140659">
      <w:pPr>
        <w:jc w:val="both"/>
      </w:pPr>
      <w:r w:rsidRPr="003A16A9">
        <w:rPr>
          <w:b/>
          <w:bCs/>
        </w:rPr>
        <w:t>Καρδιομετατροπή στον Κολπικό Ινιδισμό του Σκύλου: Προγνωστικοί Παράγοντες για τη Διατήρηση του Φλεβοκομβικού Ρυθμού</w:t>
      </w:r>
      <w:r w:rsidR="007565EC" w:rsidRPr="007565EC">
        <w:rPr>
          <w:b/>
          <w:bCs/>
        </w:rPr>
        <w:t>………………………………………………………………</w:t>
      </w:r>
      <w:r w:rsidR="007565EC">
        <w:rPr>
          <w:b/>
          <w:bCs/>
        </w:rPr>
        <w:t>…</w:t>
      </w:r>
      <w:r w:rsidR="007565EC" w:rsidRPr="007565EC">
        <w:rPr>
          <w:b/>
          <w:bCs/>
        </w:rPr>
        <w:t>.</w:t>
      </w:r>
      <w:r w:rsidR="006971BC" w:rsidRPr="006971BC">
        <w:rPr>
          <w:b/>
          <w:bCs/>
        </w:rPr>
        <w:t>249</w:t>
      </w:r>
    </w:p>
    <w:p w14:paraId="67321CDF" w14:textId="7BC6A4B6" w:rsidR="00730E67" w:rsidRPr="006971BC" w:rsidRDefault="00730E67" w:rsidP="00140659">
      <w:pPr>
        <w:jc w:val="both"/>
      </w:pPr>
      <w:r w:rsidRPr="00730E67">
        <w:rPr>
          <w:b/>
          <w:bCs/>
        </w:rPr>
        <w:t>Μαυρόγυπας (</w:t>
      </w:r>
      <w:r w:rsidRPr="0072531A">
        <w:rPr>
          <w:b/>
          <w:bCs/>
          <w:i/>
          <w:iCs/>
        </w:rPr>
        <w:t>Aegypius</w:t>
      </w:r>
      <w:r w:rsidRPr="00730E67">
        <w:rPr>
          <w:b/>
          <w:bCs/>
          <w:i/>
          <w:iCs/>
        </w:rPr>
        <w:t xml:space="preserve"> </w:t>
      </w:r>
      <w:r w:rsidRPr="0072531A">
        <w:rPr>
          <w:b/>
          <w:bCs/>
          <w:i/>
          <w:iCs/>
        </w:rPr>
        <w:t>monachus</w:t>
      </w:r>
      <w:r w:rsidRPr="00730E67">
        <w:rPr>
          <w:b/>
          <w:bCs/>
        </w:rPr>
        <w:t>)- Οι Σιωπηλοί Καθαριστές της Φύσης σε Κίνδυνο</w:t>
      </w:r>
      <w:r w:rsidR="00014E7D" w:rsidRPr="00014E7D">
        <w:rPr>
          <w:b/>
          <w:bCs/>
        </w:rPr>
        <w:t xml:space="preserve"> </w:t>
      </w:r>
      <w:r w:rsidR="00014E7D">
        <w:rPr>
          <w:b/>
          <w:bCs/>
        </w:rPr>
        <w:t>…</w:t>
      </w:r>
      <w:r w:rsidR="00014E7D" w:rsidRPr="00014E7D">
        <w:rPr>
          <w:b/>
          <w:bCs/>
        </w:rPr>
        <w:t>……</w:t>
      </w:r>
      <w:r w:rsidR="00014E7D">
        <w:rPr>
          <w:b/>
          <w:bCs/>
        </w:rPr>
        <w:t>…</w:t>
      </w:r>
      <w:r w:rsidR="00014E7D" w:rsidRPr="00014E7D">
        <w:rPr>
          <w:b/>
          <w:bCs/>
        </w:rPr>
        <w:t>.</w:t>
      </w:r>
      <w:r w:rsidR="00666518">
        <w:rPr>
          <w:b/>
          <w:bCs/>
        </w:rPr>
        <w:t>…</w:t>
      </w:r>
      <w:r w:rsidR="00666518" w:rsidRPr="00666518">
        <w:rPr>
          <w:b/>
          <w:bCs/>
        </w:rPr>
        <w:t>……………………………………………………………………………</w:t>
      </w:r>
      <w:r w:rsidR="007565EC">
        <w:rPr>
          <w:b/>
          <w:bCs/>
        </w:rPr>
        <w:t>…</w:t>
      </w:r>
      <w:r w:rsidR="007565EC" w:rsidRPr="007565EC">
        <w:rPr>
          <w:b/>
          <w:bCs/>
        </w:rPr>
        <w:t>…………………………</w:t>
      </w:r>
      <w:r w:rsidR="007565EC">
        <w:rPr>
          <w:b/>
          <w:bCs/>
        </w:rPr>
        <w:t>…</w:t>
      </w:r>
      <w:r w:rsidR="006971BC" w:rsidRPr="006971BC">
        <w:rPr>
          <w:b/>
          <w:bCs/>
        </w:rPr>
        <w:t>251</w:t>
      </w:r>
    </w:p>
    <w:p w14:paraId="088A85D6" w14:textId="435CD289" w:rsidR="00730E67" w:rsidRPr="00382DF1" w:rsidRDefault="00730E67" w:rsidP="00140659">
      <w:pPr>
        <w:jc w:val="both"/>
        <w:rPr>
          <w:lang w:val="en-US"/>
        </w:rPr>
      </w:pPr>
      <w:r w:rsidRPr="00382DF1">
        <w:rPr>
          <w:b/>
          <w:bCs/>
          <w:lang w:val="en-US"/>
        </w:rPr>
        <w:t>Climate-Driven Shifts in Vector-Borne Disease Patterns: A Comparative Perspective Between Mediterranean and Baltic Regions</w:t>
      </w:r>
      <w:r w:rsidR="007565EC" w:rsidRPr="00382DF1">
        <w:rPr>
          <w:b/>
          <w:bCs/>
          <w:lang w:val="en-US"/>
        </w:rPr>
        <w:t>...................................................................</w:t>
      </w:r>
      <w:r w:rsidR="006971BC" w:rsidRPr="00382DF1">
        <w:rPr>
          <w:b/>
          <w:bCs/>
          <w:lang w:val="en-US"/>
        </w:rPr>
        <w:t>253</w:t>
      </w:r>
    </w:p>
    <w:p w14:paraId="453D08A8" w14:textId="59B58AC6" w:rsidR="00730E67" w:rsidRPr="007565EC" w:rsidRDefault="00730E67" w:rsidP="00140659">
      <w:pPr>
        <w:jc w:val="both"/>
      </w:pPr>
      <w:r w:rsidRPr="0072531A">
        <w:rPr>
          <w:b/>
          <w:bCs/>
        </w:rPr>
        <w:t>Συγκριτική Αξιολόγηση Αλγορίθμων Τεχνητής Νοημοσύνης και Κλινικής Διαγνωστικής προσέγγισης σε Ακτινογραφίες του Θώρακος  Ζώων Συντροφιάς</w:t>
      </w:r>
      <w:r w:rsidR="007565EC" w:rsidRPr="007565EC">
        <w:rPr>
          <w:b/>
          <w:bCs/>
        </w:rPr>
        <w:t>…………………………</w:t>
      </w:r>
      <w:r w:rsidR="007565EC">
        <w:rPr>
          <w:b/>
          <w:bCs/>
        </w:rPr>
        <w:t>……</w:t>
      </w:r>
      <w:r w:rsidR="007565EC" w:rsidRPr="007565EC">
        <w:rPr>
          <w:b/>
          <w:bCs/>
        </w:rPr>
        <w:t>..258</w:t>
      </w:r>
    </w:p>
    <w:p w14:paraId="7B805C97" w14:textId="135234B1" w:rsidR="007F3237" w:rsidRDefault="00730E67" w:rsidP="00140659">
      <w:pPr>
        <w:jc w:val="both"/>
        <w:rPr>
          <w:b/>
          <w:bCs/>
          <w:lang w:val="en-GB"/>
        </w:rPr>
      </w:pPr>
      <w:r>
        <w:rPr>
          <w:b/>
          <w:bCs/>
          <w:lang w:val="en-GB"/>
        </w:rPr>
        <w:t>POSTERS</w:t>
      </w:r>
      <w:r w:rsidR="007565EC">
        <w:rPr>
          <w:b/>
          <w:bCs/>
          <w:lang w:val="en-GB"/>
        </w:rPr>
        <w:t>…………………………………………………………………………………………………………….259</w:t>
      </w:r>
    </w:p>
    <w:p w14:paraId="5FF362A1" w14:textId="49FEA8F4" w:rsidR="00730E67" w:rsidRPr="00382DF1" w:rsidRDefault="00730E67" w:rsidP="00140659">
      <w:pPr>
        <w:jc w:val="both"/>
        <w:rPr>
          <w:lang w:val="en-US"/>
        </w:rPr>
      </w:pPr>
      <w:r w:rsidRPr="00382DF1">
        <w:rPr>
          <w:b/>
          <w:bCs/>
          <w:lang w:val="en-US"/>
        </w:rPr>
        <w:t>Neoplasia in Pet Rabbits: Epidemiological Patterns and Diagnostic Strategies</w:t>
      </w:r>
      <w:r w:rsidR="007565EC" w:rsidRPr="00382DF1">
        <w:rPr>
          <w:b/>
          <w:bCs/>
          <w:lang w:val="en-US"/>
        </w:rPr>
        <w:t>.................259</w:t>
      </w:r>
    </w:p>
    <w:p w14:paraId="171BA0D8" w14:textId="3A30DE19" w:rsidR="00730E67" w:rsidRPr="00382DF1" w:rsidRDefault="00730E67" w:rsidP="00140659">
      <w:pPr>
        <w:jc w:val="both"/>
        <w:rPr>
          <w:lang w:val="en-US"/>
        </w:rPr>
      </w:pPr>
      <w:r w:rsidRPr="00382DF1">
        <w:rPr>
          <w:b/>
          <w:bCs/>
          <w:lang w:val="en-US"/>
        </w:rPr>
        <w:t>Nociceptive Pathway – Pain Threshold</w:t>
      </w:r>
      <w:r w:rsidR="007565EC" w:rsidRPr="00382DF1">
        <w:rPr>
          <w:b/>
          <w:bCs/>
          <w:lang w:val="en-US"/>
        </w:rPr>
        <w:t>...........................................................................261</w:t>
      </w:r>
    </w:p>
    <w:p w14:paraId="19F63698" w14:textId="7D743360" w:rsidR="00730E67" w:rsidRPr="00382DF1" w:rsidRDefault="00730E67" w:rsidP="00140659">
      <w:pPr>
        <w:jc w:val="both"/>
        <w:rPr>
          <w:b/>
          <w:bCs/>
          <w:lang w:val="en-US"/>
        </w:rPr>
      </w:pPr>
      <w:r w:rsidRPr="00382DF1">
        <w:rPr>
          <w:b/>
          <w:bCs/>
          <w:lang w:val="en-US"/>
        </w:rPr>
        <w:t>Therapeutic Approach to Primary Immune-Mediated Hemolytic Anemia in a Dog</w:t>
      </w:r>
      <w:r w:rsidR="00666518" w:rsidRPr="00382DF1">
        <w:rPr>
          <w:b/>
          <w:bCs/>
          <w:lang w:val="en-US"/>
        </w:rPr>
        <w:t>...........................................................................................................</w:t>
      </w:r>
      <w:r w:rsidR="007565EC" w:rsidRPr="00382DF1">
        <w:rPr>
          <w:b/>
          <w:bCs/>
          <w:lang w:val="en-US"/>
        </w:rPr>
        <w:t>......</w:t>
      </w:r>
      <w:r w:rsidR="00666518" w:rsidRPr="00382DF1">
        <w:rPr>
          <w:b/>
          <w:bCs/>
          <w:lang w:val="en-US"/>
        </w:rPr>
        <w:t>............</w:t>
      </w:r>
      <w:r w:rsidR="007565EC" w:rsidRPr="00382DF1">
        <w:rPr>
          <w:b/>
          <w:bCs/>
          <w:lang w:val="en-US"/>
        </w:rPr>
        <w:t>263</w:t>
      </w:r>
    </w:p>
    <w:p w14:paraId="15991A92" w14:textId="089E28A5" w:rsidR="00730E67" w:rsidRPr="00382DF1" w:rsidRDefault="00730E67" w:rsidP="00140659">
      <w:pPr>
        <w:jc w:val="both"/>
        <w:rPr>
          <w:lang w:val="en-US"/>
        </w:rPr>
      </w:pPr>
      <w:r w:rsidRPr="00382DF1">
        <w:rPr>
          <w:b/>
          <w:bCs/>
          <w:lang w:val="en-US"/>
        </w:rPr>
        <w:t>Feline Infectious Peritonitis: An Overview and Comparative Analysis of Gross and Microscopic Lesions in the Two Disease Forms</w:t>
      </w:r>
      <w:r w:rsidR="007565EC" w:rsidRPr="00382DF1">
        <w:rPr>
          <w:b/>
          <w:bCs/>
          <w:lang w:val="en-US"/>
        </w:rPr>
        <w:t>..............................................................265</w:t>
      </w:r>
    </w:p>
    <w:p w14:paraId="2D9D131B" w14:textId="533906DF" w:rsidR="00730E67" w:rsidRPr="00382DF1" w:rsidRDefault="00730E67" w:rsidP="00140659">
      <w:pPr>
        <w:jc w:val="both"/>
        <w:rPr>
          <w:lang w:val="en-US"/>
        </w:rPr>
      </w:pPr>
      <w:r w:rsidRPr="00382DF1">
        <w:rPr>
          <w:b/>
          <w:bCs/>
          <w:lang w:val="en-US"/>
        </w:rPr>
        <w:t>FeCocktail: A next-generation vaccine against PRRSV.</w:t>
      </w:r>
      <w:r w:rsidR="007565EC" w:rsidRPr="00382DF1">
        <w:rPr>
          <w:b/>
          <w:bCs/>
          <w:lang w:val="en-US"/>
        </w:rPr>
        <w:t>...................................................266</w:t>
      </w:r>
    </w:p>
    <w:p w14:paraId="7DF2B1E5" w14:textId="0ABB073D" w:rsidR="00730E67" w:rsidRPr="00382DF1" w:rsidRDefault="00730E67" w:rsidP="00140659">
      <w:pPr>
        <w:jc w:val="both"/>
        <w:rPr>
          <w:lang w:val="en-US"/>
        </w:rPr>
      </w:pPr>
      <w:r w:rsidRPr="00382DF1">
        <w:rPr>
          <w:b/>
          <w:bCs/>
          <w:lang w:val="en-US"/>
        </w:rPr>
        <w:t>Silent Genes, Broken Fertility: Insights in KO mice and male infertility</w:t>
      </w:r>
      <w:r w:rsidR="007565EC" w:rsidRPr="00382DF1">
        <w:rPr>
          <w:b/>
          <w:bCs/>
          <w:lang w:val="en-US"/>
        </w:rPr>
        <w:t>.............................268</w:t>
      </w:r>
    </w:p>
    <w:p w14:paraId="629F9C25" w14:textId="78FEE999" w:rsidR="00730E67" w:rsidRPr="00382DF1" w:rsidRDefault="00730E67" w:rsidP="00140659">
      <w:pPr>
        <w:jc w:val="both"/>
        <w:rPr>
          <w:lang w:val="en-US"/>
        </w:rPr>
      </w:pPr>
      <w:r w:rsidRPr="00382DF1">
        <w:rPr>
          <w:b/>
          <w:bCs/>
          <w:lang w:val="en-US"/>
        </w:rPr>
        <w:t>Cranial Cruciate Ligament Rupture in Dogs: Conservative vs Surgical Treatment</w:t>
      </w:r>
      <w:r w:rsidR="007565EC" w:rsidRPr="00382DF1">
        <w:rPr>
          <w:b/>
          <w:bCs/>
          <w:lang w:val="en-US"/>
        </w:rPr>
        <w:t>.............270</w:t>
      </w:r>
    </w:p>
    <w:p w14:paraId="20361E52" w14:textId="6D840FCF" w:rsidR="00730E67" w:rsidRPr="00382DF1" w:rsidRDefault="00730E67" w:rsidP="00140659">
      <w:pPr>
        <w:jc w:val="both"/>
        <w:rPr>
          <w:lang w:val="en-US"/>
        </w:rPr>
      </w:pPr>
      <w:r w:rsidRPr="00382DF1">
        <w:rPr>
          <w:b/>
          <w:bCs/>
          <w:lang w:val="en-US"/>
        </w:rPr>
        <w:t>Canine total hip replacement</w:t>
      </w:r>
      <w:r w:rsidR="007565EC" w:rsidRPr="00382DF1">
        <w:rPr>
          <w:b/>
          <w:bCs/>
          <w:lang w:val="en-US"/>
        </w:rPr>
        <w:t>.......................................................................................272</w:t>
      </w:r>
    </w:p>
    <w:p w14:paraId="5735F253" w14:textId="0E797E5F" w:rsidR="00730E67" w:rsidRPr="00382DF1" w:rsidRDefault="00730E67" w:rsidP="00140659">
      <w:pPr>
        <w:jc w:val="both"/>
        <w:rPr>
          <w:lang w:val="en-US"/>
        </w:rPr>
      </w:pPr>
      <w:r w:rsidRPr="00382DF1">
        <w:rPr>
          <w:b/>
          <w:bCs/>
          <w:lang w:val="en-US"/>
        </w:rPr>
        <w:t>Dogs in action: Diagnostic imaging and physiotherapy in musculoskeletal injuries</w:t>
      </w:r>
      <w:r w:rsidR="007565EC" w:rsidRPr="00382DF1">
        <w:rPr>
          <w:b/>
          <w:bCs/>
          <w:lang w:val="en-US"/>
        </w:rPr>
        <w:t>.........</w:t>
      </w:r>
      <w:r w:rsidRPr="00382DF1">
        <w:rPr>
          <w:b/>
          <w:bCs/>
          <w:lang w:val="en-US"/>
        </w:rPr>
        <w:t>.</w:t>
      </w:r>
      <w:r w:rsidR="007565EC" w:rsidRPr="00382DF1">
        <w:rPr>
          <w:b/>
          <w:bCs/>
          <w:lang w:val="en-US"/>
        </w:rPr>
        <w:t>274</w:t>
      </w:r>
    </w:p>
    <w:p w14:paraId="4B9E3F61" w14:textId="5964AE52" w:rsidR="00730E67" w:rsidRPr="00382DF1" w:rsidRDefault="00730E67" w:rsidP="00140659">
      <w:pPr>
        <w:jc w:val="both"/>
        <w:rPr>
          <w:lang w:val="en-US"/>
        </w:rPr>
      </w:pPr>
      <w:r w:rsidRPr="00382DF1">
        <w:rPr>
          <w:b/>
          <w:bCs/>
          <w:lang w:val="en-US"/>
        </w:rPr>
        <w:t>Antiparasitic treatment in cattle: environmental impact and management practices of pharmaceutical residues with a low ecological footprint</w:t>
      </w:r>
      <w:r w:rsidR="007565EC" w:rsidRPr="00382DF1">
        <w:rPr>
          <w:b/>
          <w:bCs/>
          <w:lang w:val="en-US"/>
        </w:rPr>
        <w:t>...............................................276</w:t>
      </w:r>
    </w:p>
    <w:p w14:paraId="10F2554A" w14:textId="6EE92A2A" w:rsidR="00730E67" w:rsidRPr="00382DF1" w:rsidRDefault="00730E67" w:rsidP="00140659">
      <w:pPr>
        <w:jc w:val="both"/>
        <w:rPr>
          <w:lang w:val="en-US"/>
        </w:rPr>
      </w:pPr>
      <w:r w:rsidRPr="00382DF1">
        <w:rPr>
          <w:b/>
          <w:bCs/>
          <w:lang w:val="en-US"/>
        </w:rPr>
        <w:t>Comparative Study of Intracranial Meningiomas in Dogs and Cats</w:t>
      </w:r>
      <w:r w:rsidR="007565EC" w:rsidRPr="00382DF1">
        <w:rPr>
          <w:b/>
          <w:bCs/>
          <w:lang w:val="en-US"/>
        </w:rPr>
        <w:t>...................................279</w:t>
      </w:r>
    </w:p>
    <w:p w14:paraId="3BBEC4AF" w14:textId="6B5FA014" w:rsidR="00730E67" w:rsidRPr="00382DF1" w:rsidRDefault="00730E67" w:rsidP="00140659">
      <w:pPr>
        <w:jc w:val="both"/>
        <w:rPr>
          <w:lang w:val="en-US"/>
        </w:rPr>
      </w:pPr>
      <w:r w:rsidRPr="00B3096C">
        <w:rPr>
          <w:b/>
          <w:bCs/>
        </w:rPr>
        <w:t>Τ</w:t>
      </w:r>
      <w:r w:rsidRPr="00382DF1">
        <w:rPr>
          <w:b/>
          <w:bCs/>
          <w:lang w:val="en-US"/>
        </w:rPr>
        <w:t>ransmissible Cancer: When Neoplasms Become Infectious</w:t>
      </w:r>
      <w:r w:rsidR="007565EC" w:rsidRPr="00382DF1">
        <w:rPr>
          <w:b/>
          <w:bCs/>
          <w:lang w:val="en-US"/>
        </w:rPr>
        <w:t>.........................................281</w:t>
      </w:r>
    </w:p>
    <w:p w14:paraId="208C4E62" w14:textId="79A4F021" w:rsidR="00730E67" w:rsidRPr="00382DF1" w:rsidRDefault="00730E67" w:rsidP="00140659">
      <w:pPr>
        <w:jc w:val="both"/>
        <w:rPr>
          <w:lang w:val="en-US"/>
        </w:rPr>
      </w:pPr>
      <w:r w:rsidRPr="00382DF1">
        <w:rPr>
          <w:b/>
          <w:bCs/>
          <w:lang w:val="en-US"/>
        </w:rPr>
        <w:lastRenderedPageBreak/>
        <w:t>Brachycephalic Obstructive Airway Syndrome (B.O.A.S.)</w:t>
      </w:r>
      <w:r w:rsidR="007565EC" w:rsidRPr="00382DF1">
        <w:rPr>
          <w:b/>
          <w:bCs/>
          <w:lang w:val="en-US"/>
        </w:rPr>
        <w:t xml:space="preserve"> ...............................................283</w:t>
      </w:r>
    </w:p>
    <w:p w14:paraId="41A7D327" w14:textId="555AA813" w:rsidR="00730E67" w:rsidRPr="00382DF1" w:rsidRDefault="00730E67" w:rsidP="00140659">
      <w:pPr>
        <w:jc w:val="both"/>
        <w:rPr>
          <w:lang w:val="en-US"/>
        </w:rPr>
      </w:pPr>
      <w:r w:rsidRPr="00382DF1">
        <w:rPr>
          <w:b/>
          <w:bCs/>
          <w:lang w:val="en-US"/>
        </w:rPr>
        <w:t>Male or female? Does sex ultimately matter in experimental design?</w:t>
      </w:r>
      <w:r w:rsidR="007565EC" w:rsidRPr="00382DF1">
        <w:rPr>
          <w:b/>
          <w:bCs/>
          <w:lang w:val="en-US"/>
        </w:rPr>
        <w:t>.............................285</w:t>
      </w:r>
    </w:p>
    <w:p w14:paraId="5E5C58EE" w14:textId="4C8123B4" w:rsidR="00730E67" w:rsidRPr="00382DF1" w:rsidRDefault="00730E67" w:rsidP="00140659">
      <w:pPr>
        <w:jc w:val="both"/>
        <w:rPr>
          <w:lang w:val="en-US"/>
        </w:rPr>
      </w:pPr>
      <w:r w:rsidRPr="00382DF1">
        <w:rPr>
          <w:b/>
          <w:bCs/>
          <w:lang w:val="en-US"/>
        </w:rPr>
        <w:t>Infrared Emotions and the Histopathological Signature of Pain: Facial Thermal Maps Reveal Brain Patterns in Pigs and Dogs</w:t>
      </w:r>
      <w:r w:rsidR="007565EC" w:rsidRPr="00382DF1">
        <w:rPr>
          <w:b/>
          <w:bCs/>
          <w:lang w:val="en-US"/>
        </w:rPr>
        <w:t>.....................................................................................287</w:t>
      </w:r>
    </w:p>
    <w:p w14:paraId="17CC9388" w14:textId="0EA9C80A" w:rsidR="00730E67" w:rsidRPr="00382DF1" w:rsidRDefault="00730E67" w:rsidP="00140659">
      <w:pPr>
        <w:jc w:val="both"/>
        <w:rPr>
          <w:lang w:val="en-US"/>
        </w:rPr>
      </w:pPr>
      <w:r w:rsidRPr="00382DF1">
        <w:rPr>
          <w:b/>
          <w:bCs/>
          <w:lang w:val="en-US"/>
        </w:rPr>
        <w:t>Cardioversion in dogs with atrial fibrillation: Prognostic factors for the maintenance of sinus rhythm</w:t>
      </w:r>
      <w:r w:rsidR="00014E7D" w:rsidRPr="00382DF1">
        <w:rPr>
          <w:b/>
          <w:bCs/>
          <w:lang w:val="en-US"/>
        </w:rPr>
        <w:t xml:space="preserve"> </w:t>
      </w:r>
      <w:r w:rsidR="007565EC" w:rsidRPr="00382DF1">
        <w:rPr>
          <w:b/>
          <w:bCs/>
          <w:lang w:val="en-US"/>
        </w:rPr>
        <w:t>........................................................................................................................289</w:t>
      </w:r>
    </w:p>
    <w:p w14:paraId="1E447F8E" w14:textId="494A407F" w:rsidR="00730E67" w:rsidRPr="00382DF1" w:rsidRDefault="00730E67" w:rsidP="00140659">
      <w:pPr>
        <w:jc w:val="both"/>
        <w:rPr>
          <w:lang w:val="en-US"/>
        </w:rPr>
      </w:pPr>
      <w:r w:rsidRPr="00382DF1">
        <w:rPr>
          <w:b/>
          <w:bCs/>
          <w:lang w:val="en-US"/>
        </w:rPr>
        <w:t>Cinerous Vulture the Silent Cleaners of Nature Are Threatened</w:t>
      </w:r>
      <w:r w:rsidR="007565EC" w:rsidRPr="00382DF1">
        <w:rPr>
          <w:b/>
          <w:bCs/>
          <w:lang w:val="en-US"/>
        </w:rPr>
        <w:t>.......................................291</w:t>
      </w:r>
    </w:p>
    <w:p w14:paraId="44DE3870" w14:textId="1E330F9D" w:rsidR="00730E67" w:rsidRPr="00382DF1" w:rsidRDefault="00730E67" w:rsidP="00140659">
      <w:pPr>
        <w:jc w:val="both"/>
        <w:rPr>
          <w:lang w:val="en-US"/>
        </w:rPr>
      </w:pPr>
      <w:r w:rsidRPr="00382DF1">
        <w:rPr>
          <w:b/>
          <w:bCs/>
          <w:lang w:val="en-US"/>
        </w:rPr>
        <w:t>Climate-Driven Shifts in Vector-Borne Disease Patterns: A Comparative Perspective Between Mediterranean and Baltic Regions</w:t>
      </w:r>
      <w:r w:rsidR="007565EC" w:rsidRPr="00382DF1">
        <w:rPr>
          <w:b/>
          <w:bCs/>
          <w:lang w:val="en-US"/>
        </w:rPr>
        <w:t>...................................................................293</w:t>
      </w:r>
    </w:p>
    <w:p w14:paraId="1C27EFF7" w14:textId="596F98E6" w:rsidR="00730E67" w:rsidRPr="00382DF1" w:rsidRDefault="00730E67" w:rsidP="00140659">
      <w:pPr>
        <w:jc w:val="both"/>
        <w:rPr>
          <w:b/>
          <w:bCs/>
          <w:lang w:val="en-US"/>
        </w:rPr>
      </w:pPr>
      <w:r w:rsidRPr="00382DF1">
        <w:rPr>
          <w:b/>
          <w:bCs/>
          <w:lang w:val="en-US"/>
        </w:rPr>
        <w:t>Comparative Evaluation of Artificial Intelligence Algorithms and Clinical Diagnostic Approach in Thoracic Radiographs of Companion Animals</w:t>
      </w:r>
      <w:r w:rsidR="007565EC" w:rsidRPr="00382DF1">
        <w:rPr>
          <w:b/>
          <w:bCs/>
          <w:lang w:val="en-US"/>
        </w:rPr>
        <w:t>.............................................297</w:t>
      </w:r>
    </w:p>
    <w:p w14:paraId="5D365502" w14:textId="77777777" w:rsidR="00666518" w:rsidRPr="00382DF1" w:rsidRDefault="00666518" w:rsidP="00140659">
      <w:pPr>
        <w:jc w:val="both"/>
        <w:rPr>
          <w:b/>
          <w:bCs/>
          <w:lang w:val="en-US"/>
        </w:rPr>
      </w:pPr>
    </w:p>
    <w:p w14:paraId="1989DC44" w14:textId="77777777" w:rsidR="00666518" w:rsidRPr="00382DF1" w:rsidRDefault="00666518" w:rsidP="00140659">
      <w:pPr>
        <w:jc w:val="both"/>
        <w:rPr>
          <w:b/>
          <w:bCs/>
          <w:lang w:val="en-US"/>
        </w:rPr>
      </w:pPr>
    </w:p>
    <w:p w14:paraId="514DC1BA" w14:textId="77777777" w:rsidR="00666518" w:rsidRPr="00382DF1" w:rsidRDefault="00666518" w:rsidP="00140659">
      <w:pPr>
        <w:jc w:val="both"/>
        <w:rPr>
          <w:b/>
          <w:bCs/>
          <w:lang w:val="en-US"/>
        </w:rPr>
      </w:pPr>
    </w:p>
    <w:p w14:paraId="419983CC" w14:textId="77777777" w:rsidR="00666518" w:rsidRPr="00382DF1" w:rsidRDefault="00666518" w:rsidP="00140659">
      <w:pPr>
        <w:jc w:val="both"/>
        <w:rPr>
          <w:b/>
          <w:bCs/>
          <w:lang w:val="en-US"/>
        </w:rPr>
      </w:pPr>
    </w:p>
    <w:p w14:paraId="01FAE03A" w14:textId="77777777" w:rsidR="00666518" w:rsidRPr="00382DF1" w:rsidRDefault="00666518" w:rsidP="00140659">
      <w:pPr>
        <w:jc w:val="both"/>
        <w:rPr>
          <w:b/>
          <w:bCs/>
          <w:lang w:val="en-US"/>
        </w:rPr>
      </w:pPr>
    </w:p>
    <w:p w14:paraId="03C2C46B" w14:textId="77777777" w:rsidR="00666518" w:rsidRPr="00382DF1" w:rsidRDefault="00666518" w:rsidP="00140659">
      <w:pPr>
        <w:jc w:val="both"/>
        <w:rPr>
          <w:b/>
          <w:bCs/>
          <w:lang w:val="en-US"/>
        </w:rPr>
      </w:pPr>
    </w:p>
    <w:p w14:paraId="31FB848D" w14:textId="77777777" w:rsidR="00666518" w:rsidRPr="00382DF1" w:rsidRDefault="00666518" w:rsidP="00140659">
      <w:pPr>
        <w:jc w:val="both"/>
        <w:rPr>
          <w:b/>
          <w:bCs/>
          <w:lang w:val="en-US"/>
        </w:rPr>
      </w:pPr>
    </w:p>
    <w:p w14:paraId="693111AB" w14:textId="77777777" w:rsidR="00666518" w:rsidRPr="00382DF1" w:rsidRDefault="00666518" w:rsidP="00140659">
      <w:pPr>
        <w:jc w:val="both"/>
        <w:rPr>
          <w:b/>
          <w:bCs/>
          <w:lang w:val="en-US"/>
        </w:rPr>
      </w:pPr>
    </w:p>
    <w:p w14:paraId="314B797A" w14:textId="77777777" w:rsidR="00666518" w:rsidRPr="00382DF1" w:rsidRDefault="00666518" w:rsidP="00140659">
      <w:pPr>
        <w:jc w:val="both"/>
        <w:rPr>
          <w:b/>
          <w:bCs/>
          <w:lang w:val="en-US"/>
        </w:rPr>
      </w:pPr>
    </w:p>
    <w:p w14:paraId="44D7D62A" w14:textId="77777777" w:rsidR="00666518" w:rsidRPr="00382DF1" w:rsidRDefault="00666518" w:rsidP="00140659">
      <w:pPr>
        <w:jc w:val="both"/>
        <w:rPr>
          <w:b/>
          <w:bCs/>
          <w:lang w:val="en-US"/>
        </w:rPr>
      </w:pPr>
    </w:p>
    <w:p w14:paraId="5B340E04" w14:textId="77777777" w:rsidR="00666518" w:rsidRPr="00382DF1" w:rsidRDefault="00666518" w:rsidP="00140659">
      <w:pPr>
        <w:jc w:val="both"/>
        <w:rPr>
          <w:b/>
          <w:bCs/>
          <w:lang w:val="en-US"/>
        </w:rPr>
      </w:pPr>
    </w:p>
    <w:p w14:paraId="6DC58B70" w14:textId="77777777" w:rsidR="00666518" w:rsidRPr="00382DF1" w:rsidRDefault="00666518" w:rsidP="00140659">
      <w:pPr>
        <w:jc w:val="both"/>
        <w:rPr>
          <w:b/>
          <w:bCs/>
          <w:lang w:val="en-US"/>
        </w:rPr>
      </w:pPr>
    </w:p>
    <w:p w14:paraId="19C6717B" w14:textId="77777777" w:rsidR="00666518" w:rsidRPr="00382DF1" w:rsidRDefault="00666518" w:rsidP="00730E67">
      <w:pPr>
        <w:jc w:val="both"/>
        <w:rPr>
          <w:b/>
          <w:bCs/>
          <w:lang w:val="en-US"/>
        </w:rPr>
      </w:pPr>
    </w:p>
    <w:p w14:paraId="2184AB40" w14:textId="77777777" w:rsidR="00666518" w:rsidRPr="00382DF1" w:rsidRDefault="00666518" w:rsidP="00730E67">
      <w:pPr>
        <w:jc w:val="both"/>
        <w:rPr>
          <w:b/>
          <w:bCs/>
          <w:lang w:val="en-US"/>
        </w:rPr>
      </w:pPr>
    </w:p>
    <w:p w14:paraId="1BDFFCA3" w14:textId="77777777" w:rsidR="00666518" w:rsidRPr="00382DF1" w:rsidRDefault="00666518" w:rsidP="00730E67">
      <w:pPr>
        <w:jc w:val="both"/>
        <w:rPr>
          <w:b/>
          <w:bCs/>
          <w:lang w:val="en-US"/>
        </w:rPr>
      </w:pPr>
    </w:p>
    <w:p w14:paraId="426EA462" w14:textId="77777777" w:rsidR="00666518" w:rsidRPr="00382DF1" w:rsidRDefault="00666518" w:rsidP="00730E67">
      <w:pPr>
        <w:jc w:val="both"/>
        <w:rPr>
          <w:b/>
          <w:bCs/>
          <w:lang w:val="en-US"/>
        </w:rPr>
      </w:pPr>
    </w:p>
    <w:p w14:paraId="3B4DED6B" w14:textId="77777777" w:rsidR="00666518" w:rsidRPr="00382DF1" w:rsidRDefault="00666518" w:rsidP="00730E67">
      <w:pPr>
        <w:jc w:val="both"/>
        <w:rPr>
          <w:b/>
          <w:bCs/>
          <w:lang w:val="en-US"/>
        </w:rPr>
      </w:pPr>
    </w:p>
    <w:p w14:paraId="27439ED8" w14:textId="77777777" w:rsidR="00666518" w:rsidRPr="00382DF1" w:rsidRDefault="00666518" w:rsidP="00730E67">
      <w:pPr>
        <w:jc w:val="both"/>
        <w:rPr>
          <w:b/>
          <w:bCs/>
          <w:lang w:val="en-US"/>
        </w:rPr>
      </w:pPr>
    </w:p>
    <w:p w14:paraId="52651071" w14:textId="77777777" w:rsidR="00666518" w:rsidRPr="00382DF1" w:rsidRDefault="00666518" w:rsidP="00730E67">
      <w:pPr>
        <w:jc w:val="both"/>
        <w:rPr>
          <w:b/>
          <w:bCs/>
          <w:lang w:val="en-US"/>
        </w:rPr>
      </w:pPr>
    </w:p>
    <w:p w14:paraId="1D2B07E7" w14:textId="77777777" w:rsidR="00666518" w:rsidRPr="00382DF1" w:rsidRDefault="00666518" w:rsidP="00730E67">
      <w:pPr>
        <w:jc w:val="both"/>
        <w:rPr>
          <w:lang w:val="en-US"/>
        </w:rPr>
      </w:pPr>
    </w:p>
    <w:p w14:paraId="6555A9D5" w14:textId="77777777" w:rsidR="00730E67" w:rsidRDefault="00730E67" w:rsidP="00754D07">
      <w:pPr>
        <w:jc w:val="both"/>
        <w:rPr>
          <w:b/>
          <w:bCs/>
          <w:lang w:val="en-GB"/>
        </w:rPr>
      </w:pPr>
    </w:p>
    <w:p w14:paraId="6E95EA67" w14:textId="0A652553" w:rsidR="008D492A" w:rsidRPr="00CB3A31" w:rsidRDefault="00754D07" w:rsidP="00754D07">
      <w:pPr>
        <w:jc w:val="both"/>
        <w:rPr>
          <w:b/>
          <w:bCs/>
        </w:rPr>
      </w:pPr>
      <w:r w:rsidRPr="00754D07">
        <w:rPr>
          <w:b/>
          <w:bCs/>
        </w:rPr>
        <w:lastRenderedPageBreak/>
        <w:t>Ιδιαιτερότητες της γάτας στην Ορθοπαιδική. Γιατί δεν είναι μικρόσωμοι σκύλοι</w:t>
      </w:r>
    </w:p>
    <w:p w14:paraId="67D25393" w14:textId="77777777" w:rsidR="00754D07" w:rsidRPr="00754D07" w:rsidRDefault="00754D07" w:rsidP="00754D07">
      <w:pPr>
        <w:jc w:val="both"/>
      </w:pPr>
      <w:r w:rsidRPr="00754D07">
        <w:t>Μητρούλη Αναστασία</w:t>
      </w:r>
      <w:r w:rsidRPr="00754D07">
        <w:rPr>
          <w:vertAlign w:val="superscript"/>
        </w:rPr>
        <w:t>1</w:t>
      </w:r>
      <w:r w:rsidRPr="00754D07">
        <w:t>, Πράσινος Ν. Νικήτας</w:t>
      </w:r>
      <w:r w:rsidRPr="00754D07">
        <w:rPr>
          <w:vertAlign w:val="superscript"/>
        </w:rPr>
        <w:t>2</w:t>
      </w:r>
      <w:r w:rsidRPr="00754D07">
        <w:t>, Κρυστάλλη Α. Ανδρονίκη</w:t>
      </w:r>
      <w:r w:rsidRPr="00754D07">
        <w:rPr>
          <w:vertAlign w:val="superscript"/>
        </w:rPr>
        <w:t>3</w:t>
      </w:r>
    </w:p>
    <w:p w14:paraId="0ADD28D7" w14:textId="77777777" w:rsidR="00754D07" w:rsidRPr="00754D07" w:rsidRDefault="00754D07" w:rsidP="00754D07">
      <w:pPr>
        <w:numPr>
          <w:ilvl w:val="0"/>
          <w:numId w:val="1"/>
        </w:numPr>
        <w:jc w:val="both"/>
      </w:pPr>
      <w:r w:rsidRPr="00754D07">
        <w:t>Προπτυχιακή φοιτήτρια, Τμήμα Κτηνιατρικής, Σχολή Επιστημών Υγείας, Αριστοτέλειο Πανεπιστήμιο Θεσσαλονίκης</w:t>
      </w:r>
    </w:p>
    <w:p w14:paraId="61746BF0" w14:textId="77777777" w:rsidR="00754D07" w:rsidRPr="00754D07" w:rsidRDefault="00754D07" w:rsidP="00754D07">
      <w:pPr>
        <w:numPr>
          <w:ilvl w:val="0"/>
          <w:numId w:val="1"/>
        </w:numPr>
        <w:jc w:val="both"/>
      </w:pPr>
      <w:r w:rsidRPr="00754D07">
        <w:t>Κτηνίατρος, PhD, Καθηγητής, Μονάδα Χειρουργικής &amp; Μαιευτικής, Κλινική Ζώων Συντροφιάς, Τμήμα Κτηνιατρικής, Σχολή Επιστημών Υγείας, Αριστοτέλειο Πανεπιστήμιο Θεσσαλονίκης</w:t>
      </w:r>
    </w:p>
    <w:p w14:paraId="4A5DB9FE" w14:textId="77777777" w:rsidR="00754D07" w:rsidRDefault="00754D07" w:rsidP="00754D07">
      <w:pPr>
        <w:numPr>
          <w:ilvl w:val="0"/>
          <w:numId w:val="1"/>
        </w:numPr>
        <w:jc w:val="both"/>
      </w:pPr>
      <w:r w:rsidRPr="00754D07">
        <w:t>Κτηνίατρος, PhD, Συμβασιούχος διδάσκουσα, Μονάδα Χειρουργικής &amp; Μαιευτικής, Κλινική Ζώων Συντροφιάς, Τμήμα Κτηνιατρικής, Σχολή Επιστημών Υγείας, Αριστοτέλειο Πανεπιστήμιο Θεσσαλονίκης</w:t>
      </w:r>
    </w:p>
    <w:p w14:paraId="20140426" w14:textId="77777777" w:rsidR="00754D07" w:rsidRPr="00754D07" w:rsidRDefault="00754D07" w:rsidP="00754D07">
      <w:pPr>
        <w:ind w:left="720"/>
        <w:jc w:val="both"/>
      </w:pPr>
    </w:p>
    <w:p w14:paraId="08B51D05" w14:textId="77777777" w:rsidR="00754D07" w:rsidRPr="00754D07" w:rsidRDefault="00754D07" w:rsidP="00754D07">
      <w:pPr>
        <w:jc w:val="both"/>
      </w:pPr>
      <w:r w:rsidRPr="00754D07">
        <w:rPr>
          <w:b/>
          <w:bCs/>
        </w:rPr>
        <w:t>Περίληψη</w:t>
      </w:r>
    </w:p>
    <w:p w14:paraId="2726F0D4" w14:textId="77777777" w:rsidR="00754D07" w:rsidRPr="00754D07" w:rsidRDefault="00754D07" w:rsidP="00754D07">
      <w:pPr>
        <w:jc w:val="both"/>
      </w:pPr>
      <w:r w:rsidRPr="00754D07">
        <w:t>Παρά τα κοινά ορθοπαιδικά στοιχεία μεταξύ σκύλου και γάτας, η παραδοχή ότι «η γάτα δεν είναι μικρός σκύλος» παραμένει θεμελιώδης στην κλινική πράξη. Η παρούσα εργασία αναλύει συγκριτικά τα δύο είδη, εστιάζοντας στις ανατομικές και ιδιοσυγκρασιακές ιδιαιτερότητες που διαφοροποιούν τη γάτα. Η κυριαρχία της τραυματικής αιτιολογίας ορθοπαιδικών προβλημάτων σε συνδυασμό με την ενστικτώδη τάση απόκρυψης του άλγους και της χωλότητας καθιστούν τη διαγνωστική προσέγγιση ιδιαίτερα απαιτητική. Επιπλέον, η ιδιοσυγκρασία του είδους επιβάλλει τροποποιήσεις στις κλασικές μεθόδους κλινικής εξέτασης σε σχέση με αυτές που εφαρμόζονται στον σκύλο. Η καλή γνώση της μυοσκελετικής ανατομίας και η εξατομικευμένη διαχείριση αποτελούν τους ακρογωνιαίους λίθους για την ορθή θεραπευτική προσέγγιση, καταρρίπτοντας οριστικά την εσφαλμένη αντίληψη ότι η γάτα αποτελεί ορθοπεδικό ασθενή χαμηλών απαιτήσεων.</w:t>
      </w:r>
    </w:p>
    <w:p w14:paraId="1BF1CEB5" w14:textId="77777777" w:rsidR="00754D07" w:rsidRPr="00754D07" w:rsidRDefault="00754D07" w:rsidP="00754D07">
      <w:pPr>
        <w:jc w:val="both"/>
      </w:pPr>
    </w:p>
    <w:p w14:paraId="2693B97E" w14:textId="77777777" w:rsidR="00754D07" w:rsidRPr="00754D07" w:rsidRDefault="00754D07" w:rsidP="00754D07">
      <w:pPr>
        <w:spacing w:line="240" w:lineRule="auto"/>
        <w:jc w:val="both"/>
      </w:pPr>
      <w:r w:rsidRPr="00754D07">
        <w:rPr>
          <w:b/>
          <w:bCs/>
        </w:rPr>
        <w:t>Βιβλιογραφία</w:t>
      </w:r>
    </w:p>
    <w:p w14:paraId="0C3FD20C" w14:textId="77777777" w:rsidR="00754D07" w:rsidRPr="00382DF1" w:rsidRDefault="00754D07" w:rsidP="00754D07">
      <w:pPr>
        <w:jc w:val="both"/>
        <w:rPr>
          <w:lang w:val="en-US"/>
        </w:rPr>
      </w:pPr>
      <w:r w:rsidRPr="00754D07">
        <w:t xml:space="preserve">Ablin, L.W., Gambardella, P.C. (1991). </w:t>
      </w:r>
      <w:r w:rsidRPr="00382DF1">
        <w:rPr>
          <w:i/>
          <w:iCs/>
          <w:lang w:val="en-US"/>
        </w:rPr>
        <w:t xml:space="preserve">Orthopaedics of the feline hip. Compend Contin Educ Pract Vet </w:t>
      </w:r>
      <w:r w:rsidRPr="00382DF1">
        <w:rPr>
          <w:lang w:val="en-US"/>
        </w:rPr>
        <w:t>13, 592–598.</w:t>
      </w:r>
    </w:p>
    <w:p w14:paraId="0769BD7A" w14:textId="77777777" w:rsidR="00754D07" w:rsidRPr="00382DF1" w:rsidRDefault="00754D07" w:rsidP="00754D07">
      <w:pPr>
        <w:jc w:val="both"/>
        <w:rPr>
          <w:lang w:val="en-US"/>
        </w:rPr>
      </w:pPr>
      <w:r w:rsidRPr="00382DF1">
        <w:rPr>
          <w:lang w:val="en-US"/>
        </w:rPr>
        <w:t xml:space="preserve">Dentsas, M. T., Prassinos, N. N., &amp; Krystalli, A. A. (2019). </w:t>
      </w:r>
      <w:r w:rsidRPr="00382DF1">
        <w:rPr>
          <w:i/>
          <w:iCs/>
          <w:lang w:val="en-US"/>
        </w:rPr>
        <w:t>Cats are not small dogs, not even in orthopaedics</w:t>
      </w:r>
      <w:r w:rsidRPr="00382DF1">
        <w:rPr>
          <w:lang w:val="en-US"/>
        </w:rPr>
        <w:t xml:space="preserve">. </w:t>
      </w:r>
      <w:r w:rsidRPr="00382DF1">
        <w:rPr>
          <w:i/>
          <w:iCs/>
          <w:lang w:val="en-US"/>
        </w:rPr>
        <w:t>Journal of the Hellenic Veterinary Medical Society 8</w:t>
      </w:r>
      <w:r w:rsidRPr="00382DF1">
        <w:rPr>
          <w:lang w:val="en-US"/>
        </w:rPr>
        <w:t>(2), 118–133.</w:t>
      </w:r>
    </w:p>
    <w:p w14:paraId="7E969DC0" w14:textId="77777777" w:rsidR="00754D07" w:rsidRPr="00382DF1" w:rsidRDefault="00754D07" w:rsidP="00754D07">
      <w:pPr>
        <w:jc w:val="both"/>
        <w:rPr>
          <w:lang w:val="en-US"/>
        </w:rPr>
      </w:pPr>
      <w:r w:rsidRPr="00382DF1">
        <w:rPr>
          <w:lang w:val="en-US"/>
        </w:rPr>
        <w:t xml:space="preserve">Langley-Hobbs, S.J. (2018). </w:t>
      </w:r>
      <w:r w:rsidRPr="00382DF1">
        <w:rPr>
          <w:i/>
          <w:iCs/>
          <w:lang w:val="en-US"/>
        </w:rPr>
        <w:t>Fractures of the humerus</w:t>
      </w:r>
      <w:r w:rsidRPr="00382DF1">
        <w:rPr>
          <w:lang w:val="en-US"/>
        </w:rPr>
        <w:t>. In: S. A. Johnston, K. M. Tobias. Veterinary Surgery Small Animal. 2nd edn. Elsevier Saunders, St. Louis, pp. 1980-2014.</w:t>
      </w:r>
    </w:p>
    <w:p w14:paraId="732EC3EF" w14:textId="77777777" w:rsidR="00754D07" w:rsidRPr="00382DF1" w:rsidRDefault="00754D07" w:rsidP="00754D07">
      <w:pPr>
        <w:jc w:val="both"/>
        <w:rPr>
          <w:lang w:val="en-US"/>
        </w:rPr>
      </w:pPr>
      <w:r w:rsidRPr="00382DF1">
        <w:rPr>
          <w:lang w:val="en-US"/>
        </w:rPr>
        <w:t xml:space="preserve">Marcellin-Little, D. (2009). </w:t>
      </w:r>
      <w:r w:rsidRPr="00382DF1">
        <w:rPr>
          <w:i/>
          <w:iCs/>
          <w:lang w:val="en-US"/>
        </w:rPr>
        <w:t>Hind Limb Orthopedic Problems In The Feline Patient</w:t>
      </w:r>
      <w:r w:rsidRPr="00382DF1">
        <w:rPr>
          <w:lang w:val="en-US"/>
        </w:rPr>
        <w:t>. NAVC Conference, Small Animal – Orthopedics.</w:t>
      </w:r>
    </w:p>
    <w:p w14:paraId="641FAB52" w14:textId="77777777" w:rsidR="00754D07" w:rsidRPr="00382DF1" w:rsidRDefault="00754D07" w:rsidP="00754D07">
      <w:pPr>
        <w:jc w:val="both"/>
        <w:rPr>
          <w:lang w:val="en-US"/>
        </w:rPr>
      </w:pPr>
      <w:r w:rsidRPr="00382DF1">
        <w:rPr>
          <w:lang w:val="en-US"/>
        </w:rPr>
        <w:t>Scott, H.W., McLaughlin, R. (2007).</w:t>
      </w:r>
      <w:r w:rsidRPr="00382DF1">
        <w:rPr>
          <w:i/>
          <w:iCs/>
          <w:lang w:val="en-US"/>
        </w:rPr>
        <w:t xml:space="preserve"> Introduction to Feline Orthopedic Surgery. In: Feline Orthopedics</w:t>
      </w:r>
      <w:r w:rsidRPr="00382DF1">
        <w:rPr>
          <w:lang w:val="en-US"/>
        </w:rPr>
        <w:t>. Manson Publishing, London, pp. 9-16.</w:t>
      </w:r>
    </w:p>
    <w:p w14:paraId="2DFC609A" w14:textId="77777777" w:rsidR="00754D07" w:rsidRPr="00382DF1" w:rsidRDefault="00754D07" w:rsidP="00754D07">
      <w:pPr>
        <w:jc w:val="both"/>
        <w:rPr>
          <w:lang w:val="en-US"/>
        </w:rPr>
      </w:pPr>
      <w:r w:rsidRPr="00382DF1">
        <w:rPr>
          <w:lang w:val="en-US"/>
        </w:rPr>
        <w:t xml:space="preserve">Scott, H.W., McLaughlin, R. (2007). </w:t>
      </w:r>
      <w:r w:rsidRPr="00382DF1">
        <w:rPr>
          <w:i/>
          <w:iCs/>
          <w:lang w:val="en-US"/>
        </w:rPr>
        <w:t>Fractures and Disorders of the hindlimb. In: Feline Orthopedics</w:t>
      </w:r>
      <w:r w:rsidRPr="00382DF1">
        <w:rPr>
          <w:lang w:val="en-US"/>
        </w:rPr>
        <w:t>. Manson Publishing, London, pp. 184-191.</w:t>
      </w:r>
    </w:p>
    <w:p w14:paraId="4612B86E" w14:textId="77777777" w:rsidR="00754D07" w:rsidRPr="00382DF1" w:rsidRDefault="00754D07" w:rsidP="00754D07">
      <w:pPr>
        <w:jc w:val="both"/>
        <w:rPr>
          <w:lang w:val="en-US"/>
        </w:rPr>
      </w:pPr>
      <w:r w:rsidRPr="00382DF1">
        <w:rPr>
          <w:lang w:val="en-US"/>
        </w:rPr>
        <w:t xml:space="preserve">Voss, K., Steffen, F. (2009). Patient assessment. In: P. M. Montavon, K. Voss, S. J. Langley-Hobbs. </w:t>
      </w:r>
      <w:r w:rsidRPr="00382DF1">
        <w:rPr>
          <w:i/>
          <w:iCs/>
          <w:lang w:val="en-US"/>
        </w:rPr>
        <w:t>Feline Orthopedic Surgery and Musculoskeletal Disease</w:t>
      </w:r>
      <w:r w:rsidRPr="00382DF1">
        <w:rPr>
          <w:lang w:val="en-US"/>
        </w:rPr>
        <w:t>. Elsevier Saunders, Philadelphia, pp. 3-19.</w:t>
      </w:r>
    </w:p>
    <w:p w14:paraId="573A2E8C" w14:textId="77777777" w:rsidR="00754D07" w:rsidRPr="00754D07" w:rsidRDefault="00754D07" w:rsidP="00754D07">
      <w:pPr>
        <w:jc w:val="both"/>
      </w:pPr>
      <w:r w:rsidRPr="00754D07">
        <w:rPr>
          <w:b/>
          <w:bCs/>
        </w:rPr>
        <w:lastRenderedPageBreak/>
        <w:t>Η χρήση των μεσεγχυματικών κυττάρων στην αποκατάσταση καταγμάτων στα Ζώα Συντροφιάς</w:t>
      </w:r>
    </w:p>
    <w:p w14:paraId="6E18A1D9" w14:textId="77777777" w:rsidR="00754D07" w:rsidRPr="00754D07" w:rsidRDefault="00754D07" w:rsidP="00754D07">
      <w:pPr>
        <w:jc w:val="both"/>
      </w:pPr>
      <w:r w:rsidRPr="00754D07">
        <w:t>Νταβαρούκα Δήμητρα</w:t>
      </w:r>
      <w:r w:rsidRPr="00754D07">
        <w:rPr>
          <w:vertAlign w:val="superscript"/>
        </w:rPr>
        <w:t>1</w:t>
      </w:r>
      <w:r w:rsidRPr="00754D07">
        <w:t>, Πετράκου Ανθούλα</w:t>
      </w:r>
      <w:r w:rsidRPr="00754D07">
        <w:rPr>
          <w:vertAlign w:val="superscript"/>
        </w:rPr>
        <w:t>1</w:t>
      </w:r>
      <w:r w:rsidRPr="00754D07">
        <w:t>, Σιδέρη Αικατερίνη</w:t>
      </w:r>
      <w:r w:rsidRPr="00754D07">
        <w:rPr>
          <w:vertAlign w:val="superscript"/>
        </w:rPr>
        <w:t>2</w:t>
      </w:r>
    </w:p>
    <w:p w14:paraId="4205FEBD" w14:textId="77777777" w:rsidR="00754D07" w:rsidRPr="00754D07" w:rsidRDefault="00754D07" w:rsidP="00754D07">
      <w:pPr>
        <w:numPr>
          <w:ilvl w:val="0"/>
          <w:numId w:val="2"/>
        </w:numPr>
        <w:jc w:val="both"/>
      </w:pPr>
      <w:r w:rsidRPr="00754D07">
        <w:t> Προπτυχιακή Φοιτήτρια, Τμήμα Κτηνιατρικής, Σχολή Επιστημών Υγείας, Πανεπιστήμιο Θεσσαλίας</w:t>
      </w:r>
    </w:p>
    <w:p w14:paraId="7B0A6AB4" w14:textId="77777777" w:rsidR="00754D07" w:rsidRPr="00754D07" w:rsidRDefault="00754D07" w:rsidP="00754D07">
      <w:pPr>
        <w:numPr>
          <w:ilvl w:val="0"/>
          <w:numId w:val="2"/>
        </w:numPr>
        <w:jc w:val="both"/>
      </w:pPr>
      <w:r w:rsidRPr="00754D07">
        <w:t>Αναπληρώτρια Καθηγήτρια, Χειρουργική και Αναισθησιολογία των Ζώων, Τμήμα Κτηνιατρικής, Σχολή Επιστημών Υγείας, Πανεπιστήμιο Θεσσαλίας</w:t>
      </w:r>
    </w:p>
    <w:p w14:paraId="59AC779F" w14:textId="77777777" w:rsidR="00754D07" w:rsidRPr="00754D07" w:rsidRDefault="00754D07" w:rsidP="00754D07">
      <w:pPr>
        <w:jc w:val="both"/>
      </w:pPr>
    </w:p>
    <w:p w14:paraId="4875EEE5" w14:textId="77777777" w:rsidR="00754D07" w:rsidRPr="00754D07" w:rsidRDefault="00754D07" w:rsidP="00754D07">
      <w:pPr>
        <w:jc w:val="both"/>
      </w:pPr>
      <w:r w:rsidRPr="00754D07">
        <w:rPr>
          <w:b/>
          <w:bCs/>
        </w:rPr>
        <w:t>Περίληψη</w:t>
      </w:r>
    </w:p>
    <w:p w14:paraId="6F5AA2C0" w14:textId="77777777" w:rsidR="00754D07" w:rsidRDefault="00754D07" w:rsidP="00754D07">
      <w:pPr>
        <w:jc w:val="both"/>
      </w:pPr>
      <w:r w:rsidRPr="00754D07">
        <w:t>Τα μεσεγχυματικά κύτταρα (ΜΚ) είναι πολυδύναμα κύτταρα με ικανότητα να πολλαπλασιάζονται και να διαφοροποιούνται σε διαφορετικούς τύπους κυττάρων, συμβάλλοντας έτσι στην αναγέννηση των ιστών και στην επιδιόρθωση των βλαβών. Παράλληλα, διαθέτουν ανοσορρυθμιστικές και αγγειογενετικές ιδιότητες, επηρεάζοντας τη λειτουργία των κυττάρων του ανοσοποιητικού συστήματος. Η χρήση των μεσεγχυματικών κυττάρων στην ορθοπαιδική αποτελεί μια σύγχρονη θεραπευτική προσέγγιση που στοχεύει στην αναγέννηση και αποκατάσταση των κατεστραμμένων ιστών. Ειδικότερα, στην αποκατάσταση καταγμάτων συνιστά μια καινοτόμο μέθοδο τόσο ως προς τον μηχανισμό της πώρωσης του οστού όσο και ως προς τον χρόνο που απαιτείται για την πλήρη αποκατάσταση της βλάβης.  Η σύγχρονη βιβλιογραφία καταδεικνύει ότι τα μεσεγχυματικά κύτταρα, αποτελούν μια ιδιαίτερα υποσχόμενη θεραπευτική προσέγγιση στον τομέα της ορθοπαιδικής, συμβάλλοντας σημαντικά στην εξέλιξη της αναγεννητικής ιατρικής.</w:t>
      </w:r>
    </w:p>
    <w:p w14:paraId="54ECC193" w14:textId="77777777" w:rsidR="004532C1" w:rsidRDefault="004532C1" w:rsidP="00754D07">
      <w:pPr>
        <w:jc w:val="both"/>
      </w:pPr>
    </w:p>
    <w:p w14:paraId="1BA800C6" w14:textId="6F11CB55" w:rsidR="004532C1" w:rsidRDefault="004532C1" w:rsidP="00754D07">
      <w:pPr>
        <w:jc w:val="both"/>
        <w:rPr>
          <w:b/>
          <w:bCs/>
        </w:rPr>
      </w:pPr>
      <w:r>
        <w:rPr>
          <w:b/>
          <w:bCs/>
        </w:rPr>
        <w:t xml:space="preserve">Βιβλιογραφία </w:t>
      </w:r>
    </w:p>
    <w:p w14:paraId="1296F726" w14:textId="1EED98E6" w:rsidR="004532C1" w:rsidRDefault="004532C1" w:rsidP="004532C1">
      <w:pPr>
        <w:jc w:val="both"/>
      </w:pPr>
      <w:r>
        <w:t xml:space="preserve">Ανατολίτου Α. Α. (2023). </w:t>
      </w:r>
      <w:r>
        <w:rPr>
          <w:i/>
          <w:iCs/>
        </w:rPr>
        <w:t xml:space="preserve">Συγκριτική μελέτη της θεραπευτικής εφαρμογής βλαστοκυττάρων από ετερόλογους δότες ιστούς, στην ανάπλαση του αρθρικού χόνδρου σε πειραματικό μοντέλο κονίκλου </w:t>
      </w:r>
      <w:r w:rsidRPr="004532C1">
        <w:t>(</w:t>
      </w:r>
      <w:r w:rsidRPr="004532C1">
        <w:rPr>
          <w:lang w:val="en-GB"/>
        </w:rPr>
        <w:t>Doctoral</w:t>
      </w:r>
      <w:r w:rsidRPr="004532C1">
        <w:t xml:space="preserve"> </w:t>
      </w:r>
      <w:r w:rsidRPr="004532C1">
        <w:rPr>
          <w:lang w:val="en-GB"/>
        </w:rPr>
        <w:t>dissertation</w:t>
      </w:r>
      <w:r w:rsidRPr="004532C1">
        <w:t>,</w:t>
      </w:r>
      <w:r w:rsidRPr="004532C1">
        <w:rPr>
          <w:i/>
          <w:iCs/>
        </w:rPr>
        <w:t xml:space="preserve"> </w:t>
      </w:r>
      <w:r>
        <w:t xml:space="preserve">Αριστοτέλειο Πανεπιστήμιο Θεσσαλονίκης). </w:t>
      </w:r>
    </w:p>
    <w:p w14:paraId="55873143" w14:textId="02C16A0E" w:rsidR="004532C1" w:rsidRPr="002617A2" w:rsidRDefault="004532C1" w:rsidP="004532C1">
      <w:pPr>
        <w:jc w:val="both"/>
        <w:rPr>
          <w:lang w:val="fr-FR"/>
        </w:rPr>
      </w:pPr>
      <w:r>
        <w:rPr>
          <w:lang w:val="en-GB"/>
        </w:rPr>
        <w:t xml:space="preserve">Markoski M. M. (2016). </w:t>
      </w:r>
      <w:r>
        <w:rPr>
          <w:i/>
          <w:iCs/>
          <w:lang w:val="en-GB"/>
        </w:rPr>
        <w:t>Advances in the Use of Stem Cells in Veterinary Medicine</w:t>
      </w:r>
      <w:r w:rsidRPr="004532C1">
        <w:rPr>
          <w:i/>
          <w:iCs/>
          <w:lang w:val="en-GB"/>
        </w:rPr>
        <w:t>:</w:t>
      </w:r>
      <w:r>
        <w:rPr>
          <w:i/>
          <w:iCs/>
          <w:lang w:val="en-GB"/>
        </w:rPr>
        <w:t xml:space="preserve"> From Basic Research to Clinical Practice. </w:t>
      </w:r>
      <w:r w:rsidRPr="002617A2">
        <w:rPr>
          <w:i/>
          <w:iCs/>
          <w:lang w:val="fr-FR"/>
        </w:rPr>
        <w:t>Scientifica, 2016</w:t>
      </w:r>
      <w:r w:rsidRPr="002617A2">
        <w:rPr>
          <w:lang w:val="fr-FR"/>
        </w:rPr>
        <w:t>, 4516920.</w:t>
      </w:r>
    </w:p>
    <w:p w14:paraId="2C70016B" w14:textId="3F4F31FD" w:rsidR="004532C1" w:rsidRDefault="004532C1" w:rsidP="004532C1">
      <w:pPr>
        <w:jc w:val="both"/>
        <w:rPr>
          <w:lang w:val="en-GB"/>
        </w:rPr>
      </w:pPr>
      <w:r w:rsidRPr="002617A2">
        <w:rPr>
          <w:lang w:val="fr-FR"/>
        </w:rPr>
        <w:t xml:space="preserve">Anatolitou, A. A., Sideri, K. I. &amp; Prassinos, N. N. (2020). </w:t>
      </w:r>
      <w:r>
        <w:rPr>
          <w:i/>
          <w:iCs/>
          <w:lang w:val="en-GB"/>
        </w:rPr>
        <w:t xml:space="preserve">Current research and application of stem cells in the dog and cat </w:t>
      </w:r>
      <w:r>
        <w:rPr>
          <w:lang w:val="en-GB"/>
        </w:rPr>
        <w:t>[Review of Current research and application of stem cells in the dog and cat].</w:t>
      </w:r>
    </w:p>
    <w:p w14:paraId="6E46E021" w14:textId="03185EB8" w:rsidR="00754D07" w:rsidRPr="00E214CC" w:rsidRDefault="004532C1" w:rsidP="00E214CC">
      <w:pPr>
        <w:jc w:val="both"/>
        <w:rPr>
          <w:lang w:val="en-GB"/>
        </w:rPr>
      </w:pPr>
      <w:r>
        <w:rPr>
          <w:lang w:val="en-GB"/>
        </w:rPr>
        <w:t>Nantavisai</w:t>
      </w:r>
      <w:r w:rsidR="00E214CC">
        <w:rPr>
          <w:lang w:val="en-GB"/>
        </w:rPr>
        <w:t xml:space="preserve">, S., Egusa, H., Osathanon, T., &amp; Sawangmake, C. (2019). </w:t>
      </w:r>
      <w:r w:rsidR="00E214CC">
        <w:rPr>
          <w:i/>
          <w:iCs/>
          <w:lang w:val="en-GB"/>
        </w:rPr>
        <w:t xml:space="preserve">Mesenchymal stem cell-based bone tissue engineering for veterinary practice. Heliyon, </w:t>
      </w:r>
      <w:r w:rsidR="00E214CC">
        <w:rPr>
          <w:lang w:val="en-GB"/>
        </w:rPr>
        <w:t>5(11), e02808.</w:t>
      </w:r>
    </w:p>
    <w:p w14:paraId="22E71AFF" w14:textId="58F668B9" w:rsidR="00754D07" w:rsidRPr="00382DF1" w:rsidRDefault="00754D07" w:rsidP="00E214CC">
      <w:pPr>
        <w:spacing w:line="240" w:lineRule="auto"/>
        <w:jc w:val="both"/>
        <w:rPr>
          <w:lang w:val="en-US"/>
        </w:rPr>
      </w:pPr>
      <w:r w:rsidRPr="00382DF1">
        <w:rPr>
          <w:lang w:val="en-US"/>
        </w:rPr>
        <w:t xml:space="preserve">Knight, M. N., &amp; Hankenson, K. D. (2013). </w:t>
      </w:r>
      <w:r w:rsidRPr="00382DF1">
        <w:rPr>
          <w:i/>
          <w:iCs/>
          <w:lang w:val="en-US"/>
        </w:rPr>
        <w:t>Mesenchymal stem cells in bone regeneration. Advances in wound care</w:t>
      </w:r>
      <w:r w:rsidRPr="00382DF1">
        <w:rPr>
          <w:lang w:val="en-US"/>
        </w:rPr>
        <w:t>, </w:t>
      </w:r>
      <w:r w:rsidRPr="00382DF1">
        <w:rPr>
          <w:i/>
          <w:iCs/>
          <w:lang w:val="en-US"/>
        </w:rPr>
        <w:t>2</w:t>
      </w:r>
      <w:r w:rsidRPr="00382DF1">
        <w:rPr>
          <w:lang w:val="en-US"/>
        </w:rPr>
        <w:t>(6), 306-316.</w:t>
      </w:r>
    </w:p>
    <w:p w14:paraId="1C56D7C5" w14:textId="77777777" w:rsidR="00E214CC" w:rsidRPr="00382DF1" w:rsidRDefault="00754D07" w:rsidP="00754D07">
      <w:pPr>
        <w:jc w:val="both"/>
        <w:rPr>
          <w:lang w:val="en-US"/>
        </w:rPr>
      </w:pPr>
      <w:r w:rsidRPr="00382DF1">
        <w:rPr>
          <w:lang w:val="en-US"/>
        </w:rPr>
        <w:t xml:space="preserve">Dias, I. E., Cardoso, D. F., Soares, C. S., Barros, L. C., Viegas, C. A., Carvalho, P. P., &amp; Dias, I. R. (2021). </w:t>
      </w:r>
      <w:r w:rsidRPr="00382DF1">
        <w:rPr>
          <w:i/>
          <w:iCs/>
          <w:lang w:val="en-US"/>
        </w:rPr>
        <w:t>Clinical application of mesenchymal stem cell therapy in musculoskeletal injuries in dogs: a review of the scientific literature</w:t>
      </w:r>
      <w:r w:rsidRPr="00382DF1">
        <w:rPr>
          <w:lang w:val="en-US"/>
        </w:rPr>
        <w:t>. </w:t>
      </w:r>
      <w:r w:rsidRPr="00382DF1">
        <w:rPr>
          <w:i/>
          <w:iCs/>
          <w:lang w:val="en-US"/>
        </w:rPr>
        <w:t>Open Veterinary Journal</w:t>
      </w:r>
      <w:r w:rsidRPr="00382DF1">
        <w:rPr>
          <w:lang w:val="en-US"/>
        </w:rPr>
        <w:t>, </w:t>
      </w:r>
      <w:r w:rsidRPr="00382DF1">
        <w:rPr>
          <w:i/>
          <w:iCs/>
          <w:lang w:val="en-US"/>
        </w:rPr>
        <w:t>11</w:t>
      </w:r>
      <w:r w:rsidRPr="00382DF1">
        <w:rPr>
          <w:lang w:val="en-US"/>
        </w:rPr>
        <w:t>(2), 188–202. </w:t>
      </w:r>
    </w:p>
    <w:p w14:paraId="528BD170" w14:textId="4AA064C0" w:rsidR="00754D07" w:rsidRPr="00382DF1" w:rsidRDefault="00754D07" w:rsidP="00754D07">
      <w:pPr>
        <w:jc w:val="both"/>
        <w:rPr>
          <w:lang w:val="en-US"/>
        </w:rPr>
      </w:pPr>
      <w:r w:rsidRPr="00382DF1">
        <w:rPr>
          <w:lang w:val="en-US"/>
        </w:rPr>
        <w:lastRenderedPageBreak/>
        <w:t>Webster, R. A., Blaber, S. P., Herbert, B. R., Wilkins, M. R., &amp; Vesey, G. (2012).</w:t>
      </w:r>
      <w:r w:rsidRPr="00382DF1">
        <w:rPr>
          <w:i/>
          <w:iCs/>
          <w:lang w:val="en-US"/>
        </w:rPr>
        <w:t xml:space="preserve"> The role of mesenchymal stem cells in veterinary therapeutics - a review. New Zealand veterinary journal</w:t>
      </w:r>
      <w:r w:rsidRPr="00382DF1">
        <w:rPr>
          <w:lang w:val="en-US"/>
        </w:rPr>
        <w:t>, </w:t>
      </w:r>
      <w:r w:rsidRPr="00382DF1">
        <w:rPr>
          <w:i/>
          <w:iCs/>
          <w:lang w:val="en-US"/>
        </w:rPr>
        <w:t>60</w:t>
      </w:r>
      <w:r w:rsidRPr="00382DF1">
        <w:rPr>
          <w:lang w:val="en-US"/>
        </w:rPr>
        <w:t>(5), 265–272. </w:t>
      </w:r>
    </w:p>
    <w:p w14:paraId="54E50A1E" w14:textId="0645FED5" w:rsidR="00754D07" w:rsidRPr="00382DF1" w:rsidRDefault="00754D07" w:rsidP="00754D07">
      <w:pPr>
        <w:jc w:val="both"/>
        <w:rPr>
          <w:lang w:val="en-US"/>
        </w:rPr>
      </w:pPr>
      <w:r w:rsidRPr="00382DF1">
        <w:rPr>
          <w:lang w:val="en-US"/>
        </w:rPr>
        <w:t xml:space="preserve">Viktorova, E. V., Platonova, S. A., Shagova, N. V., &amp; Savchenkova, I. P. (2021, March). </w:t>
      </w:r>
      <w:r w:rsidRPr="00382DF1">
        <w:rPr>
          <w:i/>
          <w:iCs/>
          <w:lang w:val="en-US"/>
        </w:rPr>
        <w:t>The treatment of tibia fracture by mesenchymal stem cells (Clinical case)</w:t>
      </w:r>
      <w:r w:rsidRPr="00382DF1">
        <w:rPr>
          <w:lang w:val="en-US"/>
        </w:rPr>
        <w:t>. In </w:t>
      </w:r>
      <w:r w:rsidRPr="00382DF1">
        <w:rPr>
          <w:i/>
          <w:iCs/>
          <w:lang w:val="en-US"/>
        </w:rPr>
        <w:t>IOP Conference Series: Earth and Environmental Science</w:t>
      </w:r>
      <w:r w:rsidRPr="00382DF1">
        <w:rPr>
          <w:lang w:val="en-US"/>
        </w:rPr>
        <w:t> (Vol. 677, No. 4, p. 042069). IOP Publishing.</w:t>
      </w:r>
    </w:p>
    <w:p w14:paraId="71C1FC9C" w14:textId="77777777" w:rsidR="00754D07" w:rsidRPr="00CB3A31" w:rsidRDefault="00754D07" w:rsidP="00754D07">
      <w:pPr>
        <w:jc w:val="both"/>
      </w:pPr>
      <w:r w:rsidRPr="00382DF1">
        <w:rPr>
          <w:lang w:val="en-US"/>
        </w:rPr>
        <w:t xml:space="preserve">Pappa, E. I., Barbagianni, M. S., Georgiou, S. G., Athanasiou, L. V., Psalla, D., Vekios, D., Katsarou, E. I., Vasileiou, N. G. C., Gouletsou, P. G., Galatos, A. D., Prassinos, N. N., Gougoulis, D. A., Angelidou, M., Tsioli, V., Fthenakis, G. C., &amp; Sideri, A. I. (2023). </w:t>
      </w:r>
      <w:r w:rsidRPr="00382DF1">
        <w:rPr>
          <w:i/>
          <w:iCs/>
          <w:lang w:val="en-US"/>
        </w:rPr>
        <w:t>The Use of Stromal Vascular Fraction in Long Bone Defect Healing in Sheep.</w:t>
      </w:r>
      <w:r w:rsidRPr="00382DF1">
        <w:rPr>
          <w:lang w:val="en-US"/>
        </w:rPr>
        <w:t> </w:t>
      </w:r>
      <w:r w:rsidRPr="00754D07">
        <w:rPr>
          <w:i/>
          <w:iCs/>
        </w:rPr>
        <w:t>Animals</w:t>
      </w:r>
      <w:r w:rsidRPr="00754D07">
        <w:t>, </w:t>
      </w:r>
      <w:r w:rsidRPr="00754D07">
        <w:rPr>
          <w:i/>
          <w:iCs/>
        </w:rPr>
        <w:t>13</w:t>
      </w:r>
      <w:r w:rsidRPr="00754D07">
        <w:t xml:space="preserve">(18), 2871. </w:t>
      </w:r>
    </w:p>
    <w:p w14:paraId="3FB84FC8" w14:textId="77777777" w:rsidR="008D492A" w:rsidRPr="00CB3A31" w:rsidRDefault="008D492A" w:rsidP="00754D07">
      <w:pPr>
        <w:jc w:val="both"/>
      </w:pPr>
    </w:p>
    <w:p w14:paraId="621C5133" w14:textId="77777777" w:rsidR="008D492A" w:rsidRPr="00CB3A31" w:rsidRDefault="008D492A" w:rsidP="00754D07">
      <w:pPr>
        <w:jc w:val="both"/>
      </w:pPr>
    </w:p>
    <w:p w14:paraId="5F6B173A" w14:textId="77777777" w:rsidR="008D492A" w:rsidRPr="00CB3A31" w:rsidRDefault="008D492A" w:rsidP="00754D07">
      <w:pPr>
        <w:jc w:val="both"/>
      </w:pPr>
    </w:p>
    <w:p w14:paraId="4B354ECC" w14:textId="77777777" w:rsidR="008D492A" w:rsidRPr="00CB3A31" w:rsidRDefault="008D492A" w:rsidP="00754D07">
      <w:pPr>
        <w:jc w:val="both"/>
      </w:pPr>
    </w:p>
    <w:p w14:paraId="0332B102" w14:textId="77777777" w:rsidR="008D492A" w:rsidRPr="00CB3A31" w:rsidRDefault="008D492A" w:rsidP="00754D07">
      <w:pPr>
        <w:jc w:val="both"/>
      </w:pPr>
    </w:p>
    <w:p w14:paraId="5B1997A2" w14:textId="77777777" w:rsidR="008D492A" w:rsidRPr="00CB3A31" w:rsidRDefault="008D492A" w:rsidP="00754D07">
      <w:pPr>
        <w:jc w:val="both"/>
      </w:pPr>
    </w:p>
    <w:p w14:paraId="10B9D2AC" w14:textId="77777777" w:rsidR="008D492A" w:rsidRPr="00CB3A31" w:rsidRDefault="008D492A" w:rsidP="00754D07">
      <w:pPr>
        <w:jc w:val="both"/>
      </w:pPr>
    </w:p>
    <w:p w14:paraId="2EC97DC3" w14:textId="77777777" w:rsidR="008D492A" w:rsidRPr="00CB3A31" w:rsidRDefault="008D492A" w:rsidP="00754D07">
      <w:pPr>
        <w:jc w:val="both"/>
      </w:pPr>
    </w:p>
    <w:p w14:paraId="793E4C61" w14:textId="77777777" w:rsidR="008D492A" w:rsidRPr="00CB3A31" w:rsidRDefault="008D492A" w:rsidP="00754D07">
      <w:pPr>
        <w:jc w:val="both"/>
      </w:pPr>
    </w:p>
    <w:p w14:paraId="6D15D8C2" w14:textId="77777777" w:rsidR="008D492A" w:rsidRPr="00CB3A31" w:rsidRDefault="008D492A" w:rsidP="00754D07">
      <w:pPr>
        <w:jc w:val="both"/>
      </w:pPr>
    </w:p>
    <w:p w14:paraId="27246219" w14:textId="77777777" w:rsidR="008D492A" w:rsidRPr="00CB3A31" w:rsidRDefault="008D492A" w:rsidP="00754D07">
      <w:pPr>
        <w:jc w:val="both"/>
      </w:pPr>
    </w:p>
    <w:p w14:paraId="1CC95860" w14:textId="77777777" w:rsidR="008D492A" w:rsidRPr="00CB3A31" w:rsidRDefault="008D492A" w:rsidP="00754D07">
      <w:pPr>
        <w:jc w:val="both"/>
      </w:pPr>
    </w:p>
    <w:p w14:paraId="62011BD4" w14:textId="77777777" w:rsidR="008D492A" w:rsidRPr="00CB3A31" w:rsidRDefault="008D492A" w:rsidP="00754D07">
      <w:pPr>
        <w:jc w:val="both"/>
      </w:pPr>
    </w:p>
    <w:p w14:paraId="07CE80BF" w14:textId="77777777" w:rsidR="008D492A" w:rsidRPr="00CB3A31" w:rsidRDefault="008D492A" w:rsidP="00754D07">
      <w:pPr>
        <w:jc w:val="both"/>
      </w:pPr>
    </w:p>
    <w:p w14:paraId="2E8C9627" w14:textId="77777777" w:rsidR="008D492A" w:rsidRPr="00CB3A31" w:rsidRDefault="008D492A" w:rsidP="00754D07">
      <w:pPr>
        <w:jc w:val="both"/>
      </w:pPr>
    </w:p>
    <w:p w14:paraId="74F9B5B6" w14:textId="77777777" w:rsidR="008D492A" w:rsidRPr="00CB3A31" w:rsidRDefault="008D492A" w:rsidP="00754D07">
      <w:pPr>
        <w:jc w:val="both"/>
      </w:pPr>
    </w:p>
    <w:p w14:paraId="2EC37E13" w14:textId="77777777" w:rsidR="008D492A" w:rsidRPr="00CB3A31" w:rsidRDefault="008D492A" w:rsidP="00754D07">
      <w:pPr>
        <w:jc w:val="both"/>
      </w:pPr>
    </w:p>
    <w:p w14:paraId="5031D530" w14:textId="77777777" w:rsidR="008D492A" w:rsidRPr="00CB3A31" w:rsidRDefault="008D492A" w:rsidP="00754D07">
      <w:pPr>
        <w:jc w:val="both"/>
      </w:pPr>
    </w:p>
    <w:p w14:paraId="19653A51" w14:textId="77777777" w:rsidR="008D492A" w:rsidRPr="00CB3A31" w:rsidRDefault="008D492A" w:rsidP="00754D07">
      <w:pPr>
        <w:jc w:val="both"/>
      </w:pPr>
    </w:p>
    <w:p w14:paraId="19A3E549" w14:textId="77777777" w:rsidR="008D492A" w:rsidRPr="00CB3A31" w:rsidRDefault="008D492A" w:rsidP="00754D07">
      <w:pPr>
        <w:jc w:val="both"/>
      </w:pPr>
    </w:p>
    <w:p w14:paraId="72E31EFC" w14:textId="77777777" w:rsidR="008D492A" w:rsidRPr="00CB3A31" w:rsidRDefault="008D492A" w:rsidP="00754D07">
      <w:pPr>
        <w:jc w:val="both"/>
      </w:pPr>
    </w:p>
    <w:p w14:paraId="4894E177" w14:textId="77777777" w:rsidR="008D492A" w:rsidRPr="00CB3A31" w:rsidRDefault="008D492A" w:rsidP="00754D07">
      <w:pPr>
        <w:jc w:val="both"/>
      </w:pPr>
    </w:p>
    <w:p w14:paraId="4A365471" w14:textId="77777777" w:rsidR="008D492A" w:rsidRPr="00CB3A31" w:rsidRDefault="008D492A" w:rsidP="00754D07">
      <w:pPr>
        <w:jc w:val="both"/>
      </w:pPr>
    </w:p>
    <w:p w14:paraId="3A04D319" w14:textId="77777777" w:rsidR="00754D07" w:rsidRPr="00754D07" w:rsidRDefault="00754D07" w:rsidP="00754D07">
      <w:pPr>
        <w:jc w:val="both"/>
      </w:pPr>
      <w:r w:rsidRPr="00754D07">
        <w:rPr>
          <w:b/>
          <w:bCs/>
        </w:rPr>
        <w:lastRenderedPageBreak/>
        <w:t>Χειρουργική Αντιμετώπιση της Ρήξης του Πρόσθιου Χιαστού Συνδέσμου στον Σκύλο: Ανασκόπηση και Σύγκριση των Σύγχρονων Τεχνικών</w:t>
      </w:r>
    </w:p>
    <w:p w14:paraId="66234B9C" w14:textId="77777777" w:rsidR="00754D07" w:rsidRPr="00754D07" w:rsidRDefault="00754D07" w:rsidP="00754D07">
      <w:pPr>
        <w:jc w:val="both"/>
      </w:pPr>
      <w:r w:rsidRPr="00754D07">
        <w:t>Γάκης Κωνσταντίνος</w:t>
      </w:r>
      <w:r w:rsidRPr="00754D07">
        <w:rPr>
          <w:vertAlign w:val="superscript"/>
        </w:rPr>
        <w:t>1</w:t>
      </w:r>
      <w:r w:rsidRPr="00754D07">
        <w:t>, Μουμτζιδέλλης Κωνσταντίνος</w:t>
      </w:r>
      <w:r w:rsidRPr="00754D07">
        <w:rPr>
          <w:vertAlign w:val="superscript"/>
        </w:rPr>
        <w:t>1</w:t>
      </w:r>
      <w:r w:rsidRPr="00754D07">
        <w:t>, Μπάγιας Σωτήριος</w:t>
      </w:r>
      <w:r w:rsidRPr="00754D07">
        <w:rPr>
          <w:vertAlign w:val="superscript"/>
        </w:rPr>
        <w:t>2</w:t>
      </w:r>
    </w:p>
    <w:p w14:paraId="73187E3B" w14:textId="77777777" w:rsidR="00754D07" w:rsidRPr="00754D07" w:rsidRDefault="00754D07" w:rsidP="00754D07">
      <w:pPr>
        <w:numPr>
          <w:ilvl w:val="0"/>
          <w:numId w:val="3"/>
        </w:numPr>
        <w:jc w:val="both"/>
      </w:pPr>
      <w:r w:rsidRPr="00754D07">
        <w:t>Προπτυχιακός φοιτητής, Τμήμα Κτηνιατρικής, Σχολή Επιστημών Υγείας, Αριστοτέλειο Πανεπιστήμιο Θεσσαλονίκης</w:t>
      </w:r>
    </w:p>
    <w:p w14:paraId="0DAF801E" w14:textId="77777777" w:rsidR="00754D07" w:rsidRPr="00382DF1" w:rsidRDefault="00754D07" w:rsidP="00754D07">
      <w:pPr>
        <w:numPr>
          <w:ilvl w:val="0"/>
          <w:numId w:val="3"/>
        </w:numPr>
        <w:jc w:val="both"/>
        <w:rPr>
          <w:lang w:val="en-US"/>
        </w:rPr>
      </w:pPr>
      <w:r w:rsidRPr="00382DF1">
        <w:rPr>
          <w:lang w:val="en-US"/>
        </w:rPr>
        <w:t>DVM , CertSAS ESAVS University of Luxembourg</w:t>
      </w:r>
    </w:p>
    <w:p w14:paraId="20D2BAEB" w14:textId="77777777" w:rsidR="00754D07" w:rsidRPr="00382DF1" w:rsidRDefault="00754D07" w:rsidP="00754D07">
      <w:pPr>
        <w:jc w:val="both"/>
        <w:rPr>
          <w:lang w:val="en-US"/>
        </w:rPr>
      </w:pPr>
    </w:p>
    <w:p w14:paraId="4F598FCE" w14:textId="77777777" w:rsidR="00754D07" w:rsidRPr="00754D07" w:rsidRDefault="00754D07" w:rsidP="00754D07">
      <w:pPr>
        <w:jc w:val="both"/>
      </w:pPr>
      <w:r w:rsidRPr="00754D07">
        <w:rPr>
          <w:b/>
          <w:bCs/>
        </w:rPr>
        <w:t>Περίληψη</w:t>
      </w:r>
    </w:p>
    <w:p w14:paraId="39EEA1C9" w14:textId="77777777" w:rsidR="00754D07" w:rsidRPr="00754D07" w:rsidRDefault="00754D07" w:rsidP="00754D07">
      <w:pPr>
        <w:jc w:val="both"/>
      </w:pPr>
      <w:r w:rsidRPr="00754D07">
        <w:t>Η ρήξη του πρόσθιου χιαστού συνδέσμου (CrCLD) αποτελεί μία από τις κύριες αιτίες χωλότητας στον σκύλο. Η χειρουργική αντιμετώπιση συνίσταται για την πλειονότητα των σκύλων με CrCLD. Έχει περιγραφεί ένα ευρύ φάσμα χειρουργικών τεχνικών για τους σκύλους με νόσο του πρόσθιου χιαστού συνδέσμου. Αυτές μπορούν να ταξινομηθούν σε μεθόδους στατικού ή δυναμικού περιορισμού (μεταβολής της γεωμετρίας). Δύο από τις συχνότερα εφαρμοζόμενες τεχνικές μεταβολής της γεωμετρίας είναι η οστεοτομία επιπέδωσης του κνημιαίου πλατώ (TPLO) και η προώθηση του κνημιαίου κυρτώματος (TTA). Όσον αφορά την TTA, η μέθοδος αυτή στοχεύει στη σταθεροποίηση της άρθρωσης του γόνατος χωρίς την ανάγκη του πρόσθιου χιαστού. Από την άλλη πλευρά, στην TPLO αντί για αντικατάσταση του συνδέσμου, η μέθοδος αλλάζει τη γεωμετρία του γόνατος ώστε να εξουδετερώσει τις δυνάμεις που προκαλούν αστάθεια. Σκοπός της συγκεκριμένης εργασίας είναι να αναδείξουμε την σημασία του πρόσθιου χιαστού συνδέσμου καθώς και των δύο τεχνικών που προαναφέρθηκαν (TTA και TPLO) σε αποκατάσταση αυτού.</w:t>
      </w:r>
    </w:p>
    <w:p w14:paraId="12C16E98" w14:textId="327643CD" w:rsidR="00754D07" w:rsidRPr="00CB3A31" w:rsidRDefault="00754D07" w:rsidP="00754D07">
      <w:pPr>
        <w:jc w:val="both"/>
      </w:pPr>
    </w:p>
    <w:p w14:paraId="21BC7724" w14:textId="77777777" w:rsidR="00754D07" w:rsidRPr="002617A2" w:rsidRDefault="00754D07" w:rsidP="00754D07">
      <w:pPr>
        <w:jc w:val="both"/>
        <w:rPr>
          <w:lang w:val="en-US"/>
        </w:rPr>
      </w:pPr>
      <w:r w:rsidRPr="00754D07">
        <w:rPr>
          <w:b/>
          <w:bCs/>
        </w:rPr>
        <w:t>Βιβλιογραφία</w:t>
      </w:r>
    </w:p>
    <w:p w14:paraId="0C72053B" w14:textId="7E13E4AA" w:rsidR="00754D07" w:rsidRPr="00382DF1" w:rsidRDefault="00754D07" w:rsidP="00754D07">
      <w:pPr>
        <w:jc w:val="both"/>
        <w:rPr>
          <w:lang w:val="en-US"/>
        </w:rPr>
      </w:pPr>
      <w:r w:rsidRPr="00382DF1">
        <w:rPr>
          <w:lang w:val="en-US"/>
        </w:rPr>
        <w:t>Nanda</w:t>
      </w:r>
      <w:r w:rsidRPr="002617A2">
        <w:rPr>
          <w:lang w:val="en-US"/>
        </w:rPr>
        <w:t xml:space="preserve">, </w:t>
      </w:r>
      <w:r w:rsidRPr="00382DF1">
        <w:rPr>
          <w:lang w:val="en-US"/>
        </w:rPr>
        <w:t>A</w:t>
      </w:r>
      <w:r w:rsidRPr="002617A2">
        <w:rPr>
          <w:lang w:val="en-US"/>
        </w:rPr>
        <w:t xml:space="preserve">., &amp; </w:t>
      </w:r>
      <w:r w:rsidRPr="00382DF1">
        <w:rPr>
          <w:lang w:val="en-US"/>
        </w:rPr>
        <w:t>Hans</w:t>
      </w:r>
      <w:r w:rsidRPr="002617A2">
        <w:rPr>
          <w:lang w:val="en-US"/>
        </w:rPr>
        <w:t xml:space="preserve">, </w:t>
      </w:r>
      <w:r w:rsidRPr="00382DF1">
        <w:rPr>
          <w:lang w:val="en-US"/>
        </w:rPr>
        <w:t>E</w:t>
      </w:r>
      <w:r w:rsidRPr="002617A2">
        <w:rPr>
          <w:lang w:val="en-US"/>
        </w:rPr>
        <w:t xml:space="preserve">. </w:t>
      </w:r>
      <w:r w:rsidRPr="00382DF1">
        <w:rPr>
          <w:lang w:val="en-US"/>
        </w:rPr>
        <w:t>C</w:t>
      </w:r>
      <w:r w:rsidRPr="002617A2">
        <w:rPr>
          <w:lang w:val="en-US"/>
        </w:rPr>
        <w:t>. (2019).</w:t>
      </w:r>
      <w:r w:rsidRPr="002617A2">
        <w:rPr>
          <w:i/>
          <w:iCs/>
          <w:lang w:val="en-US"/>
        </w:rPr>
        <w:t xml:space="preserve"> </w:t>
      </w:r>
      <w:r w:rsidRPr="00382DF1">
        <w:rPr>
          <w:i/>
          <w:iCs/>
          <w:lang w:val="en-US"/>
        </w:rPr>
        <w:t>Tibial plateau leveling osteotomy for cranial cruciate ligament rupture in canines: Patient selection and reported outcomes. Veterinary Medicine: Research and Reports, 10</w:t>
      </w:r>
      <w:r w:rsidRPr="00382DF1">
        <w:rPr>
          <w:lang w:val="en-US"/>
        </w:rPr>
        <w:t>, 249–255. </w:t>
      </w:r>
    </w:p>
    <w:p w14:paraId="55CC47C0" w14:textId="5C383BC0" w:rsidR="00754D07" w:rsidRPr="00382DF1" w:rsidRDefault="00754D07" w:rsidP="00754D07">
      <w:pPr>
        <w:jc w:val="both"/>
        <w:rPr>
          <w:lang w:val="en-US"/>
        </w:rPr>
      </w:pPr>
      <w:r w:rsidRPr="00382DF1">
        <w:rPr>
          <w:lang w:val="en-US"/>
        </w:rPr>
        <w:t xml:space="preserve">Palmer, R. H., &amp; Pozzi, A. (2009). </w:t>
      </w:r>
      <w:r w:rsidRPr="00382DF1">
        <w:rPr>
          <w:i/>
          <w:iCs/>
          <w:lang w:val="en-US"/>
        </w:rPr>
        <w:t>TPLO vs. TTA: Which technique is best?</w:t>
      </w:r>
      <w:r w:rsidRPr="00382DF1">
        <w:rPr>
          <w:lang w:val="en-US"/>
        </w:rPr>
        <w:t xml:space="preserve"> </w:t>
      </w:r>
      <w:r w:rsidRPr="00382DF1">
        <w:rPr>
          <w:i/>
          <w:iCs/>
          <w:lang w:val="en-US"/>
        </w:rPr>
        <w:t>World Small Animal Veterinary Association World Congress Proceedings</w:t>
      </w:r>
      <w:r w:rsidRPr="00382DF1">
        <w:rPr>
          <w:lang w:val="en-US"/>
        </w:rPr>
        <w:t>. </w:t>
      </w:r>
    </w:p>
    <w:p w14:paraId="18E97BC0" w14:textId="77777777" w:rsidR="00754D07" w:rsidRPr="00382DF1" w:rsidRDefault="00754D07" w:rsidP="00754D07">
      <w:pPr>
        <w:jc w:val="both"/>
        <w:rPr>
          <w:lang w:val="en-US"/>
        </w:rPr>
      </w:pPr>
      <w:r w:rsidRPr="00382DF1">
        <w:rPr>
          <w:lang w:val="en-US"/>
        </w:rPr>
        <w:t xml:space="preserve">Vezzoni, A. (2004). TPLO by Slocum: </w:t>
      </w:r>
      <w:r w:rsidRPr="00382DF1">
        <w:rPr>
          <w:i/>
          <w:iCs/>
          <w:lang w:val="en-US"/>
        </w:rPr>
        <w:t>A successful approach in the treatment of cranial cruciate ligament injuries.</w:t>
      </w:r>
      <w:r w:rsidRPr="00382DF1">
        <w:rPr>
          <w:lang w:val="en-US"/>
        </w:rPr>
        <w:t xml:space="preserve"> </w:t>
      </w:r>
      <w:r w:rsidRPr="00382DF1">
        <w:rPr>
          <w:i/>
          <w:iCs/>
          <w:lang w:val="en-US"/>
        </w:rPr>
        <w:t>World Small Animal Veterinary Association World Congress Proceedings</w:t>
      </w:r>
      <w:r w:rsidRPr="00382DF1">
        <w:rPr>
          <w:lang w:val="en-US"/>
        </w:rPr>
        <w:t>. </w:t>
      </w:r>
    </w:p>
    <w:p w14:paraId="1B4BDD98" w14:textId="77777777" w:rsidR="008D492A" w:rsidRPr="00382DF1" w:rsidRDefault="008D492A" w:rsidP="00754D07">
      <w:pPr>
        <w:jc w:val="both"/>
        <w:rPr>
          <w:lang w:val="en-US"/>
        </w:rPr>
      </w:pPr>
    </w:p>
    <w:p w14:paraId="10C33F9D" w14:textId="77777777" w:rsidR="008D492A" w:rsidRPr="00382DF1" w:rsidRDefault="008D492A" w:rsidP="00754D07">
      <w:pPr>
        <w:jc w:val="both"/>
        <w:rPr>
          <w:lang w:val="en-US"/>
        </w:rPr>
      </w:pPr>
    </w:p>
    <w:p w14:paraId="275EC025" w14:textId="77777777" w:rsidR="008D492A" w:rsidRPr="00382DF1" w:rsidRDefault="008D492A" w:rsidP="00754D07">
      <w:pPr>
        <w:jc w:val="both"/>
        <w:rPr>
          <w:lang w:val="en-US"/>
        </w:rPr>
      </w:pPr>
    </w:p>
    <w:p w14:paraId="445FC113" w14:textId="77777777" w:rsidR="008D492A" w:rsidRPr="00382DF1" w:rsidRDefault="008D492A" w:rsidP="00754D07">
      <w:pPr>
        <w:jc w:val="both"/>
        <w:rPr>
          <w:lang w:val="en-US"/>
        </w:rPr>
      </w:pPr>
    </w:p>
    <w:p w14:paraId="263363D5" w14:textId="77777777" w:rsidR="008D492A" w:rsidRPr="00382DF1" w:rsidRDefault="008D492A" w:rsidP="00754D07">
      <w:pPr>
        <w:jc w:val="both"/>
        <w:rPr>
          <w:lang w:val="en-US"/>
        </w:rPr>
      </w:pPr>
    </w:p>
    <w:p w14:paraId="682C62DD" w14:textId="77777777" w:rsidR="008D492A" w:rsidRPr="00382DF1" w:rsidRDefault="008D492A" w:rsidP="00754D07">
      <w:pPr>
        <w:jc w:val="both"/>
        <w:rPr>
          <w:lang w:val="en-US"/>
        </w:rPr>
      </w:pPr>
    </w:p>
    <w:p w14:paraId="7C5A1530" w14:textId="77777777" w:rsidR="008D492A" w:rsidRPr="00382DF1" w:rsidRDefault="008D492A" w:rsidP="00754D07">
      <w:pPr>
        <w:jc w:val="both"/>
        <w:rPr>
          <w:lang w:val="en-US"/>
        </w:rPr>
      </w:pPr>
    </w:p>
    <w:p w14:paraId="503D36E9" w14:textId="77777777" w:rsidR="00754D07" w:rsidRPr="00382DF1" w:rsidRDefault="00754D07" w:rsidP="00754D07">
      <w:pPr>
        <w:jc w:val="both"/>
        <w:rPr>
          <w:lang w:val="en-US"/>
        </w:rPr>
      </w:pPr>
      <w:r w:rsidRPr="00754D07">
        <w:rPr>
          <w:b/>
          <w:bCs/>
        </w:rPr>
        <w:lastRenderedPageBreak/>
        <w:t>Επιπλοκές</w:t>
      </w:r>
      <w:r w:rsidRPr="00382DF1">
        <w:rPr>
          <w:b/>
          <w:bCs/>
          <w:lang w:val="en-US"/>
        </w:rPr>
        <w:t xml:space="preserve"> </w:t>
      </w:r>
      <w:r w:rsidRPr="00754D07">
        <w:rPr>
          <w:b/>
          <w:bCs/>
        </w:rPr>
        <w:t>που</w:t>
      </w:r>
      <w:r w:rsidRPr="00382DF1">
        <w:rPr>
          <w:b/>
          <w:bCs/>
          <w:lang w:val="en-US"/>
        </w:rPr>
        <w:t xml:space="preserve"> </w:t>
      </w:r>
      <w:r w:rsidRPr="00754D07">
        <w:rPr>
          <w:b/>
          <w:bCs/>
        </w:rPr>
        <w:t>σχετίζονται</w:t>
      </w:r>
      <w:r w:rsidRPr="00382DF1">
        <w:rPr>
          <w:b/>
          <w:bCs/>
          <w:lang w:val="en-US"/>
        </w:rPr>
        <w:t xml:space="preserve"> </w:t>
      </w:r>
      <w:r w:rsidRPr="00754D07">
        <w:rPr>
          <w:b/>
          <w:bCs/>
        </w:rPr>
        <w:t>με</w:t>
      </w:r>
      <w:r w:rsidRPr="00382DF1">
        <w:rPr>
          <w:b/>
          <w:bCs/>
          <w:lang w:val="en-US"/>
        </w:rPr>
        <w:t xml:space="preserve"> </w:t>
      </w:r>
      <w:r w:rsidRPr="00754D07">
        <w:rPr>
          <w:b/>
          <w:bCs/>
        </w:rPr>
        <w:t>την</w:t>
      </w:r>
      <w:r w:rsidRPr="00382DF1">
        <w:rPr>
          <w:b/>
          <w:bCs/>
          <w:lang w:val="en-US"/>
        </w:rPr>
        <w:t xml:space="preserve"> </w:t>
      </w:r>
      <w:r w:rsidRPr="00754D07">
        <w:rPr>
          <w:b/>
          <w:bCs/>
        </w:rPr>
        <w:t>Εφαρμογή</w:t>
      </w:r>
      <w:r w:rsidRPr="00382DF1">
        <w:rPr>
          <w:b/>
          <w:bCs/>
          <w:lang w:val="en-US"/>
        </w:rPr>
        <w:t xml:space="preserve"> </w:t>
      </w:r>
      <w:r w:rsidRPr="00754D07">
        <w:rPr>
          <w:b/>
          <w:bCs/>
        </w:rPr>
        <w:t>της</w:t>
      </w:r>
      <w:r w:rsidRPr="00382DF1">
        <w:rPr>
          <w:b/>
          <w:bCs/>
          <w:lang w:val="en-US"/>
        </w:rPr>
        <w:t xml:space="preserve"> </w:t>
      </w:r>
      <w:r w:rsidRPr="00754D07">
        <w:rPr>
          <w:b/>
          <w:bCs/>
        </w:rPr>
        <w:t>Οστεοτομίας</w:t>
      </w:r>
      <w:r w:rsidRPr="00382DF1">
        <w:rPr>
          <w:b/>
          <w:bCs/>
          <w:lang w:val="en-US"/>
        </w:rPr>
        <w:t xml:space="preserve"> </w:t>
      </w:r>
      <w:r w:rsidRPr="00754D07">
        <w:rPr>
          <w:b/>
          <w:bCs/>
        </w:rPr>
        <w:t>Εξισορρόπησης</w:t>
      </w:r>
      <w:r w:rsidRPr="00382DF1">
        <w:rPr>
          <w:b/>
          <w:bCs/>
          <w:lang w:val="en-US"/>
        </w:rPr>
        <w:t xml:space="preserve"> </w:t>
      </w:r>
      <w:r w:rsidRPr="00754D07">
        <w:rPr>
          <w:b/>
          <w:bCs/>
        </w:rPr>
        <w:t>του</w:t>
      </w:r>
      <w:r w:rsidRPr="00382DF1">
        <w:rPr>
          <w:b/>
          <w:bCs/>
          <w:lang w:val="en-US"/>
        </w:rPr>
        <w:t xml:space="preserve"> </w:t>
      </w:r>
      <w:r w:rsidRPr="00754D07">
        <w:rPr>
          <w:b/>
          <w:bCs/>
        </w:rPr>
        <w:t>Κνημιαίου</w:t>
      </w:r>
      <w:r w:rsidRPr="00382DF1">
        <w:rPr>
          <w:b/>
          <w:bCs/>
          <w:lang w:val="en-US"/>
        </w:rPr>
        <w:t xml:space="preserve"> </w:t>
      </w:r>
      <w:r w:rsidRPr="00754D07">
        <w:rPr>
          <w:b/>
          <w:bCs/>
        </w:rPr>
        <w:t>Πλατώ</w:t>
      </w:r>
      <w:r w:rsidRPr="00382DF1">
        <w:rPr>
          <w:b/>
          <w:bCs/>
          <w:lang w:val="en-US"/>
        </w:rPr>
        <w:t xml:space="preserve"> </w:t>
      </w:r>
      <w:r w:rsidRPr="00754D07">
        <w:rPr>
          <w:b/>
          <w:bCs/>
        </w:rPr>
        <w:t>στην</w:t>
      </w:r>
      <w:r w:rsidRPr="00382DF1">
        <w:rPr>
          <w:b/>
          <w:bCs/>
          <w:lang w:val="en-US"/>
        </w:rPr>
        <w:t xml:space="preserve"> </w:t>
      </w:r>
      <w:r w:rsidRPr="00754D07">
        <w:rPr>
          <w:b/>
          <w:bCs/>
        </w:rPr>
        <w:t>Αντιμετώπιση</w:t>
      </w:r>
      <w:r w:rsidRPr="00382DF1">
        <w:rPr>
          <w:b/>
          <w:bCs/>
          <w:lang w:val="en-US"/>
        </w:rPr>
        <w:t xml:space="preserve"> </w:t>
      </w:r>
      <w:r w:rsidRPr="00754D07">
        <w:rPr>
          <w:b/>
          <w:bCs/>
        </w:rPr>
        <w:t>της</w:t>
      </w:r>
      <w:r w:rsidRPr="00382DF1">
        <w:rPr>
          <w:b/>
          <w:bCs/>
          <w:lang w:val="en-US"/>
        </w:rPr>
        <w:t xml:space="preserve"> </w:t>
      </w:r>
      <w:r w:rsidRPr="00754D07">
        <w:rPr>
          <w:b/>
          <w:bCs/>
        </w:rPr>
        <w:t>Ρήξης</w:t>
      </w:r>
      <w:r w:rsidRPr="00382DF1">
        <w:rPr>
          <w:b/>
          <w:bCs/>
          <w:lang w:val="en-US"/>
        </w:rPr>
        <w:t xml:space="preserve"> </w:t>
      </w:r>
      <w:r w:rsidRPr="00754D07">
        <w:rPr>
          <w:b/>
          <w:bCs/>
        </w:rPr>
        <w:t>του</w:t>
      </w:r>
      <w:r w:rsidRPr="00382DF1">
        <w:rPr>
          <w:b/>
          <w:bCs/>
          <w:lang w:val="en-US"/>
        </w:rPr>
        <w:t xml:space="preserve"> </w:t>
      </w:r>
      <w:r w:rsidRPr="00754D07">
        <w:rPr>
          <w:b/>
          <w:bCs/>
        </w:rPr>
        <w:t>Πρόσθιου</w:t>
      </w:r>
      <w:r w:rsidRPr="00382DF1">
        <w:rPr>
          <w:b/>
          <w:bCs/>
          <w:lang w:val="en-US"/>
        </w:rPr>
        <w:t xml:space="preserve"> </w:t>
      </w:r>
      <w:r w:rsidRPr="00754D07">
        <w:rPr>
          <w:b/>
          <w:bCs/>
        </w:rPr>
        <w:t>Χιαστού</w:t>
      </w:r>
      <w:r w:rsidRPr="00382DF1">
        <w:rPr>
          <w:b/>
          <w:bCs/>
          <w:lang w:val="en-US"/>
        </w:rPr>
        <w:t xml:space="preserve"> </w:t>
      </w:r>
      <w:r w:rsidRPr="00754D07">
        <w:rPr>
          <w:b/>
          <w:bCs/>
        </w:rPr>
        <w:t>Συνδέσμου</w:t>
      </w:r>
      <w:r w:rsidRPr="00382DF1">
        <w:rPr>
          <w:b/>
          <w:bCs/>
          <w:lang w:val="en-US"/>
        </w:rPr>
        <w:t xml:space="preserve"> </w:t>
      </w:r>
      <w:r w:rsidRPr="00754D07">
        <w:rPr>
          <w:b/>
          <w:bCs/>
        </w:rPr>
        <w:t>στον</w:t>
      </w:r>
      <w:r w:rsidRPr="00382DF1">
        <w:rPr>
          <w:b/>
          <w:bCs/>
          <w:lang w:val="en-US"/>
        </w:rPr>
        <w:t xml:space="preserve"> </w:t>
      </w:r>
      <w:r w:rsidRPr="00754D07">
        <w:rPr>
          <w:b/>
          <w:bCs/>
        </w:rPr>
        <w:t>Σκύλο</w:t>
      </w:r>
    </w:p>
    <w:p w14:paraId="57707165" w14:textId="728AF7DB" w:rsidR="00754D07" w:rsidRPr="00754D07" w:rsidRDefault="00754D07" w:rsidP="00754D07">
      <w:pPr>
        <w:jc w:val="both"/>
      </w:pPr>
      <w:r w:rsidRPr="00754D07">
        <w:t>Γρατσάκη Αικατερίνη</w:t>
      </w:r>
      <w:r w:rsidRPr="00754D07">
        <w:rPr>
          <w:vertAlign w:val="superscript"/>
        </w:rPr>
        <w:t>1</w:t>
      </w:r>
      <w:r w:rsidRPr="00754D07">
        <w:t>, Πράσινος Ν. Νικήτας</w:t>
      </w:r>
      <w:r w:rsidRPr="00754D07">
        <w:rPr>
          <w:vertAlign w:val="superscript"/>
        </w:rPr>
        <w:t>2</w:t>
      </w:r>
      <w:r w:rsidRPr="00754D07">
        <w:t>, Κρυστάλλη Ανδρονίκη</w:t>
      </w:r>
      <w:r w:rsidRPr="00754D07">
        <w:rPr>
          <w:vertAlign w:val="superscript"/>
        </w:rPr>
        <w:t>3</w:t>
      </w:r>
    </w:p>
    <w:p w14:paraId="0FBB06FC" w14:textId="77777777" w:rsidR="00754D07" w:rsidRPr="00754D07" w:rsidRDefault="00754D07" w:rsidP="00754D07">
      <w:pPr>
        <w:numPr>
          <w:ilvl w:val="0"/>
          <w:numId w:val="4"/>
        </w:numPr>
        <w:jc w:val="both"/>
      </w:pPr>
      <w:r w:rsidRPr="00754D07">
        <w:t>Προπτυχιακή φοιτήτρια, Τμήμα Κτηνιατρικής, Σχολή Επιστημών Υγείας, Αριστοτέλειο Πανεπιστήμιο Θεσσαλονίκης</w:t>
      </w:r>
    </w:p>
    <w:p w14:paraId="1507BC7A" w14:textId="77777777" w:rsidR="00754D07" w:rsidRPr="00754D07" w:rsidRDefault="00754D07" w:rsidP="00754D07">
      <w:pPr>
        <w:numPr>
          <w:ilvl w:val="0"/>
          <w:numId w:val="4"/>
        </w:numPr>
        <w:jc w:val="both"/>
      </w:pPr>
      <w:r w:rsidRPr="00754D07">
        <w:t>Κτηνίατρος, PhD, Καθηγητής, Μονάδα Χειρουργικής &amp; Μαιευτικής, Κλινική Ζώων Συντροφιάς, Τμήμα Κτηνιατρικής, Σχολή Επιστημών Υγείας, Αριστοτέλειο Πανεπιστήμιο Θεσσαλονίκης</w:t>
      </w:r>
    </w:p>
    <w:p w14:paraId="64D6605F" w14:textId="77777777" w:rsidR="00754D07" w:rsidRPr="00754D07" w:rsidRDefault="00754D07" w:rsidP="00754D07">
      <w:pPr>
        <w:numPr>
          <w:ilvl w:val="0"/>
          <w:numId w:val="4"/>
        </w:numPr>
        <w:jc w:val="both"/>
      </w:pPr>
      <w:r w:rsidRPr="00754D07">
        <w:t>Κτηνίατρος, PhD, Συμβασιούχος διδάσκουσα, Μονάδα Χειρουργικής &amp; Μαιευτικής, Κλινική Ζώων Συντροφιάς, Τμήμα Κτηνιατρικής, Σχολή Επιστημών Υγείας, Αριστοτέλειο Πανεπιστήμιο Θεσσαλονίκης</w:t>
      </w:r>
    </w:p>
    <w:p w14:paraId="0F3C045E" w14:textId="77777777" w:rsidR="00754D07" w:rsidRPr="00754D07" w:rsidRDefault="00754D07" w:rsidP="00754D07">
      <w:pPr>
        <w:jc w:val="both"/>
      </w:pPr>
    </w:p>
    <w:p w14:paraId="0C803430" w14:textId="77777777" w:rsidR="00754D07" w:rsidRPr="00754D07" w:rsidRDefault="00754D07" w:rsidP="00754D07">
      <w:pPr>
        <w:jc w:val="both"/>
      </w:pPr>
      <w:r w:rsidRPr="00754D07">
        <w:rPr>
          <w:b/>
          <w:bCs/>
        </w:rPr>
        <w:t>Περίληψη</w:t>
      </w:r>
    </w:p>
    <w:p w14:paraId="2D5EC518" w14:textId="77777777" w:rsidR="00754D07" w:rsidRPr="00754D07" w:rsidRDefault="00754D07" w:rsidP="00754D07">
      <w:pPr>
        <w:jc w:val="both"/>
      </w:pPr>
      <w:r w:rsidRPr="00754D07">
        <w:t>Η οστεοτομία εξισορρόπησης του κνημιαίου πλατώ (Tibial Plateau Leveling Osteotomy, TPLO) συνιστά τη μέθοδο εκλογής στην παγκόσμια κτηνιατρική ορθοπαιδική για την αντιμετώπιση της ρήξης του πρόσθιου χιαστού συνδέσμου στον σκύλο. Αν και η βιομηχανική υπεροχή της μεθόδου εξασφαλίζει ταχεία λειτουργική αποκατάσταση, η πολυπλοκότητα των χειρουργικών χειρισμών την καθιστά επιρρεπή σε ένα ευρύ φάσμα επιπλοκών. Οι επιπλοκές της TPLO κατηγοριοποιούνται βάσει του χρόνου εμφάνισης και της σοβαρότητας τους σε:</w:t>
      </w:r>
    </w:p>
    <w:p w14:paraId="27BBF147" w14:textId="77777777" w:rsidR="00754D07" w:rsidRPr="00754D07" w:rsidRDefault="00754D07" w:rsidP="00754D07">
      <w:pPr>
        <w:numPr>
          <w:ilvl w:val="0"/>
          <w:numId w:val="5"/>
        </w:numPr>
        <w:jc w:val="both"/>
      </w:pPr>
      <w:r w:rsidRPr="00754D07">
        <w:t>διεγχειρητικές: λανθασμένη οστεοτομία, ιατρογενή κατάγματα και αιμορραγία των κλάδων της ιγνυακής αρτηρίας</w:t>
      </w:r>
    </w:p>
    <w:p w14:paraId="7023F62D" w14:textId="77777777" w:rsidR="00754D07" w:rsidRPr="00754D07" w:rsidRDefault="00754D07" w:rsidP="00754D07">
      <w:pPr>
        <w:numPr>
          <w:ilvl w:val="0"/>
          <w:numId w:val="6"/>
        </w:numPr>
        <w:jc w:val="both"/>
      </w:pPr>
      <w:r w:rsidRPr="00754D07">
        <w:t>πρώιμες μετεγχειρητικές: φλεγμονή και λοίμωξη του χειρουργικού πεδίου, σχηματισμός ορώδους συλλογής (seroma) και κάταγμα του κνημιαίου κυρτώματος και</w:t>
      </w:r>
    </w:p>
    <w:p w14:paraId="2EA7FDD5" w14:textId="77777777" w:rsidR="00754D07" w:rsidRPr="00754D07" w:rsidRDefault="00754D07" w:rsidP="00754D07">
      <w:pPr>
        <w:numPr>
          <w:ilvl w:val="0"/>
          <w:numId w:val="7"/>
        </w:numPr>
        <w:jc w:val="both"/>
      </w:pPr>
      <w:r w:rsidRPr="00754D07">
        <w:t>όψιμες μετεγχειρητικές: αποτυχία ή χαλάρωση των υλικών οστεοσύνθεσης, δευτερογενής κάκωση του μηνίσκου και εξέλιξη της οστεοαρθρίτιδας.</w:t>
      </w:r>
    </w:p>
    <w:p w14:paraId="7DC193FD" w14:textId="77777777" w:rsidR="00754D07" w:rsidRPr="00754D07" w:rsidRDefault="00754D07" w:rsidP="00754D07">
      <w:pPr>
        <w:jc w:val="both"/>
      </w:pPr>
      <w:r w:rsidRPr="00754D07">
        <w:t>Συμπερασματικά, η βαθιά γνώση των πιθανών επιπλοκών της TPLO και των προδιαθετικών παραγόντων τους είναι καθοριστική για τη μείωση τους. Η αυστηρή τήρηση των διεγχειρητικών κανόνων ορθοπαιδικής ασηψίας, ο ακριβής προεγχειρητικός σχεδιασμός και η επιλογή των κατάλληλων υλικών οστεοσύνθεσης, επιτρέπουν στον χειρουργό όχι μόνο να προλάβει, αλλά και να διαχειριστεί αποτελεσματικά τις προκλήσεις, διασφαλίζοντας τη μακροπρόθεσμη λειτουργικότητα της άρθρωσης και την ποιότητα ζωής του ασθενή.</w:t>
      </w:r>
    </w:p>
    <w:p w14:paraId="06575949" w14:textId="77777777" w:rsidR="00754D07" w:rsidRPr="00754D07" w:rsidRDefault="00754D07" w:rsidP="00754D07">
      <w:pPr>
        <w:jc w:val="both"/>
      </w:pPr>
    </w:p>
    <w:p w14:paraId="6008E91C" w14:textId="77777777" w:rsidR="00754D07" w:rsidRPr="00754D07" w:rsidRDefault="00754D07" w:rsidP="00754D07">
      <w:pPr>
        <w:jc w:val="both"/>
      </w:pPr>
      <w:r w:rsidRPr="00754D07">
        <w:rPr>
          <w:b/>
          <w:bCs/>
        </w:rPr>
        <w:t>Βιβλιογραφία</w:t>
      </w:r>
    </w:p>
    <w:p w14:paraId="50E3BBBA" w14:textId="77777777" w:rsidR="00754D07" w:rsidRPr="00382DF1" w:rsidRDefault="00754D07" w:rsidP="00754D07">
      <w:pPr>
        <w:jc w:val="both"/>
        <w:rPr>
          <w:lang w:val="en-US"/>
        </w:rPr>
      </w:pPr>
      <w:r w:rsidRPr="00754D07">
        <w:t xml:space="preserve">Ben-Amotz, R., &amp; Zuckerman, J. S. (2021). </w:t>
      </w:r>
      <w:r w:rsidRPr="00382DF1">
        <w:rPr>
          <w:i/>
          <w:iCs/>
          <w:lang w:val="en-US"/>
        </w:rPr>
        <w:t>Complications associated with tibial plateau leveling osteotomy</w:t>
      </w:r>
      <w:r w:rsidRPr="00382DF1">
        <w:rPr>
          <w:lang w:val="en-US"/>
        </w:rPr>
        <w:t xml:space="preserve">. In R. Ben-Amotz &amp; D. L. Dycus (Eds.), </w:t>
      </w:r>
      <w:r w:rsidRPr="00382DF1">
        <w:rPr>
          <w:i/>
          <w:iCs/>
          <w:lang w:val="en-US"/>
        </w:rPr>
        <w:t>Complications in canine cranial cruciate ligament surgery</w:t>
      </w:r>
      <w:r w:rsidRPr="00382DF1">
        <w:rPr>
          <w:lang w:val="en-US"/>
        </w:rPr>
        <w:t xml:space="preserve"> (pp. 163–185). Wiley Blackwell. </w:t>
      </w:r>
    </w:p>
    <w:p w14:paraId="3C8E5574" w14:textId="77777777" w:rsidR="008D492A" w:rsidRPr="00382DF1" w:rsidRDefault="00754D07" w:rsidP="00754D07">
      <w:pPr>
        <w:jc w:val="both"/>
        <w:rPr>
          <w:lang w:val="en-US"/>
        </w:rPr>
      </w:pPr>
      <w:r w:rsidRPr="00382DF1">
        <w:rPr>
          <w:lang w:val="en-US"/>
        </w:rPr>
        <w:t xml:space="preserve">Coletti, T. J., Anderson, M., Gorse, M. J., &amp; Madsen, R. (2014). </w:t>
      </w:r>
      <w:r w:rsidRPr="00382DF1">
        <w:rPr>
          <w:i/>
          <w:iCs/>
          <w:lang w:val="en-US"/>
        </w:rPr>
        <w:t>Complications associated with tibial plateau leveling osteotomy: A retrospective of 1519 procedures</w:t>
      </w:r>
      <w:r w:rsidRPr="00382DF1">
        <w:rPr>
          <w:lang w:val="en-US"/>
        </w:rPr>
        <w:t xml:space="preserve">. </w:t>
      </w:r>
      <w:r w:rsidRPr="00382DF1">
        <w:rPr>
          <w:i/>
          <w:iCs/>
          <w:lang w:val="en-US"/>
        </w:rPr>
        <w:t>Canadian Veterinary Journal, 55</w:t>
      </w:r>
      <w:r w:rsidRPr="00382DF1">
        <w:rPr>
          <w:lang w:val="en-US"/>
        </w:rPr>
        <w:t>(3), 249–254.</w:t>
      </w:r>
    </w:p>
    <w:p w14:paraId="7A4E6866" w14:textId="3B710D8C" w:rsidR="00754D07" w:rsidRPr="00382DF1" w:rsidRDefault="00754D07" w:rsidP="00754D07">
      <w:pPr>
        <w:jc w:val="both"/>
        <w:rPr>
          <w:lang w:val="en-US"/>
        </w:rPr>
      </w:pPr>
      <w:r w:rsidRPr="00382DF1">
        <w:rPr>
          <w:lang w:val="en-US"/>
        </w:rPr>
        <w:lastRenderedPageBreak/>
        <w:t xml:space="preserve">Dycus, D. L., Biskup, J., Conzemius, M. G., &amp; Ben-Amotz, R. (2021). </w:t>
      </w:r>
      <w:r w:rsidRPr="00382DF1">
        <w:rPr>
          <w:i/>
          <w:iCs/>
          <w:lang w:val="en-US"/>
        </w:rPr>
        <w:t>Pathology, diagnosis and treatment goals of cranial cruciate ligament rupture and defining complications</w:t>
      </w:r>
      <w:r w:rsidRPr="00382DF1">
        <w:rPr>
          <w:lang w:val="en-US"/>
        </w:rPr>
        <w:t xml:space="preserve">. In R. Ben-Amotz &amp; D. L. Dycus (Eds.), </w:t>
      </w:r>
      <w:r w:rsidRPr="00382DF1">
        <w:rPr>
          <w:i/>
          <w:iCs/>
          <w:lang w:val="en-US"/>
        </w:rPr>
        <w:t>Complications in canine cranial cruciate ligament surgery</w:t>
      </w:r>
      <w:r w:rsidRPr="00382DF1">
        <w:rPr>
          <w:lang w:val="en-US"/>
        </w:rPr>
        <w:t xml:space="preserve"> (pp. 3–14). Wiley Blackwell. </w:t>
      </w:r>
    </w:p>
    <w:p w14:paraId="2A7F37A8" w14:textId="7B21757E" w:rsidR="00754D07" w:rsidRPr="00382DF1" w:rsidRDefault="00754D07" w:rsidP="00754D07">
      <w:pPr>
        <w:jc w:val="both"/>
        <w:rPr>
          <w:lang w:val="en-US"/>
        </w:rPr>
      </w:pPr>
      <w:r w:rsidRPr="00382DF1">
        <w:rPr>
          <w:lang w:val="en-US"/>
        </w:rPr>
        <w:t xml:space="preserve">Engdahl, K. S., Boge, G. S., Bergström, A. F., Moldal, E. R., &amp; Höglund, O. V. (2021). </w:t>
      </w:r>
      <w:r w:rsidRPr="00382DF1">
        <w:rPr>
          <w:i/>
          <w:iCs/>
          <w:lang w:val="en-US"/>
        </w:rPr>
        <w:t>Risk factors for severe postoperative complications in dogs with cranial cruciate ligament disease: A survival analysis</w:t>
      </w:r>
      <w:r w:rsidRPr="00382DF1">
        <w:rPr>
          <w:lang w:val="en-US"/>
        </w:rPr>
        <w:t xml:space="preserve">. </w:t>
      </w:r>
      <w:r w:rsidRPr="00382DF1">
        <w:rPr>
          <w:i/>
          <w:iCs/>
          <w:lang w:val="en-US"/>
        </w:rPr>
        <w:t>Preventive Veterinary Medicine, 191</w:t>
      </w:r>
      <w:r w:rsidRPr="00382DF1">
        <w:rPr>
          <w:lang w:val="en-US"/>
        </w:rPr>
        <w:t>, 105350. </w:t>
      </w:r>
    </w:p>
    <w:p w14:paraId="6D86FC66" w14:textId="77777777" w:rsidR="00754D07" w:rsidRPr="00382DF1" w:rsidRDefault="00754D07" w:rsidP="00754D07">
      <w:pPr>
        <w:jc w:val="both"/>
        <w:rPr>
          <w:lang w:val="en-US"/>
        </w:rPr>
      </w:pPr>
      <w:r w:rsidRPr="00382DF1">
        <w:rPr>
          <w:lang w:val="en-US"/>
        </w:rPr>
        <w:t xml:space="preserve">Hayashi, K., Manley, P. A., &amp; Muir, P. (2004). </w:t>
      </w:r>
      <w:r w:rsidRPr="00382DF1">
        <w:rPr>
          <w:i/>
          <w:iCs/>
          <w:lang w:val="en-US"/>
        </w:rPr>
        <w:t>Cranial cruciate ligament pathophysiology in dogs with cruciate disease</w:t>
      </w:r>
      <w:r w:rsidRPr="00382DF1">
        <w:rPr>
          <w:lang w:val="en-US"/>
        </w:rPr>
        <w:t xml:space="preserve">: A review. </w:t>
      </w:r>
      <w:r w:rsidRPr="00382DF1">
        <w:rPr>
          <w:i/>
          <w:iCs/>
          <w:lang w:val="en-US"/>
        </w:rPr>
        <w:t>Journal of the American Animal Hospital Association, 40</w:t>
      </w:r>
      <w:r w:rsidRPr="00382DF1">
        <w:rPr>
          <w:lang w:val="en-US"/>
        </w:rPr>
        <w:t>(5), 385–390. </w:t>
      </w:r>
    </w:p>
    <w:p w14:paraId="4F837605" w14:textId="4DA56779" w:rsidR="00754D07" w:rsidRPr="00382DF1" w:rsidRDefault="00754D07" w:rsidP="00754D07">
      <w:pPr>
        <w:jc w:val="both"/>
        <w:rPr>
          <w:lang w:val="en-US"/>
        </w:rPr>
      </w:pPr>
      <w:r w:rsidRPr="00382DF1">
        <w:rPr>
          <w:lang w:val="en-US"/>
        </w:rPr>
        <w:t xml:space="preserve">Husi, B., Overesch, G., Forterre, F., &amp; Rytz, U. (2023). </w:t>
      </w:r>
      <w:r w:rsidRPr="00382DF1">
        <w:rPr>
          <w:i/>
          <w:iCs/>
          <w:lang w:val="en-US"/>
        </w:rPr>
        <w:t>Surgical site infection after 769 tibial plateau leveling osteotomies</w:t>
      </w:r>
      <w:r w:rsidRPr="00382DF1">
        <w:rPr>
          <w:lang w:val="en-US"/>
        </w:rPr>
        <w:t xml:space="preserve">. </w:t>
      </w:r>
      <w:r w:rsidRPr="00382DF1">
        <w:rPr>
          <w:i/>
          <w:iCs/>
          <w:lang w:val="en-US"/>
        </w:rPr>
        <w:t>Frontiers in Veterinary Science, 10</w:t>
      </w:r>
      <w:r w:rsidRPr="00382DF1">
        <w:rPr>
          <w:lang w:val="en-US"/>
        </w:rPr>
        <w:t>, 1133813. </w:t>
      </w:r>
    </w:p>
    <w:p w14:paraId="01537E1A" w14:textId="77777777" w:rsidR="00754D07" w:rsidRPr="00CB3A31" w:rsidRDefault="00754D07" w:rsidP="00754D07">
      <w:pPr>
        <w:jc w:val="both"/>
      </w:pPr>
      <w:r w:rsidRPr="00382DF1">
        <w:rPr>
          <w:lang w:val="fr-FR"/>
        </w:rPr>
        <w:t xml:space="preserve">Nanda, A., &amp; Hans, E. C. (2019). </w:t>
      </w:r>
      <w:r w:rsidRPr="00382DF1">
        <w:rPr>
          <w:i/>
          <w:iCs/>
          <w:lang w:val="en-US"/>
        </w:rPr>
        <w:t>Tibial plateau leveling osteotomy for cranial cruciate ligament rupture in canines: Patient selection and reported outcomes</w:t>
      </w:r>
      <w:r w:rsidRPr="00382DF1">
        <w:rPr>
          <w:lang w:val="en-US"/>
        </w:rPr>
        <w:t xml:space="preserve">. </w:t>
      </w:r>
      <w:r w:rsidRPr="00754D07">
        <w:rPr>
          <w:i/>
          <w:iCs/>
        </w:rPr>
        <w:t>Veterinary Medicine: Research and Reports, 10</w:t>
      </w:r>
      <w:r w:rsidRPr="00754D07">
        <w:t>, 249–255. </w:t>
      </w:r>
    </w:p>
    <w:p w14:paraId="79CB8678" w14:textId="77777777" w:rsidR="008D492A" w:rsidRPr="00CB3A31" w:rsidRDefault="008D492A" w:rsidP="00754D07">
      <w:pPr>
        <w:jc w:val="both"/>
      </w:pPr>
    </w:p>
    <w:p w14:paraId="6C6B7D37" w14:textId="77777777" w:rsidR="008D492A" w:rsidRPr="00CB3A31" w:rsidRDefault="008D492A" w:rsidP="00754D07">
      <w:pPr>
        <w:jc w:val="both"/>
      </w:pPr>
    </w:p>
    <w:p w14:paraId="54D088B9" w14:textId="77777777" w:rsidR="008D492A" w:rsidRPr="00CB3A31" w:rsidRDefault="008D492A" w:rsidP="00754D07">
      <w:pPr>
        <w:jc w:val="both"/>
      </w:pPr>
    </w:p>
    <w:p w14:paraId="04F433B0" w14:textId="77777777" w:rsidR="008D492A" w:rsidRPr="00CB3A31" w:rsidRDefault="008D492A" w:rsidP="00754D07">
      <w:pPr>
        <w:jc w:val="both"/>
      </w:pPr>
    </w:p>
    <w:p w14:paraId="7F21EA93" w14:textId="77777777" w:rsidR="008D492A" w:rsidRPr="00CB3A31" w:rsidRDefault="008D492A" w:rsidP="00754D07">
      <w:pPr>
        <w:jc w:val="both"/>
      </w:pPr>
    </w:p>
    <w:p w14:paraId="193968DB" w14:textId="77777777" w:rsidR="008D492A" w:rsidRPr="00CB3A31" w:rsidRDefault="008D492A" w:rsidP="00754D07">
      <w:pPr>
        <w:jc w:val="both"/>
      </w:pPr>
    </w:p>
    <w:p w14:paraId="03D14837" w14:textId="77777777" w:rsidR="008D492A" w:rsidRPr="00CB3A31" w:rsidRDefault="008D492A" w:rsidP="00754D07">
      <w:pPr>
        <w:jc w:val="both"/>
      </w:pPr>
    </w:p>
    <w:p w14:paraId="444A6E16" w14:textId="77777777" w:rsidR="008D492A" w:rsidRPr="00CB3A31" w:rsidRDefault="008D492A" w:rsidP="00754D07">
      <w:pPr>
        <w:jc w:val="both"/>
      </w:pPr>
    </w:p>
    <w:p w14:paraId="773D426C" w14:textId="77777777" w:rsidR="008D492A" w:rsidRPr="00CB3A31" w:rsidRDefault="008D492A" w:rsidP="00754D07">
      <w:pPr>
        <w:jc w:val="both"/>
      </w:pPr>
    </w:p>
    <w:p w14:paraId="5E11DBA0" w14:textId="77777777" w:rsidR="008D492A" w:rsidRPr="00CB3A31" w:rsidRDefault="008D492A" w:rsidP="00754D07">
      <w:pPr>
        <w:jc w:val="both"/>
      </w:pPr>
    </w:p>
    <w:p w14:paraId="61F9A879" w14:textId="77777777" w:rsidR="008D492A" w:rsidRPr="00CB3A31" w:rsidRDefault="008D492A" w:rsidP="00754D07">
      <w:pPr>
        <w:jc w:val="both"/>
      </w:pPr>
    </w:p>
    <w:p w14:paraId="28814F54" w14:textId="77777777" w:rsidR="008D492A" w:rsidRPr="00CB3A31" w:rsidRDefault="008D492A" w:rsidP="00754D07">
      <w:pPr>
        <w:jc w:val="both"/>
      </w:pPr>
    </w:p>
    <w:p w14:paraId="6F36F2B6" w14:textId="77777777" w:rsidR="008D492A" w:rsidRPr="00CB3A31" w:rsidRDefault="008D492A" w:rsidP="00754D07">
      <w:pPr>
        <w:jc w:val="both"/>
      </w:pPr>
    </w:p>
    <w:p w14:paraId="62B61980" w14:textId="77777777" w:rsidR="008D492A" w:rsidRPr="00CB3A31" w:rsidRDefault="008D492A" w:rsidP="00754D07">
      <w:pPr>
        <w:jc w:val="both"/>
      </w:pPr>
    </w:p>
    <w:p w14:paraId="53CAD131" w14:textId="77777777" w:rsidR="008D492A" w:rsidRPr="00CB3A31" w:rsidRDefault="008D492A" w:rsidP="00754D07">
      <w:pPr>
        <w:jc w:val="both"/>
      </w:pPr>
    </w:p>
    <w:p w14:paraId="69826643" w14:textId="77777777" w:rsidR="008D492A" w:rsidRPr="00CB3A31" w:rsidRDefault="008D492A" w:rsidP="00754D07">
      <w:pPr>
        <w:jc w:val="both"/>
      </w:pPr>
    </w:p>
    <w:p w14:paraId="10738ECC" w14:textId="77777777" w:rsidR="008D492A" w:rsidRPr="00CB3A31" w:rsidRDefault="008D492A" w:rsidP="00754D07">
      <w:pPr>
        <w:jc w:val="both"/>
      </w:pPr>
    </w:p>
    <w:p w14:paraId="14D78214" w14:textId="77777777" w:rsidR="008D492A" w:rsidRPr="00CB3A31" w:rsidRDefault="008D492A" w:rsidP="00754D07">
      <w:pPr>
        <w:jc w:val="both"/>
      </w:pPr>
    </w:p>
    <w:p w14:paraId="4FA11AB8" w14:textId="77777777" w:rsidR="008D492A" w:rsidRPr="00754D07" w:rsidRDefault="008D492A" w:rsidP="00754D07">
      <w:pPr>
        <w:jc w:val="both"/>
      </w:pPr>
    </w:p>
    <w:p w14:paraId="7B196E94" w14:textId="77777777" w:rsidR="00754D07" w:rsidRPr="00754D07" w:rsidRDefault="00754D07" w:rsidP="00754D07">
      <w:pPr>
        <w:jc w:val="both"/>
      </w:pPr>
      <w:r w:rsidRPr="00754D07">
        <w:rPr>
          <w:b/>
          <w:bCs/>
        </w:rPr>
        <w:lastRenderedPageBreak/>
        <w:t>Η Νευρομυϊκή Διάσταση της Ρήξης του Πρόσθιου Χιαστού Συνδέσμου στον Σκύλο: Από τη Μηχανική Σταθερότητα στη Λειτουργική Αποκατάσταση</w:t>
      </w:r>
    </w:p>
    <w:p w14:paraId="19B41A62" w14:textId="234850E4" w:rsidR="00754D07" w:rsidRPr="00754D07" w:rsidRDefault="00754D07" w:rsidP="00754D07">
      <w:pPr>
        <w:jc w:val="both"/>
      </w:pPr>
      <w:r w:rsidRPr="00754D07">
        <w:t>Ρουκάς Πέτρος</w:t>
      </w:r>
      <w:r w:rsidRPr="00754D07">
        <w:rPr>
          <w:vertAlign w:val="superscript"/>
        </w:rPr>
        <w:t>1</w:t>
      </w:r>
      <w:r w:rsidRPr="00754D07">
        <w:t>, Σιδέρη Αικατερίνη</w:t>
      </w:r>
      <w:r w:rsidRPr="00754D07">
        <w:rPr>
          <w:vertAlign w:val="superscript"/>
        </w:rPr>
        <w:t>2</w:t>
      </w:r>
    </w:p>
    <w:p w14:paraId="2D64CEEF" w14:textId="77777777" w:rsidR="00754D07" w:rsidRPr="00754D07" w:rsidRDefault="00754D07" w:rsidP="00754D07">
      <w:pPr>
        <w:numPr>
          <w:ilvl w:val="0"/>
          <w:numId w:val="8"/>
        </w:numPr>
        <w:jc w:val="both"/>
      </w:pPr>
      <w:r w:rsidRPr="00754D07">
        <w:t>Προπτυχιακός Φοιτητής, Τμήμα Κτηνιατρικής, Σχολή Επιστημών Υγείας, Πανεπιστήμιο Θεσσαλίας, Καρδίτσα.</w:t>
      </w:r>
    </w:p>
    <w:p w14:paraId="0F637C8C" w14:textId="77777777" w:rsidR="00754D07" w:rsidRPr="00754D07" w:rsidRDefault="00754D07" w:rsidP="00754D07">
      <w:pPr>
        <w:numPr>
          <w:ilvl w:val="0"/>
          <w:numId w:val="8"/>
        </w:numPr>
        <w:jc w:val="both"/>
      </w:pPr>
      <w:r w:rsidRPr="00754D07">
        <w:t>Αναπληρώτρια Καθηγήτρια, Χειρουργική και Αναισθησιολογία των Ζώων, Τμήμα Κτηνιατρικής, Σχολή Επιστημών Υγείας, Πανεπιστήμιο Θεσσαλίας</w:t>
      </w:r>
    </w:p>
    <w:p w14:paraId="76ADB28A" w14:textId="77777777" w:rsidR="00754D07" w:rsidRPr="00754D07" w:rsidRDefault="00754D07" w:rsidP="00754D07">
      <w:pPr>
        <w:jc w:val="both"/>
      </w:pPr>
    </w:p>
    <w:p w14:paraId="00A7545E" w14:textId="77777777" w:rsidR="00754D07" w:rsidRPr="00754D07" w:rsidRDefault="00754D07" w:rsidP="00754D07">
      <w:pPr>
        <w:jc w:val="both"/>
      </w:pPr>
      <w:r w:rsidRPr="00754D07">
        <w:rPr>
          <w:b/>
          <w:bCs/>
        </w:rPr>
        <w:t>Περίληψη</w:t>
      </w:r>
    </w:p>
    <w:p w14:paraId="2E5C53EB" w14:textId="77777777" w:rsidR="00754D07" w:rsidRPr="00754D07" w:rsidRDefault="00754D07" w:rsidP="00754D07">
      <w:pPr>
        <w:jc w:val="both"/>
      </w:pPr>
      <w:r w:rsidRPr="00754D07">
        <w:t>Ο πρόσθιος χιαστός σύνδεσμος (ΠΧΣ) αποτελεί τον σημαντικότερο σταθεροποιητικό σύνδεσμο της άρθρωσης του γονάτου. Η ρήξη του συνιστά σοβαρή αιτία αστάθειας της άρθρωσης και κατά συνέπεια, χωλότητας στον σκύλο. Πρόσφατες μελέτες προσεγγίζουν τον ΠΧΣ ως ένα πολύπλοκο αισθητηριακό όργανο καθώς, λόγω των μηχανοϋποδοχέων του φαίνεται να διαδραματίζει καθοριστικό ρόλο στην ιδιοδεκτικότητα και τον νευρομυικό έλεγχο του άκρου. Η απώλεια αυτών των “αισθητήρων” μετά την ρήξη του ΠΧΣ ακολουθείται από μια σειρά επιπτώσεων οι οποίες συνδέονται με την διατάραξη της κινητικότητας της οπίσθιας αλυσίδας, την εμφάνιση πρώιμης οστεοαρθρίτιδας και τον περιορισμό του εύρους κίνησης της άρθρωσης. Η παρούσα βιβλιογραφική ανασκόπηση έχει σκοπό να επισημάνει ότι η χειρουργική αποκατάσταση της ρήξης του ΠΧΣ δεν επαρκεί από μόνη της. H νευρομυϊκή αποκατάσταση είναι επιβεβλημένη για την επανεκπαίδευση του νευρομυικού συστήματος και την ολιστική υγεία της άρθρωσης.</w:t>
      </w:r>
    </w:p>
    <w:p w14:paraId="270C39F0" w14:textId="77777777" w:rsidR="00754D07" w:rsidRPr="00754D07" w:rsidRDefault="00754D07" w:rsidP="00754D07">
      <w:pPr>
        <w:jc w:val="both"/>
      </w:pPr>
    </w:p>
    <w:p w14:paraId="1B1769D2" w14:textId="77777777" w:rsidR="00754D07" w:rsidRPr="00754D07" w:rsidRDefault="00754D07" w:rsidP="00754D07">
      <w:pPr>
        <w:jc w:val="both"/>
      </w:pPr>
      <w:r w:rsidRPr="00754D07">
        <w:rPr>
          <w:b/>
          <w:bCs/>
        </w:rPr>
        <w:t>Βιβλιογραφία</w:t>
      </w:r>
    </w:p>
    <w:p w14:paraId="6CEA3788" w14:textId="28540456" w:rsidR="00754D07" w:rsidRPr="00382DF1" w:rsidRDefault="00754D07" w:rsidP="00754D07">
      <w:pPr>
        <w:jc w:val="both"/>
        <w:rPr>
          <w:lang w:val="en-US"/>
        </w:rPr>
      </w:pPr>
      <w:r w:rsidRPr="00754D07">
        <w:t xml:space="preserve">Aitken, S. J. &amp; Palmer, R. H. (2014). </w:t>
      </w:r>
      <w:r w:rsidRPr="00382DF1">
        <w:rPr>
          <w:i/>
          <w:iCs/>
          <w:lang w:val="en-US"/>
        </w:rPr>
        <w:t>Radiographic assessment of the progression of osteoarthrosis in the contralateral stifle joint of dogs with a ruptured cranial cruciate ligament</w:t>
      </w:r>
      <w:r w:rsidRPr="00382DF1">
        <w:rPr>
          <w:lang w:val="en-US"/>
        </w:rPr>
        <w:t xml:space="preserve">. </w:t>
      </w:r>
      <w:r w:rsidRPr="00382DF1">
        <w:rPr>
          <w:i/>
          <w:iCs/>
          <w:lang w:val="en-US"/>
        </w:rPr>
        <w:t>Veterinary Radiology &amp; Ultrasound</w:t>
      </w:r>
      <w:r w:rsidRPr="00382DF1">
        <w:rPr>
          <w:lang w:val="en-US"/>
        </w:rPr>
        <w:t>.</w:t>
      </w:r>
    </w:p>
    <w:p w14:paraId="624D1CDD" w14:textId="3A3711FD" w:rsidR="00754D07" w:rsidRPr="00382DF1" w:rsidRDefault="00754D07" w:rsidP="00754D07">
      <w:pPr>
        <w:jc w:val="both"/>
        <w:rPr>
          <w:lang w:val="en-US"/>
        </w:rPr>
      </w:pPr>
      <w:r w:rsidRPr="00382DF1">
        <w:rPr>
          <w:lang w:val="en-US"/>
        </w:rPr>
        <w:t xml:space="preserve">Beard, W. L. et al. (2005). </w:t>
      </w:r>
      <w:r w:rsidRPr="00382DF1">
        <w:rPr>
          <w:i/>
          <w:iCs/>
          <w:lang w:val="en-US"/>
        </w:rPr>
        <w:t>Most agility dogs with cranial cruciate ligament rupture return to competition within 2 years of injury.</w:t>
      </w:r>
      <w:r w:rsidRPr="00382DF1">
        <w:rPr>
          <w:lang w:val="en-US"/>
        </w:rPr>
        <w:t xml:space="preserve"> </w:t>
      </w:r>
      <w:r w:rsidRPr="00382DF1">
        <w:rPr>
          <w:i/>
          <w:iCs/>
          <w:lang w:val="en-US"/>
        </w:rPr>
        <w:t>Journal of the American Veterinary Medical Association</w:t>
      </w:r>
      <w:r w:rsidRPr="00382DF1">
        <w:rPr>
          <w:lang w:val="en-US"/>
        </w:rPr>
        <w:t>.</w:t>
      </w:r>
    </w:p>
    <w:p w14:paraId="52DEF6D7" w14:textId="6DB9D9F8" w:rsidR="00754D07" w:rsidRPr="00382DF1" w:rsidRDefault="00754D07" w:rsidP="00754D07">
      <w:pPr>
        <w:jc w:val="both"/>
        <w:rPr>
          <w:lang w:val="en-US"/>
        </w:rPr>
      </w:pPr>
      <w:r w:rsidRPr="00382DF1">
        <w:rPr>
          <w:lang w:val="en-US"/>
        </w:rPr>
        <w:t xml:space="preserve">Boudreau, A. E. et al. </w:t>
      </w:r>
      <w:r w:rsidRPr="00754D07">
        <w:t xml:space="preserve">(2012). </w:t>
      </w:r>
      <w:r w:rsidRPr="00382DF1">
        <w:rPr>
          <w:i/>
          <w:iCs/>
          <w:lang w:val="en-US"/>
        </w:rPr>
        <w:t>Risk factors for severe postoperative complications in dogs with cranial cruciate ligament disease – A survival analysis</w:t>
      </w:r>
      <w:r w:rsidRPr="00382DF1">
        <w:rPr>
          <w:lang w:val="en-US"/>
        </w:rPr>
        <w:t xml:space="preserve">. </w:t>
      </w:r>
      <w:r w:rsidRPr="00382DF1">
        <w:rPr>
          <w:i/>
          <w:iCs/>
          <w:lang w:val="en-US"/>
        </w:rPr>
        <w:t>Veterinary Surgery</w:t>
      </w:r>
      <w:r w:rsidRPr="00382DF1">
        <w:rPr>
          <w:lang w:val="en-US"/>
        </w:rPr>
        <w:t>.</w:t>
      </w:r>
    </w:p>
    <w:p w14:paraId="64418BE0" w14:textId="0DEBEEBE" w:rsidR="00754D07" w:rsidRPr="00382DF1" w:rsidRDefault="00754D07" w:rsidP="00754D07">
      <w:pPr>
        <w:jc w:val="both"/>
        <w:rPr>
          <w:lang w:val="en-US"/>
        </w:rPr>
      </w:pPr>
      <w:r w:rsidRPr="00382DF1">
        <w:rPr>
          <w:lang w:val="en-US"/>
        </w:rPr>
        <w:t>Budsberg, S. C. et al. (1988).</w:t>
      </w:r>
      <w:r w:rsidRPr="00382DF1">
        <w:rPr>
          <w:i/>
          <w:iCs/>
          <w:lang w:val="en-US"/>
        </w:rPr>
        <w:t xml:space="preserve"> Serial force plate analyses of dogs with unilateral knee instability, with or without interruption of the sensory input from the ipsilateral limb.</w:t>
      </w:r>
      <w:r w:rsidRPr="00382DF1">
        <w:rPr>
          <w:lang w:val="en-US"/>
        </w:rPr>
        <w:t xml:space="preserve"> </w:t>
      </w:r>
      <w:r w:rsidRPr="00382DF1">
        <w:rPr>
          <w:i/>
          <w:iCs/>
          <w:lang w:val="en-US"/>
        </w:rPr>
        <w:t>American Journal of Veterinary Research</w:t>
      </w:r>
      <w:r w:rsidRPr="00382DF1">
        <w:rPr>
          <w:lang w:val="en-US"/>
        </w:rPr>
        <w:t>.</w:t>
      </w:r>
    </w:p>
    <w:p w14:paraId="2FB80858" w14:textId="2F329503" w:rsidR="00754D07" w:rsidRPr="00382DF1" w:rsidRDefault="00754D07" w:rsidP="00754D07">
      <w:pPr>
        <w:jc w:val="both"/>
        <w:rPr>
          <w:lang w:val="en-US"/>
        </w:rPr>
      </w:pPr>
      <w:r w:rsidRPr="00382DF1">
        <w:rPr>
          <w:lang w:val="en-US"/>
        </w:rPr>
        <w:t xml:space="preserve">Canapp, S. O. (2007). </w:t>
      </w:r>
      <w:r w:rsidRPr="00382DF1">
        <w:rPr>
          <w:i/>
          <w:iCs/>
          <w:lang w:val="en-US"/>
        </w:rPr>
        <w:t>Cranial Cruciate Ligament Rupture in Dogs: Review on Biomechanics, Etiopathogenetic Factors and Rehabilitation. Veterinary Clinics: Small Animal Practice</w:t>
      </w:r>
      <w:r w:rsidRPr="00382DF1">
        <w:rPr>
          <w:lang w:val="en-US"/>
        </w:rPr>
        <w:t>.</w:t>
      </w:r>
    </w:p>
    <w:p w14:paraId="1A135547" w14:textId="428B7173" w:rsidR="00754D07" w:rsidRPr="00382DF1" w:rsidRDefault="00754D07" w:rsidP="00754D07">
      <w:pPr>
        <w:jc w:val="both"/>
        <w:rPr>
          <w:lang w:val="en-US"/>
        </w:rPr>
      </w:pPr>
      <w:r w:rsidRPr="00382DF1">
        <w:rPr>
          <w:lang w:val="en-US"/>
        </w:rPr>
        <w:t xml:space="preserve">Conzemius, M. G. et al. </w:t>
      </w:r>
      <w:r w:rsidRPr="00754D07">
        <w:t xml:space="preserve">(2005). </w:t>
      </w:r>
      <w:r w:rsidRPr="00382DF1">
        <w:rPr>
          <w:i/>
          <w:iCs/>
          <w:lang w:val="en-US"/>
        </w:rPr>
        <w:t>Long-term functional outcome after surgical repair of cranial cruciate ligament disease in dogs</w:t>
      </w:r>
      <w:r w:rsidRPr="00382DF1">
        <w:rPr>
          <w:lang w:val="en-US"/>
        </w:rPr>
        <w:t xml:space="preserve">. </w:t>
      </w:r>
      <w:r w:rsidRPr="00382DF1">
        <w:rPr>
          <w:i/>
          <w:iCs/>
          <w:lang w:val="en-US"/>
        </w:rPr>
        <w:t>Veterinary Surgery</w:t>
      </w:r>
      <w:r w:rsidRPr="00382DF1">
        <w:rPr>
          <w:lang w:val="en-US"/>
        </w:rPr>
        <w:t>.</w:t>
      </w:r>
    </w:p>
    <w:p w14:paraId="49AB5A6C" w14:textId="77777777" w:rsidR="008D492A" w:rsidRPr="00382DF1" w:rsidRDefault="00754D07" w:rsidP="00754D07">
      <w:pPr>
        <w:jc w:val="both"/>
        <w:rPr>
          <w:lang w:val="en-US"/>
        </w:rPr>
      </w:pPr>
      <w:r w:rsidRPr="00382DF1">
        <w:rPr>
          <w:lang w:val="en-US"/>
        </w:rPr>
        <w:t xml:space="preserve">DeCamp, C. E. (1997). </w:t>
      </w:r>
      <w:r w:rsidRPr="00382DF1">
        <w:rPr>
          <w:i/>
          <w:iCs/>
          <w:lang w:val="en-US"/>
        </w:rPr>
        <w:t>Gait Changes Resulting from Orthopedic and Neurologic Problems in Companion Animals</w:t>
      </w:r>
      <w:r w:rsidRPr="00382DF1">
        <w:rPr>
          <w:lang w:val="en-US"/>
        </w:rPr>
        <w:t xml:space="preserve">. </w:t>
      </w:r>
      <w:r w:rsidRPr="00382DF1">
        <w:rPr>
          <w:i/>
          <w:iCs/>
          <w:lang w:val="en-US"/>
        </w:rPr>
        <w:t>Veterinary Clinics of North America: Small Animal Practice</w:t>
      </w:r>
      <w:r w:rsidRPr="00382DF1">
        <w:rPr>
          <w:lang w:val="en-US"/>
        </w:rPr>
        <w:t>.</w:t>
      </w:r>
    </w:p>
    <w:p w14:paraId="1C43BF20" w14:textId="4DB8AAE3" w:rsidR="00754D07" w:rsidRPr="00382DF1" w:rsidRDefault="00754D07" w:rsidP="00754D07">
      <w:pPr>
        <w:jc w:val="both"/>
        <w:rPr>
          <w:lang w:val="en-US"/>
        </w:rPr>
      </w:pPr>
      <w:r w:rsidRPr="00382DF1">
        <w:rPr>
          <w:lang w:val="en-US"/>
        </w:rPr>
        <w:lastRenderedPageBreak/>
        <w:t xml:space="preserve">Fink, C. et al. </w:t>
      </w:r>
      <w:r w:rsidRPr="00754D07">
        <w:t xml:space="preserve">(2001). </w:t>
      </w:r>
      <w:r w:rsidRPr="00382DF1">
        <w:rPr>
          <w:i/>
          <w:iCs/>
          <w:lang w:val="en-US"/>
        </w:rPr>
        <w:t>Evaluation of proprioception in patients who underwent ACL reconstruction: measurement in functional position</w:t>
      </w:r>
      <w:r w:rsidRPr="00382DF1">
        <w:rPr>
          <w:lang w:val="en-US"/>
        </w:rPr>
        <w:t xml:space="preserve">. </w:t>
      </w:r>
      <w:r w:rsidRPr="00382DF1">
        <w:rPr>
          <w:i/>
          <w:iCs/>
          <w:lang w:val="en-US"/>
        </w:rPr>
        <w:t>Knee Surgery, Sports Traumatology, Arthroscopy</w:t>
      </w:r>
      <w:r w:rsidRPr="00382DF1">
        <w:rPr>
          <w:lang w:val="en-US"/>
        </w:rPr>
        <w:t>.</w:t>
      </w:r>
    </w:p>
    <w:p w14:paraId="414B7C2B" w14:textId="4080B582" w:rsidR="00754D07" w:rsidRPr="00382DF1" w:rsidRDefault="00754D07" w:rsidP="00754D07">
      <w:pPr>
        <w:jc w:val="both"/>
        <w:rPr>
          <w:lang w:val="en-US"/>
        </w:rPr>
      </w:pPr>
      <w:r w:rsidRPr="00382DF1">
        <w:rPr>
          <w:lang w:val="en-US"/>
        </w:rPr>
        <w:t xml:space="preserve">Giotis, C. et al. (2022). </w:t>
      </w:r>
      <w:r w:rsidRPr="00382DF1">
        <w:rPr>
          <w:i/>
          <w:iCs/>
          <w:lang w:val="en-US"/>
        </w:rPr>
        <w:t>EVALUATING THE IMPACT OF PHYSIOTHERAPY AFTER CRANIAL CRUCIATE LIGAMENT INJURY IN DOGS</w:t>
      </w:r>
      <w:r w:rsidRPr="00382DF1">
        <w:rPr>
          <w:lang w:val="en-US"/>
        </w:rPr>
        <w:t>. (Journal/Conference Paper).</w:t>
      </w:r>
    </w:p>
    <w:p w14:paraId="4EB1B6F5" w14:textId="24C01D69" w:rsidR="00754D07" w:rsidRPr="00382DF1" w:rsidRDefault="00754D07" w:rsidP="00754D07">
      <w:pPr>
        <w:jc w:val="both"/>
        <w:rPr>
          <w:lang w:val="en-US"/>
        </w:rPr>
      </w:pPr>
      <w:r w:rsidRPr="00382DF1">
        <w:rPr>
          <w:lang w:val="en-US"/>
        </w:rPr>
        <w:t xml:space="preserve">Griffin, M. et al. (2021). </w:t>
      </w:r>
      <w:r w:rsidRPr="00382DF1">
        <w:rPr>
          <w:i/>
          <w:iCs/>
          <w:lang w:val="en-US"/>
        </w:rPr>
        <w:t>A new approach to treatment selection in dogs with cranial cruciate ligament rupture: patient-specific treatment recommendations</w:t>
      </w:r>
      <w:r w:rsidRPr="00382DF1">
        <w:rPr>
          <w:lang w:val="en-US"/>
        </w:rPr>
        <w:t xml:space="preserve">. </w:t>
      </w:r>
      <w:r w:rsidRPr="00382DF1">
        <w:rPr>
          <w:i/>
          <w:iCs/>
          <w:lang w:val="en-US"/>
        </w:rPr>
        <w:t>Journal of the American Veterinary Medical Association</w:t>
      </w:r>
      <w:r w:rsidRPr="00382DF1">
        <w:rPr>
          <w:lang w:val="en-US"/>
        </w:rPr>
        <w:t>.</w:t>
      </w:r>
    </w:p>
    <w:p w14:paraId="1D15B5EC" w14:textId="79350F2C" w:rsidR="00754D07" w:rsidRPr="00382DF1" w:rsidRDefault="00754D07" w:rsidP="00754D07">
      <w:pPr>
        <w:jc w:val="both"/>
        <w:rPr>
          <w:lang w:val="en-US"/>
        </w:rPr>
      </w:pPr>
      <w:r w:rsidRPr="00382DF1">
        <w:rPr>
          <w:lang w:val="en-US"/>
        </w:rPr>
        <w:t xml:space="preserve">Hoglund, O. V. et al. </w:t>
      </w:r>
      <w:r w:rsidRPr="00754D07">
        <w:t xml:space="preserve">(2020). </w:t>
      </w:r>
      <w:r w:rsidRPr="00382DF1">
        <w:rPr>
          <w:i/>
          <w:iCs/>
          <w:lang w:val="en-US"/>
        </w:rPr>
        <w:t>Effects of postoperative rehabilitation on limb function after cranial cruciate ligament repair in dogs</w:t>
      </w:r>
      <w:r w:rsidRPr="00382DF1">
        <w:rPr>
          <w:lang w:val="en-US"/>
        </w:rPr>
        <w:t xml:space="preserve">. </w:t>
      </w:r>
      <w:r w:rsidRPr="00382DF1">
        <w:rPr>
          <w:i/>
          <w:iCs/>
          <w:lang w:val="en-US"/>
        </w:rPr>
        <w:t>Veterinary and Comparative Orthopaedics and Traumatology</w:t>
      </w:r>
      <w:r w:rsidRPr="00382DF1">
        <w:rPr>
          <w:lang w:val="en-US"/>
        </w:rPr>
        <w:t>.</w:t>
      </w:r>
    </w:p>
    <w:p w14:paraId="64F0D5CE" w14:textId="77777777" w:rsidR="00754D07" w:rsidRPr="00382DF1" w:rsidRDefault="00754D07" w:rsidP="00754D07">
      <w:pPr>
        <w:jc w:val="both"/>
        <w:rPr>
          <w:lang w:val="en-US"/>
        </w:rPr>
      </w:pPr>
      <w:r w:rsidRPr="00382DF1">
        <w:rPr>
          <w:lang w:val="en-US"/>
        </w:rPr>
        <w:t xml:space="preserve">Jerram, R. M. &amp; Walker, A. M. (2003). </w:t>
      </w:r>
      <w:r w:rsidRPr="00382DF1">
        <w:rPr>
          <w:i/>
          <w:iCs/>
          <w:lang w:val="en-US"/>
        </w:rPr>
        <w:t>Cranial cruciate ligament injury in the dog: Pathophysiology, diagnosis and treatment</w:t>
      </w:r>
      <w:r w:rsidRPr="00382DF1">
        <w:rPr>
          <w:lang w:val="en-US"/>
        </w:rPr>
        <w:t xml:space="preserve">. </w:t>
      </w:r>
      <w:r w:rsidRPr="00382DF1">
        <w:rPr>
          <w:i/>
          <w:iCs/>
          <w:lang w:val="en-US"/>
        </w:rPr>
        <w:t>New Zealand Veterinary Journal</w:t>
      </w:r>
    </w:p>
    <w:p w14:paraId="73995205" w14:textId="0393F683" w:rsidR="00754D07" w:rsidRPr="00382DF1" w:rsidRDefault="00754D07" w:rsidP="00754D07">
      <w:pPr>
        <w:jc w:val="both"/>
        <w:rPr>
          <w:lang w:val="en-US"/>
        </w:rPr>
      </w:pPr>
      <w:r w:rsidRPr="00382DF1">
        <w:rPr>
          <w:lang w:val="en-US"/>
        </w:rPr>
        <w:t xml:space="preserve">Johansson, H. et al. (1991). Receptors in the knee joint ligaments and their role in the biomechanics of the joint. </w:t>
      </w:r>
      <w:r w:rsidRPr="00382DF1">
        <w:rPr>
          <w:i/>
          <w:iCs/>
          <w:lang w:val="en-US"/>
        </w:rPr>
        <w:t>Basic Science and Clinical Applications</w:t>
      </w:r>
      <w:r w:rsidRPr="00382DF1">
        <w:rPr>
          <w:lang w:val="en-US"/>
        </w:rPr>
        <w:t>.</w:t>
      </w:r>
    </w:p>
    <w:p w14:paraId="1D6C087F" w14:textId="5E64A5E0" w:rsidR="00754D07" w:rsidRPr="00382DF1" w:rsidRDefault="00754D07" w:rsidP="00754D07">
      <w:pPr>
        <w:jc w:val="both"/>
        <w:rPr>
          <w:lang w:val="en-US"/>
        </w:rPr>
      </w:pPr>
      <w:r w:rsidRPr="00382DF1">
        <w:rPr>
          <w:lang w:val="en-US"/>
        </w:rPr>
        <w:t xml:space="preserve">Korr, I. M. (1975). </w:t>
      </w:r>
      <w:r w:rsidRPr="00382DF1">
        <w:rPr>
          <w:i/>
          <w:iCs/>
          <w:lang w:val="en-US"/>
        </w:rPr>
        <w:t>Role of Knee Ligaments in Proprioception and Regulation of Muscle Stiffness</w:t>
      </w:r>
      <w:r w:rsidRPr="00382DF1">
        <w:rPr>
          <w:lang w:val="en-US"/>
        </w:rPr>
        <w:t xml:space="preserve">. </w:t>
      </w:r>
      <w:r w:rsidRPr="00382DF1">
        <w:rPr>
          <w:i/>
          <w:iCs/>
          <w:lang w:val="en-US"/>
        </w:rPr>
        <w:t>Journal of the American Osteopathic Association</w:t>
      </w:r>
      <w:r w:rsidRPr="00382DF1">
        <w:rPr>
          <w:lang w:val="en-US"/>
        </w:rPr>
        <w:t>.</w:t>
      </w:r>
    </w:p>
    <w:p w14:paraId="041576F0" w14:textId="563C7B9C" w:rsidR="00754D07" w:rsidRPr="00382DF1" w:rsidRDefault="00754D07" w:rsidP="00754D07">
      <w:pPr>
        <w:jc w:val="both"/>
        <w:rPr>
          <w:lang w:val="en-US"/>
        </w:rPr>
      </w:pPr>
      <w:r w:rsidRPr="00382DF1">
        <w:rPr>
          <w:lang w:val="en-US"/>
        </w:rPr>
        <w:t xml:space="preserve">Korvick, D. L. et al. </w:t>
      </w:r>
      <w:r w:rsidRPr="00754D07">
        <w:t xml:space="preserve">(1994). </w:t>
      </w:r>
      <w:r w:rsidRPr="00382DF1">
        <w:rPr>
          <w:i/>
          <w:iCs/>
          <w:lang w:val="en-US"/>
        </w:rPr>
        <w:t>Kinematics of the ACL-deficient canine knee during gait: serial changes over two years</w:t>
      </w:r>
      <w:r w:rsidRPr="00382DF1">
        <w:rPr>
          <w:lang w:val="en-US"/>
        </w:rPr>
        <w:t xml:space="preserve">. </w:t>
      </w:r>
      <w:r w:rsidRPr="00382DF1">
        <w:rPr>
          <w:i/>
          <w:iCs/>
          <w:lang w:val="en-US"/>
        </w:rPr>
        <w:t>Journal of Orthopaedic Research</w:t>
      </w:r>
      <w:r w:rsidRPr="00382DF1">
        <w:rPr>
          <w:lang w:val="en-US"/>
        </w:rPr>
        <w:t>.</w:t>
      </w:r>
    </w:p>
    <w:p w14:paraId="1327F375" w14:textId="7EB39209" w:rsidR="008D492A" w:rsidRPr="00382DF1" w:rsidRDefault="00754D07" w:rsidP="00754D07">
      <w:pPr>
        <w:jc w:val="both"/>
        <w:rPr>
          <w:lang w:val="en-US"/>
        </w:rPr>
      </w:pPr>
      <w:r w:rsidRPr="00382DF1">
        <w:rPr>
          <w:lang w:val="en-US"/>
        </w:rPr>
        <w:t xml:space="preserve">Monibi, A. S. et al. (2018). </w:t>
      </w:r>
      <w:r w:rsidRPr="00382DF1">
        <w:rPr>
          <w:i/>
          <w:iCs/>
          <w:lang w:val="en-US"/>
        </w:rPr>
        <w:t>Does cranial cruciate ligament repair by tibial plateau leveling osteotomy surgery restore dog’s natural kinematics? – A case series</w:t>
      </w:r>
      <w:r w:rsidRPr="00382DF1">
        <w:rPr>
          <w:lang w:val="en-US"/>
        </w:rPr>
        <w:t xml:space="preserve">. </w:t>
      </w:r>
      <w:r w:rsidRPr="00382DF1">
        <w:rPr>
          <w:i/>
          <w:iCs/>
          <w:lang w:val="en-US"/>
        </w:rPr>
        <w:t>Frontiers in Veterinary Science</w:t>
      </w:r>
      <w:r w:rsidRPr="00382DF1">
        <w:rPr>
          <w:lang w:val="en-US"/>
        </w:rPr>
        <w:t>.</w:t>
      </w:r>
    </w:p>
    <w:p w14:paraId="1EA37548" w14:textId="7895DF3E" w:rsidR="00754D07" w:rsidRPr="00382DF1" w:rsidRDefault="00754D07" w:rsidP="00754D07">
      <w:pPr>
        <w:jc w:val="both"/>
        <w:rPr>
          <w:lang w:val="en-US"/>
        </w:rPr>
      </w:pPr>
      <w:r w:rsidRPr="00382DF1">
        <w:rPr>
          <w:lang w:val="en-US"/>
        </w:rPr>
        <w:t xml:space="preserve">Prot, L. et al. (2020). </w:t>
      </w:r>
      <w:r w:rsidRPr="00382DF1">
        <w:rPr>
          <w:i/>
          <w:iCs/>
          <w:lang w:val="en-US"/>
        </w:rPr>
        <w:t>Complications associated with tibial plateau leveling osteotomy: A retrospective of 1519 procedures</w:t>
      </w:r>
      <w:r w:rsidRPr="00382DF1">
        <w:rPr>
          <w:lang w:val="en-US"/>
        </w:rPr>
        <w:t xml:space="preserve">. </w:t>
      </w:r>
      <w:r w:rsidRPr="00382DF1">
        <w:rPr>
          <w:i/>
          <w:iCs/>
          <w:lang w:val="en-US"/>
        </w:rPr>
        <w:t>Veterinary Surgery</w:t>
      </w:r>
      <w:r w:rsidRPr="00382DF1">
        <w:rPr>
          <w:lang w:val="en-US"/>
        </w:rPr>
        <w:t>.</w:t>
      </w:r>
    </w:p>
    <w:p w14:paraId="79829586" w14:textId="28A245A3" w:rsidR="00754D07" w:rsidRPr="00382DF1" w:rsidRDefault="00754D07" w:rsidP="00754D07">
      <w:pPr>
        <w:jc w:val="both"/>
        <w:rPr>
          <w:lang w:val="en-US"/>
        </w:rPr>
      </w:pPr>
      <w:r w:rsidRPr="00382DF1">
        <w:rPr>
          <w:lang w:val="en-US"/>
        </w:rPr>
        <w:t xml:space="preserve">Schultz, R. A. et al. (1984). </w:t>
      </w:r>
      <w:r w:rsidRPr="00382DF1">
        <w:rPr>
          <w:i/>
          <w:iCs/>
          <w:lang w:val="en-US"/>
        </w:rPr>
        <w:t>Mechanoreceptors of the ligaments and tendons around the knee</w:t>
      </w:r>
      <w:r w:rsidRPr="00382DF1">
        <w:rPr>
          <w:lang w:val="en-US"/>
        </w:rPr>
        <w:t xml:space="preserve">. </w:t>
      </w:r>
      <w:r w:rsidRPr="00382DF1">
        <w:rPr>
          <w:i/>
          <w:iCs/>
          <w:lang w:val="en-US"/>
        </w:rPr>
        <w:t>The Journal of Bone &amp; Joint Surgery</w:t>
      </w:r>
      <w:r w:rsidRPr="00382DF1">
        <w:rPr>
          <w:lang w:val="en-US"/>
        </w:rPr>
        <w:t>.</w:t>
      </w:r>
    </w:p>
    <w:p w14:paraId="21AF337D" w14:textId="77777777" w:rsidR="00754D07" w:rsidRPr="00382DF1" w:rsidRDefault="00754D07" w:rsidP="00754D07">
      <w:pPr>
        <w:jc w:val="both"/>
        <w:rPr>
          <w:lang w:val="en-US"/>
        </w:rPr>
      </w:pPr>
      <w:r w:rsidRPr="00382DF1">
        <w:rPr>
          <w:lang w:val="en-US"/>
        </w:rPr>
        <w:t xml:space="preserve">Shakoor, N. et al. </w:t>
      </w:r>
      <w:r w:rsidRPr="00754D07">
        <w:t xml:space="preserve">(2002). </w:t>
      </w:r>
      <w:r w:rsidRPr="00382DF1">
        <w:rPr>
          <w:i/>
          <w:iCs/>
          <w:lang w:val="en-US"/>
        </w:rPr>
        <w:t>Anterior and Posterior Cruciate Ligaments Mechanoreceptors: A Review of Basic Science</w:t>
      </w:r>
      <w:r w:rsidRPr="00382DF1">
        <w:rPr>
          <w:lang w:val="en-US"/>
        </w:rPr>
        <w:t xml:space="preserve">. </w:t>
      </w:r>
      <w:r w:rsidRPr="00382DF1">
        <w:rPr>
          <w:i/>
          <w:iCs/>
          <w:lang w:val="en-US"/>
        </w:rPr>
        <w:t>Journal of Orthopaedic Research</w:t>
      </w:r>
      <w:r w:rsidRPr="00382DF1">
        <w:rPr>
          <w:lang w:val="en-US"/>
        </w:rPr>
        <w:t>.</w:t>
      </w:r>
    </w:p>
    <w:p w14:paraId="780158AF" w14:textId="74563848" w:rsidR="00754D07" w:rsidRPr="00382DF1" w:rsidRDefault="00754D07" w:rsidP="00754D07">
      <w:pPr>
        <w:jc w:val="both"/>
        <w:rPr>
          <w:lang w:val="en-US"/>
        </w:rPr>
      </w:pPr>
      <w:r w:rsidRPr="00382DF1">
        <w:rPr>
          <w:lang w:val="en-US"/>
        </w:rPr>
        <w:t xml:space="preserve">Vilensky, J. A. et al. (2002). Quantification of mechanoreceptors in the canine anterior cruciate ligament. </w:t>
      </w:r>
      <w:r w:rsidRPr="00382DF1">
        <w:rPr>
          <w:i/>
          <w:iCs/>
          <w:lang w:val="en-US"/>
        </w:rPr>
        <w:t>The Anatomical Record</w:t>
      </w:r>
      <w:r w:rsidRPr="00382DF1">
        <w:rPr>
          <w:lang w:val="en-US"/>
        </w:rPr>
        <w:t>.</w:t>
      </w:r>
    </w:p>
    <w:p w14:paraId="2B7E9EAD" w14:textId="2ABA1998" w:rsidR="00754D07" w:rsidRPr="00382DF1" w:rsidRDefault="00754D07" w:rsidP="00754D07">
      <w:pPr>
        <w:jc w:val="both"/>
        <w:rPr>
          <w:lang w:val="en-US"/>
        </w:rPr>
      </w:pPr>
      <w:r w:rsidRPr="00382DF1">
        <w:rPr>
          <w:lang w:val="en-US"/>
        </w:rPr>
        <w:t xml:space="preserve">Wang, J. et al. (2024). </w:t>
      </w:r>
      <w:r w:rsidRPr="00382DF1">
        <w:rPr>
          <w:i/>
          <w:iCs/>
          <w:lang w:val="en-US"/>
        </w:rPr>
        <w:t>Brain activation after repairing the anterior cruciate ligament injury in rabbits with piezoelectric nanomaterial: A fMRI study</w:t>
      </w:r>
      <w:r w:rsidRPr="00382DF1">
        <w:rPr>
          <w:lang w:val="en-US"/>
        </w:rPr>
        <w:t xml:space="preserve">. </w:t>
      </w:r>
      <w:r w:rsidRPr="00382DF1">
        <w:rPr>
          <w:i/>
          <w:iCs/>
          <w:lang w:val="en-US"/>
        </w:rPr>
        <w:t>Journal of Neuroengineering and Rehabilitation</w:t>
      </w:r>
      <w:r w:rsidRPr="00382DF1">
        <w:rPr>
          <w:lang w:val="en-US"/>
        </w:rPr>
        <w:t>.</w:t>
      </w:r>
    </w:p>
    <w:p w14:paraId="3C35932C" w14:textId="4074A460" w:rsidR="00754D07" w:rsidRPr="00382DF1" w:rsidRDefault="00754D07" w:rsidP="00754D07">
      <w:pPr>
        <w:jc w:val="both"/>
        <w:rPr>
          <w:lang w:val="en-US"/>
        </w:rPr>
      </w:pPr>
      <w:r w:rsidRPr="00382DF1">
        <w:rPr>
          <w:lang w:val="en-US"/>
        </w:rPr>
        <w:t xml:space="preserve">Zidorn, T. et al. (2021). </w:t>
      </w:r>
      <w:r w:rsidRPr="00382DF1">
        <w:rPr>
          <w:i/>
          <w:iCs/>
          <w:lang w:val="en-US"/>
        </w:rPr>
        <w:t>Disrupted sensorimotor control after ACL injury: from mechanoreceptor degeneration to neuroplasticity-oriented rehabilitation</w:t>
      </w:r>
      <w:r w:rsidRPr="00382DF1">
        <w:rPr>
          <w:lang w:val="en-US"/>
        </w:rPr>
        <w:t xml:space="preserve">. </w:t>
      </w:r>
      <w:r w:rsidRPr="00382DF1">
        <w:rPr>
          <w:i/>
          <w:iCs/>
          <w:lang w:val="en-US"/>
        </w:rPr>
        <w:t>Frontiers in Human Neuroscience</w:t>
      </w:r>
      <w:r w:rsidRPr="00382DF1">
        <w:rPr>
          <w:lang w:val="en-US"/>
        </w:rPr>
        <w:t>.</w:t>
      </w:r>
    </w:p>
    <w:p w14:paraId="6E5BC9C3" w14:textId="77777777" w:rsidR="00754D07" w:rsidRPr="00DD6477" w:rsidRDefault="00754D07" w:rsidP="00754D07">
      <w:pPr>
        <w:jc w:val="both"/>
      </w:pPr>
      <w:r w:rsidRPr="00382DF1">
        <w:rPr>
          <w:lang w:val="en-US"/>
        </w:rPr>
        <w:t xml:space="preserve">Vasseur, P. B. et al. (1985). </w:t>
      </w:r>
      <w:r w:rsidRPr="00382DF1">
        <w:rPr>
          <w:i/>
          <w:iCs/>
          <w:lang w:val="en-US"/>
        </w:rPr>
        <w:t>Morphologic and Functional Features of the Canine Cruciate Ligaments.</w:t>
      </w:r>
      <w:r w:rsidRPr="00382DF1">
        <w:rPr>
          <w:lang w:val="en-US"/>
        </w:rPr>
        <w:t xml:space="preserve"> </w:t>
      </w:r>
      <w:r w:rsidRPr="00754D07">
        <w:rPr>
          <w:i/>
          <w:iCs/>
        </w:rPr>
        <w:t>Veterinary</w:t>
      </w:r>
      <w:r w:rsidRPr="00DD6477">
        <w:rPr>
          <w:i/>
          <w:iCs/>
        </w:rPr>
        <w:t xml:space="preserve"> </w:t>
      </w:r>
      <w:r w:rsidRPr="00754D07">
        <w:rPr>
          <w:i/>
          <w:iCs/>
        </w:rPr>
        <w:t>Surgery</w:t>
      </w:r>
    </w:p>
    <w:p w14:paraId="70EAC56D" w14:textId="36E9657F" w:rsidR="00B649F5" w:rsidRPr="00B649F5" w:rsidRDefault="00B649F5" w:rsidP="00B649F5">
      <w:pPr>
        <w:jc w:val="both"/>
        <w:rPr>
          <w:b/>
          <w:bCs/>
        </w:rPr>
      </w:pPr>
    </w:p>
    <w:p w14:paraId="477BC963" w14:textId="77777777" w:rsidR="00B649F5" w:rsidRPr="00B649F5" w:rsidRDefault="00B649F5" w:rsidP="00B649F5">
      <w:pPr>
        <w:jc w:val="both"/>
      </w:pPr>
    </w:p>
    <w:p w14:paraId="4F67D534" w14:textId="77777777" w:rsidR="00367A3A" w:rsidRPr="00367A3A" w:rsidRDefault="00367A3A" w:rsidP="00367A3A">
      <w:pPr>
        <w:jc w:val="both"/>
      </w:pPr>
    </w:p>
    <w:p w14:paraId="168F7E23" w14:textId="77777777" w:rsidR="00DD6477" w:rsidRPr="00DD6477" w:rsidRDefault="00DD6477" w:rsidP="00DD6477">
      <w:pPr>
        <w:jc w:val="both"/>
      </w:pPr>
      <w:r w:rsidRPr="00DD6477">
        <w:rPr>
          <w:b/>
          <w:bCs/>
        </w:rPr>
        <w:lastRenderedPageBreak/>
        <w:t>Χρόνια Νεφρική Νόσος : Ο ρόλος των βλαστοκυττάρων στην αναγέννηση του νεφρού</w:t>
      </w:r>
    </w:p>
    <w:p w14:paraId="19E6C5D5" w14:textId="77777777" w:rsidR="00DD6477" w:rsidRPr="00DD6477" w:rsidRDefault="00DD6477" w:rsidP="00DD6477">
      <w:pPr>
        <w:jc w:val="both"/>
      </w:pPr>
      <w:r w:rsidRPr="00DD6477">
        <w:t>Ρίγγα Αλεξία</w:t>
      </w:r>
      <w:r w:rsidRPr="00DD6477">
        <w:rPr>
          <w:vertAlign w:val="superscript"/>
        </w:rPr>
        <w:t>1</w:t>
      </w:r>
      <w:r w:rsidRPr="00DD6477">
        <w:t>, Δήμογλη Ξένη-Ελευθερία</w:t>
      </w:r>
      <w:r w:rsidRPr="00DD6477">
        <w:rPr>
          <w:u w:val="single"/>
          <w:vertAlign w:val="superscript"/>
        </w:rPr>
        <w:t>1</w:t>
      </w:r>
      <w:r w:rsidRPr="00DD6477">
        <w:t>, Χατζής Εμμανουήλ</w:t>
      </w:r>
      <w:r w:rsidRPr="00DD6477">
        <w:rPr>
          <w:vertAlign w:val="superscript"/>
        </w:rPr>
        <w:t>2</w:t>
      </w:r>
      <w:r w:rsidRPr="00DD6477">
        <w:t>, Παππάς Ιωάννης</w:t>
      </w:r>
      <w:r w:rsidRPr="00DD6477">
        <w:rPr>
          <w:vertAlign w:val="superscript"/>
        </w:rPr>
        <w:t>3</w:t>
      </w:r>
      <w:r w:rsidRPr="00DD6477">
        <w:t>, Παππά Έλενα</w:t>
      </w:r>
      <w:r w:rsidRPr="00DD6477">
        <w:rPr>
          <w:vertAlign w:val="superscript"/>
        </w:rPr>
        <w:t>4</w:t>
      </w:r>
    </w:p>
    <w:p w14:paraId="454029EF" w14:textId="77777777" w:rsidR="00DD6477" w:rsidRPr="00DD6477" w:rsidRDefault="00DD6477" w:rsidP="00DD6477">
      <w:pPr>
        <w:numPr>
          <w:ilvl w:val="0"/>
          <w:numId w:val="9"/>
        </w:numPr>
        <w:jc w:val="both"/>
      </w:pPr>
      <w:r w:rsidRPr="00DD6477">
        <w:t>Προπτυχιακή φοιτήτρια, Τμήμα Κτηνιατρικής, Σχολή Επιστημών Υγείας, Πανεπιστήμιο Θεσσαλίας</w:t>
      </w:r>
    </w:p>
    <w:p w14:paraId="4995A072" w14:textId="77777777" w:rsidR="00DD6477" w:rsidRPr="00DD6477" w:rsidRDefault="00DD6477" w:rsidP="00DD6477">
      <w:pPr>
        <w:numPr>
          <w:ilvl w:val="0"/>
          <w:numId w:val="9"/>
        </w:numPr>
        <w:jc w:val="both"/>
      </w:pPr>
      <w:r w:rsidRPr="00DD6477">
        <w:t>Μεταδιδακτορικός Ερευνητής, Διδάσκων , Τμήμα Κτηνιατρικής, Σχολή Επιστημών Υγείας, Πανεπιστήμιο Θεσσαλίας</w:t>
      </w:r>
    </w:p>
    <w:p w14:paraId="0C392177" w14:textId="77777777" w:rsidR="00DD6477" w:rsidRPr="00DD6477" w:rsidRDefault="00DD6477" w:rsidP="00DD6477">
      <w:pPr>
        <w:numPr>
          <w:ilvl w:val="0"/>
          <w:numId w:val="9"/>
        </w:numPr>
        <w:jc w:val="both"/>
      </w:pPr>
      <w:r w:rsidRPr="00DD6477">
        <w:t>Καθηγητής, Εργαστήριο Φαρμακολογίας και Τοξικολογίας, Τμήμα Κτηνιατρικής, Σχολή Επιστημών Υγείας, Πανεπιστήμιο Θεσσαλίας</w:t>
      </w:r>
    </w:p>
    <w:p w14:paraId="06C582DD" w14:textId="77777777" w:rsidR="00DD6477" w:rsidRPr="00DD6477" w:rsidRDefault="00DD6477" w:rsidP="00DD6477">
      <w:pPr>
        <w:numPr>
          <w:ilvl w:val="0"/>
          <w:numId w:val="9"/>
        </w:numPr>
        <w:jc w:val="both"/>
      </w:pPr>
      <w:r w:rsidRPr="00DD6477">
        <w:t>Κτηνίατρος, Συμβασιούχος Διδάσκουσα Χειρουργικής, Τμήμα Κτηνιατρικής, Σχολή Επιστημών Υγείας, Πανεπιστήμιο Θεσσαλίας</w:t>
      </w:r>
    </w:p>
    <w:p w14:paraId="252D2854" w14:textId="77777777" w:rsidR="00DD6477" w:rsidRPr="00DD6477" w:rsidRDefault="00DD6477" w:rsidP="00DD6477">
      <w:pPr>
        <w:ind w:left="720"/>
        <w:jc w:val="both"/>
      </w:pPr>
    </w:p>
    <w:p w14:paraId="623A0757" w14:textId="77777777" w:rsidR="00DD6477" w:rsidRPr="00DD6477" w:rsidRDefault="00DD6477" w:rsidP="00DD6477">
      <w:pPr>
        <w:jc w:val="both"/>
      </w:pPr>
      <w:r w:rsidRPr="00DD6477">
        <w:rPr>
          <w:b/>
          <w:bCs/>
        </w:rPr>
        <w:t>Περίληψη</w:t>
      </w:r>
    </w:p>
    <w:p w14:paraId="67387124" w14:textId="77777777" w:rsidR="00DD6477" w:rsidRPr="00DD6477" w:rsidRDefault="00DD6477" w:rsidP="00DD6477">
      <w:pPr>
        <w:jc w:val="both"/>
      </w:pPr>
      <w:r w:rsidRPr="00DD6477">
        <w:t>Η Χρόνια Νεφρική Νόσος (ΧΝΝ) αποτελεί μια προοδευτική και μη αναστρέψιμη πάθηση με σημαντική επίπτωση στην υγεία του σκύλου και της γάτας, καθώς οδηγεί σε σταδιακή απώλεια της νεφρικής λειτουργίας. Οι συμβατικές θεραπευτικές επιλογές είναι περιορισμένες και δεν αποσκοπούν στην πλήρη ίαση, επομένως, είναι απαραίτητο να διερευνηθούν νέες θεραπευτικές προσεγγίσεις. Το ενδεχόμενο αναγέννησης του νεφρικού ιστού μέσω της χρήσης βλαστοκυττάρων αποτελεί μια τέτοια προοπτική, ωστόσο είναι απαραίτητη η περαιτέρω έρευνα η οποία να εστιάζει στους μηχανισμούς δράσης τους και στη δυνητική τους εφαρμογή στη ΧΝΝ. Τα βλαστοκύτταρα εμφανίζουν αναγεννητικές και ανοσοτροποποιητικές ιδιότητες, συμβάλλοντας στη μείωση της φλεγμονής και της ίνωσης, καθώς και στην αποκατάσταση της νεφρικής λειτουργίας. Παρά τα ενθαρρυντικά αποτελέσματα από πειραματικές και κλινικές μελέτες, η αποτελεσματικότητα και η ασφάλεια της θεραπείας δεν έχουν ακόμη πλήρως τεκμηριωθεί. Συνεπώς, ο καθορισμός πρωτοκόλλων και η αξιολόγηση της μακροχρόνιας επίδρασης της θεραπείας είναι απαραίτητα. Η αξιοποίηση των βλαστοκυττάρων ενδέχεται στο μέλλον να αποτελέσει μια καινοτόμο θεραπευτική προσέγγιση με στόχο όχι μόνο την επιβράδυνση αλλά και την αναστροφή της ΧΝΝ.</w:t>
      </w:r>
    </w:p>
    <w:p w14:paraId="7B59586D" w14:textId="77777777" w:rsidR="00DD6477" w:rsidRPr="00DD6477" w:rsidRDefault="00DD6477" w:rsidP="00DD6477">
      <w:pPr>
        <w:jc w:val="both"/>
      </w:pPr>
    </w:p>
    <w:p w14:paraId="2DA25272" w14:textId="77777777" w:rsidR="00DD6477" w:rsidRPr="00DD6477" w:rsidRDefault="00DD6477" w:rsidP="00DD6477">
      <w:pPr>
        <w:jc w:val="both"/>
      </w:pPr>
      <w:r w:rsidRPr="00DD6477">
        <w:rPr>
          <w:b/>
          <w:bCs/>
        </w:rPr>
        <w:t>Βιβλιογραφία </w:t>
      </w:r>
    </w:p>
    <w:p w14:paraId="4741BB33" w14:textId="77777777" w:rsidR="00DD6477" w:rsidRPr="00382DF1" w:rsidRDefault="00DD6477" w:rsidP="00DD6477">
      <w:pPr>
        <w:jc w:val="both"/>
        <w:rPr>
          <w:lang w:val="en-US"/>
        </w:rPr>
      </w:pPr>
      <w:r w:rsidRPr="00DD6477">
        <w:t xml:space="preserve">Banndi, G., Katam, P. S., Abiramy, P., &amp; Vijayalakshmi, P. (2024). </w:t>
      </w:r>
      <w:r w:rsidRPr="00382DF1">
        <w:rPr>
          <w:i/>
          <w:iCs/>
          <w:lang w:val="en-US"/>
        </w:rPr>
        <w:t>Chronic kidney disease in dogs: A comprehensive review. International Journal of Advanced Biochemistry Research, 8</w:t>
      </w:r>
      <w:r w:rsidRPr="00382DF1">
        <w:rPr>
          <w:lang w:val="en-US"/>
        </w:rPr>
        <w:t>(12S), 1099–1105.</w:t>
      </w:r>
    </w:p>
    <w:p w14:paraId="3FB780EC" w14:textId="77777777" w:rsidR="00DD6477" w:rsidRPr="00382DF1" w:rsidRDefault="00DD6477" w:rsidP="00DD6477">
      <w:pPr>
        <w:jc w:val="both"/>
        <w:rPr>
          <w:lang w:val="en-US"/>
        </w:rPr>
      </w:pPr>
      <w:r w:rsidRPr="00382DF1">
        <w:rPr>
          <w:lang w:val="en-US"/>
        </w:rPr>
        <w:t>Bartges, J. W. (2012).</w:t>
      </w:r>
      <w:r w:rsidRPr="00382DF1">
        <w:rPr>
          <w:i/>
          <w:iCs/>
          <w:lang w:val="en-US"/>
        </w:rPr>
        <w:t xml:space="preserve"> Chronic kidney disease in dogs and cats. Veterinary Clinics of North America: Small Animal Practice, 42</w:t>
      </w:r>
      <w:r w:rsidRPr="00382DF1">
        <w:rPr>
          <w:lang w:val="en-US"/>
        </w:rPr>
        <w:t>(4), 669–692.</w:t>
      </w:r>
    </w:p>
    <w:p w14:paraId="7DD9BF10" w14:textId="77777777" w:rsidR="00DD6477" w:rsidRPr="00382DF1" w:rsidRDefault="00DD6477" w:rsidP="00DD6477">
      <w:pPr>
        <w:jc w:val="both"/>
        <w:rPr>
          <w:lang w:val="en-US"/>
        </w:rPr>
      </w:pPr>
      <w:r w:rsidRPr="00382DF1">
        <w:rPr>
          <w:lang w:val="en-US"/>
        </w:rPr>
        <w:t xml:space="preserve">Cianciolo, R., Hokamp, J., &amp; Nabity, M. (2016). </w:t>
      </w:r>
      <w:r w:rsidRPr="00382DF1">
        <w:rPr>
          <w:i/>
          <w:iCs/>
          <w:lang w:val="en-US"/>
        </w:rPr>
        <w:t>Advances in the evaluation of canine renal disease</w:t>
      </w:r>
      <w:r w:rsidRPr="00382DF1">
        <w:rPr>
          <w:lang w:val="en-US"/>
        </w:rPr>
        <w:t xml:space="preserve">. </w:t>
      </w:r>
      <w:r w:rsidRPr="00382DF1">
        <w:rPr>
          <w:i/>
          <w:iCs/>
          <w:lang w:val="en-US"/>
        </w:rPr>
        <w:t>The Veterinary Journal, 215</w:t>
      </w:r>
      <w:r w:rsidRPr="00382DF1">
        <w:rPr>
          <w:lang w:val="en-US"/>
        </w:rPr>
        <w:t>, 21–29.</w:t>
      </w:r>
    </w:p>
    <w:p w14:paraId="621427A9" w14:textId="77777777" w:rsidR="00DD6477" w:rsidRPr="00382DF1" w:rsidRDefault="00DD6477" w:rsidP="00DD6477">
      <w:pPr>
        <w:jc w:val="both"/>
        <w:rPr>
          <w:lang w:val="fr-FR"/>
        </w:rPr>
      </w:pPr>
      <w:r w:rsidRPr="00382DF1">
        <w:rPr>
          <w:lang w:val="en-US"/>
        </w:rPr>
        <w:t xml:space="preserve">Dadousis, C., Whetton, A. D., Mwacalimba, K., Merlo, A., Wright, A., &amp; Geifman, N. (2024). </w:t>
      </w:r>
      <w:r w:rsidRPr="00382DF1">
        <w:rPr>
          <w:i/>
          <w:iCs/>
          <w:lang w:val="en-US"/>
        </w:rPr>
        <w:t>Renal disease in cats and dogs—Lessons learned from text-mined trends in humans</w:t>
      </w:r>
      <w:r w:rsidRPr="00382DF1">
        <w:rPr>
          <w:lang w:val="en-US"/>
        </w:rPr>
        <w:t xml:space="preserve">. </w:t>
      </w:r>
      <w:r w:rsidRPr="00382DF1">
        <w:rPr>
          <w:i/>
          <w:iCs/>
          <w:lang w:val="fr-FR"/>
        </w:rPr>
        <w:t>Animals, 14</w:t>
      </w:r>
      <w:r w:rsidRPr="00382DF1">
        <w:rPr>
          <w:lang w:val="fr-FR"/>
        </w:rPr>
        <w:t>(23), 3349.</w:t>
      </w:r>
    </w:p>
    <w:p w14:paraId="4B7B9382" w14:textId="135FED02" w:rsidR="00DD6477" w:rsidRPr="00382DF1" w:rsidRDefault="00DD6477" w:rsidP="00DD6477">
      <w:pPr>
        <w:jc w:val="both"/>
        <w:rPr>
          <w:lang w:val="en-US"/>
        </w:rPr>
      </w:pPr>
      <w:r w:rsidRPr="00DD6477">
        <w:lastRenderedPageBreak/>
        <w:t>Τ</w:t>
      </w:r>
      <w:r w:rsidRPr="00382DF1">
        <w:rPr>
          <w:lang w:val="fr-FR"/>
        </w:rPr>
        <w:t xml:space="preserve">a Silva Meirelles, L., Bieback, K., &amp; Bolontrade, M. F. (2021). </w:t>
      </w:r>
      <w:r w:rsidRPr="00382DF1">
        <w:rPr>
          <w:i/>
          <w:iCs/>
          <w:lang w:val="en-US"/>
        </w:rPr>
        <w:t>Editorial: Current progress in mesenchymal stem/stromal cell research</w:t>
      </w:r>
      <w:r w:rsidRPr="00382DF1">
        <w:rPr>
          <w:lang w:val="en-US"/>
        </w:rPr>
        <w:t xml:space="preserve">. </w:t>
      </w:r>
      <w:r w:rsidRPr="00382DF1">
        <w:rPr>
          <w:i/>
          <w:iCs/>
          <w:lang w:val="en-US"/>
        </w:rPr>
        <w:t>Frontiers in Cell and Developmental Biology, 9</w:t>
      </w:r>
      <w:r w:rsidRPr="00382DF1">
        <w:rPr>
          <w:lang w:val="en-US"/>
        </w:rPr>
        <w:t>, 658903.</w:t>
      </w:r>
    </w:p>
    <w:p w14:paraId="5ED6BD7D" w14:textId="77777777" w:rsidR="00DD6477" w:rsidRPr="00382DF1" w:rsidRDefault="00DD6477" w:rsidP="00DD6477">
      <w:pPr>
        <w:jc w:val="both"/>
        <w:rPr>
          <w:lang w:val="en-US"/>
        </w:rPr>
      </w:pPr>
      <w:r w:rsidRPr="00382DF1">
        <w:rPr>
          <w:lang w:val="en-US"/>
        </w:rPr>
        <w:t xml:space="preserve">Morawska-Kozłowska, M., Pitas, M., &amp; Zhalniarovich, Y. (2025). </w:t>
      </w:r>
      <w:r w:rsidRPr="00382DF1">
        <w:rPr>
          <w:i/>
          <w:iCs/>
          <w:lang w:val="en-US"/>
        </w:rPr>
        <w:t>Mesenchymal stem cells in veterinary medicine—Still untapped potential</w:t>
      </w:r>
      <w:r w:rsidRPr="00382DF1">
        <w:rPr>
          <w:lang w:val="en-US"/>
        </w:rPr>
        <w:t xml:space="preserve">. </w:t>
      </w:r>
      <w:r w:rsidRPr="00382DF1">
        <w:rPr>
          <w:i/>
          <w:iCs/>
          <w:lang w:val="en-US"/>
        </w:rPr>
        <w:t>Animals, 15</w:t>
      </w:r>
      <w:r w:rsidRPr="00382DF1">
        <w:rPr>
          <w:lang w:val="en-US"/>
        </w:rPr>
        <w:t>(8), 1175.</w:t>
      </w:r>
    </w:p>
    <w:p w14:paraId="6F304763" w14:textId="77777777" w:rsidR="00DD6477" w:rsidRPr="00382DF1" w:rsidRDefault="00DD6477" w:rsidP="00DD6477">
      <w:pPr>
        <w:jc w:val="both"/>
        <w:rPr>
          <w:lang w:val="en-US"/>
        </w:rPr>
      </w:pPr>
      <w:r w:rsidRPr="00382DF1">
        <w:rPr>
          <w:lang w:val="en-US"/>
        </w:rPr>
        <w:t xml:space="preserve">Nogueira, A., Pires, M. J., &amp; Oliveira, P. A. (2017). </w:t>
      </w:r>
      <w:r w:rsidRPr="00382DF1">
        <w:rPr>
          <w:i/>
          <w:iCs/>
          <w:lang w:val="en-US"/>
        </w:rPr>
        <w:t>Pathophysiological mechanisms of renal fibrosis: A review of animal models and therapeutic strategies</w:t>
      </w:r>
      <w:r w:rsidRPr="00382DF1">
        <w:rPr>
          <w:lang w:val="en-US"/>
        </w:rPr>
        <w:t xml:space="preserve">. </w:t>
      </w:r>
      <w:r w:rsidRPr="00382DF1">
        <w:rPr>
          <w:i/>
          <w:iCs/>
          <w:lang w:val="en-US"/>
        </w:rPr>
        <w:t>In Vivo, 31</w:t>
      </w:r>
      <w:r w:rsidRPr="00382DF1">
        <w:rPr>
          <w:lang w:val="en-US"/>
        </w:rPr>
        <w:t>(1), 1–22.</w:t>
      </w:r>
    </w:p>
    <w:p w14:paraId="2A2F9F25" w14:textId="77777777" w:rsidR="00DD6477" w:rsidRPr="00382DF1" w:rsidRDefault="00DD6477" w:rsidP="00DD6477">
      <w:pPr>
        <w:jc w:val="both"/>
        <w:rPr>
          <w:lang w:val="en-US"/>
        </w:rPr>
      </w:pPr>
      <w:r w:rsidRPr="00382DF1">
        <w:rPr>
          <w:lang w:val="en-US"/>
        </w:rPr>
        <w:t xml:space="preserve">Quimby, J. M. (2019). </w:t>
      </w:r>
      <w:r w:rsidRPr="00382DF1">
        <w:rPr>
          <w:i/>
          <w:iCs/>
          <w:lang w:val="en-US"/>
        </w:rPr>
        <w:t>Stem cell therapy</w:t>
      </w:r>
      <w:r w:rsidRPr="00382DF1">
        <w:rPr>
          <w:lang w:val="en-US"/>
        </w:rPr>
        <w:t xml:space="preserve">. </w:t>
      </w:r>
      <w:r w:rsidRPr="00382DF1">
        <w:rPr>
          <w:i/>
          <w:iCs/>
          <w:lang w:val="en-US"/>
        </w:rPr>
        <w:t>Veterinary Clinics of North America: Small Animal Practice, 49</w:t>
      </w:r>
      <w:r w:rsidRPr="00382DF1">
        <w:rPr>
          <w:lang w:val="en-US"/>
        </w:rPr>
        <w:t>(2), 223–231.</w:t>
      </w:r>
    </w:p>
    <w:p w14:paraId="7FF923C8" w14:textId="77777777" w:rsidR="00DD6477" w:rsidRPr="00382DF1" w:rsidRDefault="00DD6477" w:rsidP="00DD6477">
      <w:pPr>
        <w:jc w:val="both"/>
        <w:rPr>
          <w:lang w:val="en-US"/>
        </w:rPr>
      </w:pPr>
      <w:r w:rsidRPr="00382DF1">
        <w:rPr>
          <w:lang w:val="en-US"/>
        </w:rPr>
        <w:t xml:space="preserve">Voga, M., Adamic, N., Vengust, M., &amp; Majdic, G. (2020). </w:t>
      </w:r>
      <w:r w:rsidRPr="00382DF1">
        <w:rPr>
          <w:i/>
          <w:iCs/>
          <w:lang w:val="en-US"/>
        </w:rPr>
        <w:t>Stem cells in veterinary medicine—Current state and treatment options</w:t>
      </w:r>
      <w:r w:rsidRPr="00382DF1">
        <w:rPr>
          <w:lang w:val="en-US"/>
        </w:rPr>
        <w:t xml:space="preserve">. </w:t>
      </w:r>
      <w:r w:rsidRPr="00382DF1">
        <w:rPr>
          <w:i/>
          <w:iCs/>
          <w:lang w:val="en-US"/>
        </w:rPr>
        <w:t>Frontiers in Veterinary Science, 7</w:t>
      </w:r>
      <w:r w:rsidRPr="00382DF1">
        <w:rPr>
          <w:lang w:val="en-US"/>
        </w:rPr>
        <w:t>, 278.</w:t>
      </w:r>
    </w:p>
    <w:p w14:paraId="13DEAB97" w14:textId="77777777" w:rsidR="00DD6477" w:rsidRPr="00382DF1" w:rsidRDefault="00DD6477" w:rsidP="00DD6477">
      <w:pPr>
        <w:jc w:val="both"/>
        <w:rPr>
          <w:lang w:val="en-US"/>
        </w:rPr>
      </w:pPr>
      <w:r w:rsidRPr="00382DF1">
        <w:rPr>
          <w:lang w:val="en-US"/>
        </w:rPr>
        <w:t xml:space="preserve">Wang, Y., Luo, P., &amp; Wuren, T. (2024). </w:t>
      </w:r>
      <w:r w:rsidRPr="00382DF1">
        <w:rPr>
          <w:i/>
          <w:iCs/>
          <w:lang w:val="en-US"/>
        </w:rPr>
        <w:t>Narrative review of mesenchymal stem cell therapy in renal diseases: Mechanisms, clinical applications, and future directions</w:t>
      </w:r>
      <w:r w:rsidRPr="00382DF1">
        <w:rPr>
          <w:lang w:val="en-US"/>
        </w:rPr>
        <w:t xml:space="preserve">. </w:t>
      </w:r>
      <w:r w:rsidRPr="00382DF1">
        <w:rPr>
          <w:i/>
          <w:iCs/>
          <w:lang w:val="en-US"/>
        </w:rPr>
        <w:t>Stem Cells International, 2024</w:t>
      </w:r>
      <w:r w:rsidRPr="00382DF1">
        <w:rPr>
          <w:lang w:val="en-US"/>
        </w:rPr>
        <w:t>, Article 8658246.</w:t>
      </w:r>
    </w:p>
    <w:p w14:paraId="6069841D" w14:textId="77777777" w:rsidR="00DD6477" w:rsidRPr="00DD6477" w:rsidRDefault="00DD6477" w:rsidP="00DD6477">
      <w:pPr>
        <w:jc w:val="both"/>
      </w:pPr>
      <w:r w:rsidRPr="00382DF1">
        <w:rPr>
          <w:lang w:val="en-US"/>
        </w:rPr>
        <w:t xml:space="preserve">Yasuda, K., Ozaki, T., Saka, Y., Yamamoto, T., Gotoh, M., Ito, Y., Yuzawa, Y., Matsuo, S., &amp; Maruyama, S. (2012). </w:t>
      </w:r>
      <w:r w:rsidRPr="00382DF1">
        <w:rPr>
          <w:i/>
          <w:iCs/>
          <w:lang w:val="en-US"/>
        </w:rPr>
        <w:t>Autologous cell therapy for cisplatin-induced acute kidney injury by using non-expanded adipose tissue-derived cells</w:t>
      </w:r>
      <w:r w:rsidRPr="00382DF1">
        <w:rPr>
          <w:lang w:val="en-US"/>
        </w:rPr>
        <w:t xml:space="preserve">. </w:t>
      </w:r>
      <w:r w:rsidRPr="00DD6477">
        <w:rPr>
          <w:i/>
          <w:iCs/>
        </w:rPr>
        <w:t>Cytotherapy, 14</w:t>
      </w:r>
      <w:r w:rsidRPr="00DD6477">
        <w:t>(9), 1089–1100.</w:t>
      </w:r>
    </w:p>
    <w:p w14:paraId="4AFE3895" w14:textId="77777777" w:rsidR="00DD6477" w:rsidRPr="00CB3A31" w:rsidRDefault="00DD6477" w:rsidP="00DD6477">
      <w:pPr>
        <w:jc w:val="both"/>
      </w:pP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p>
    <w:p w14:paraId="23198F9A" w14:textId="77777777" w:rsidR="00DD6477" w:rsidRPr="00CB3A31" w:rsidRDefault="00DD6477" w:rsidP="00DD6477">
      <w:pPr>
        <w:jc w:val="both"/>
      </w:pPr>
    </w:p>
    <w:p w14:paraId="68A32C5D" w14:textId="77777777" w:rsidR="00DD6477" w:rsidRPr="00CB3A31" w:rsidRDefault="00DD6477" w:rsidP="00DD6477">
      <w:pPr>
        <w:jc w:val="both"/>
      </w:pPr>
    </w:p>
    <w:p w14:paraId="66EC9C22" w14:textId="77777777" w:rsidR="00DD6477" w:rsidRPr="00CB3A31" w:rsidRDefault="00DD6477" w:rsidP="00DD6477">
      <w:pPr>
        <w:jc w:val="both"/>
      </w:pPr>
    </w:p>
    <w:p w14:paraId="7F0FBD1B" w14:textId="77777777" w:rsidR="00DD6477" w:rsidRPr="00CB3A31" w:rsidRDefault="00DD6477" w:rsidP="00DD6477">
      <w:pPr>
        <w:jc w:val="both"/>
      </w:pPr>
    </w:p>
    <w:p w14:paraId="5B64176C" w14:textId="77777777" w:rsidR="00DD6477" w:rsidRPr="00CB3A31" w:rsidRDefault="00DD6477" w:rsidP="00DD6477">
      <w:pPr>
        <w:jc w:val="both"/>
      </w:pPr>
    </w:p>
    <w:p w14:paraId="15CD8320" w14:textId="77777777" w:rsidR="00DD6477" w:rsidRPr="00DD6477" w:rsidRDefault="00DD6477" w:rsidP="00DD6477">
      <w:pPr>
        <w:jc w:val="both"/>
      </w:pPr>
      <w:r w:rsidRPr="00DD6477">
        <w:rPr>
          <w:b/>
          <w:bCs/>
        </w:rPr>
        <w:lastRenderedPageBreak/>
        <w:t>Εντεροπάθεια με Απώλεια Πρωτεϊνών: Παθοφυσιολογία, Διάγνωση και Κλινική Διαχείριση</w:t>
      </w:r>
    </w:p>
    <w:p w14:paraId="082C11AF" w14:textId="77777777" w:rsidR="00DD6477" w:rsidRPr="00DD6477" w:rsidRDefault="00DD6477" w:rsidP="00DD6477">
      <w:pPr>
        <w:jc w:val="both"/>
      </w:pPr>
      <w:r w:rsidRPr="00DD6477">
        <w:t>Σβετς Θεοφάνης</w:t>
      </w:r>
      <w:r w:rsidRPr="00DD6477">
        <w:rPr>
          <w:u w:val="single"/>
          <w:vertAlign w:val="superscript"/>
        </w:rPr>
        <w:t>1</w:t>
      </w:r>
      <w:r w:rsidRPr="00DD6477">
        <w:t>, Γκίκα Ελένη</w:t>
      </w:r>
      <w:r w:rsidRPr="00DD6477">
        <w:rPr>
          <w:vertAlign w:val="superscript"/>
        </w:rPr>
        <w:t>1</w:t>
      </w:r>
      <w:r w:rsidRPr="00DD6477">
        <w:t>, Χατζής Εμμανουήλ</w:t>
      </w:r>
      <w:r w:rsidRPr="00DD6477">
        <w:rPr>
          <w:vertAlign w:val="superscript"/>
        </w:rPr>
        <w:t>2</w:t>
      </w:r>
    </w:p>
    <w:p w14:paraId="1DAF1CC0" w14:textId="77777777" w:rsidR="00DD6477" w:rsidRPr="00DD6477" w:rsidRDefault="00DD6477" w:rsidP="00DD6477">
      <w:pPr>
        <w:numPr>
          <w:ilvl w:val="0"/>
          <w:numId w:val="10"/>
        </w:numPr>
        <w:jc w:val="both"/>
      </w:pPr>
      <w:r w:rsidRPr="00DD6477">
        <w:t>Προπτυχιακός Φοιτητής/-τρια, Τμήμα Κτηνιατρικής, Σχολή Επιστημών Υγείας, Πανεπιστήμιο Θεσσαλίας </w:t>
      </w:r>
    </w:p>
    <w:p w14:paraId="61EEB1BD" w14:textId="77777777" w:rsidR="00DD6477" w:rsidRPr="00DD6477" w:rsidRDefault="00DD6477" w:rsidP="00DD6477">
      <w:pPr>
        <w:numPr>
          <w:ilvl w:val="0"/>
          <w:numId w:val="10"/>
        </w:numPr>
        <w:jc w:val="both"/>
      </w:pPr>
      <w:r w:rsidRPr="00DD6477">
        <w:t>Μεταδιδακτορικός Διδάσκων, Παθολογική Κλινική, Τμήμα Κτηνιατρικής, Σχολή Επιστημών Υγείας, Πανεπιστήμιο Θεσσαλίας</w:t>
      </w:r>
    </w:p>
    <w:p w14:paraId="17FDEAFA" w14:textId="77777777" w:rsidR="00DD6477" w:rsidRPr="00DD6477" w:rsidRDefault="00DD6477" w:rsidP="00DD6477">
      <w:pPr>
        <w:ind w:left="720"/>
        <w:jc w:val="both"/>
      </w:pPr>
    </w:p>
    <w:p w14:paraId="1D257E26" w14:textId="77777777" w:rsidR="00DD6477" w:rsidRPr="00DD6477" w:rsidRDefault="00DD6477" w:rsidP="00DD6477">
      <w:pPr>
        <w:jc w:val="both"/>
      </w:pPr>
      <w:r w:rsidRPr="00DD6477">
        <w:rPr>
          <w:b/>
          <w:bCs/>
        </w:rPr>
        <w:t>Περίληψη</w:t>
      </w:r>
    </w:p>
    <w:p w14:paraId="42652D27" w14:textId="77777777" w:rsidR="00DD6477" w:rsidRPr="00DD6477" w:rsidRDefault="00DD6477" w:rsidP="00DD6477">
      <w:pPr>
        <w:jc w:val="both"/>
      </w:pPr>
      <w:r w:rsidRPr="00DD6477">
        <w:t>Η Εντεροπάθεια με Απώλεια Πρωτεϊνών (Protein-losing enteropathy, PLE) δεν αποτελεί μεμονωμένη νόσο αλλά για ένα σύνδρομο ποικίλης αιτιολογίας, με πολυδιάστατη κλινική εμφάνιση και υψηλή πιθανότητα επιπλοκών. Συναντάται με υψηλή συχνότητα στο σκύλο, και σπανιότερα στη γάτα. Η ιδιοπαθής φλεγμονώδης νόσου του εντέρου (ΙΦΝΕ), η λεμφαγγειεκτασία και το πεπτικό λέμφωμα αποτελούν τις πιο συχνές αιτίες εμφάνισης του συνδρόμου. Τα συμπτώματα ποικίλουν ανάλογα με το υποκείμενο αίτιο και συνήθως συνοδεύονται από διάρροια και απώλεια σωματικού βάρους. Στην παρούσα βιβλιογραφική ανασκόπηση, θα εστιάσουμε στην παθοφυσιολογία και  στα υποκείμενα αίτια του συνδρόμου αυτού σε νεαρά και ενήλικα ζώα, στην διαχείριση του εκάστοτε αιτίου και την αποτελεσματική θεραπεία. Τέλος, θα γίνει αναφορά στις επιπλοκές που προκύπτουν.  </w:t>
      </w:r>
    </w:p>
    <w:p w14:paraId="3E821798" w14:textId="77777777" w:rsidR="00DD6477" w:rsidRPr="00DD6477" w:rsidRDefault="00DD6477" w:rsidP="00DD6477">
      <w:pPr>
        <w:jc w:val="both"/>
      </w:pPr>
    </w:p>
    <w:p w14:paraId="1FD007AD" w14:textId="77777777" w:rsidR="00DD6477" w:rsidRPr="00DD6477" w:rsidRDefault="00DD6477" w:rsidP="00DD6477">
      <w:pPr>
        <w:jc w:val="both"/>
      </w:pPr>
      <w:r w:rsidRPr="00DD6477">
        <w:rPr>
          <w:b/>
          <w:bCs/>
        </w:rPr>
        <w:t>Βιβλιογραφία</w:t>
      </w:r>
    </w:p>
    <w:p w14:paraId="7C0BA4B3" w14:textId="032C312C" w:rsidR="00DD6477" w:rsidRPr="00382DF1" w:rsidRDefault="00DD6477" w:rsidP="00DD6477">
      <w:pPr>
        <w:jc w:val="both"/>
        <w:rPr>
          <w:lang w:val="en-US"/>
        </w:rPr>
      </w:pPr>
      <w:r w:rsidRPr="00DD6477">
        <w:t xml:space="preserve">Craven, M. D., &amp; Washabau, R. J. (2019). </w:t>
      </w:r>
      <w:r w:rsidRPr="00382DF1">
        <w:rPr>
          <w:i/>
          <w:iCs/>
          <w:lang w:val="en-US"/>
        </w:rPr>
        <w:t>Comparative pathophysiology and management of protein-losing enteropathy</w:t>
      </w:r>
      <w:r w:rsidRPr="00382DF1">
        <w:rPr>
          <w:lang w:val="en-US"/>
        </w:rPr>
        <w:t xml:space="preserve">. </w:t>
      </w:r>
      <w:r w:rsidRPr="00382DF1">
        <w:rPr>
          <w:i/>
          <w:iCs/>
          <w:lang w:val="en-US"/>
        </w:rPr>
        <w:t>Journal of Veterinary Internal Medicine</w:t>
      </w:r>
      <w:r w:rsidRPr="00382DF1">
        <w:rPr>
          <w:lang w:val="en-US"/>
        </w:rPr>
        <w:t xml:space="preserve">, </w:t>
      </w:r>
      <w:r w:rsidRPr="00382DF1">
        <w:rPr>
          <w:i/>
          <w:iCs/>
          <w:lang w:val="en-US"/>
        </w:rPr>
        <w:t>33</w:t>
      </w:r>
      <w:r w:rsidRPr="00382DF1">
        <w:rPr>
          <w:lang w:val="en-US"/>
        </w:rPr>
        <w:t>(2), 383–402.</w:t>
      </w:r>
    </w:p>
    <w:p w14:paraId="3C4D8637" w14:textId="516708E0" w:rsidR="00DD6477" w:rsidRPr="00382DF1" w:rsidRDefault="00DD6477" w:rsidP="00DD6477">
      <w:pPr>
        <w:jc w:val="both"/>
        <w:rPr>
          <w:lang w:val="en-US"/>
        </w:rPr>
      </w:pPr>
      <w:r w:rsidRPr="00382DF1">
        <w:rPr>
          <w:lang w:val="en-US"/>
        </w:rPr>
        <w:t>Dandrieux, J. R. S. (2016).</w:t>
      </w:r>
      <w:r w:rsidRPr="00382DF1">
        <w:rPr>
          <w:i/>
          <w:iCs/>
          <w:lang w:val="en-US"/>
        </w:rPr>
        <w:t xml:space="preserve"> Inflammatory bowel disease versus chronic enteropathy in dogs: are they one and the same?</w:t>
      </w:r>
      <w:r w:rsidRPr="00382DF1">
        <w:rPr>
          <w:lang w:val="en-US"/>
        </w:rPr>
        <w:t xml:space="preserve"> </w:t>
      </w:r>
      <w:r w:rsidRPr="00382DF1">
        <w:rPr>
          <w:i/>
          <w:iCs/>
          <w:lang w:val="en-US"/>
        </w:rPr>
        <w:t>Journal of Small Animal Practice</w:t>
      </w:r>
      <w:r w:rsidRPr="00382DF1">
        <w:rPr>
          <w:lang w:val="en-US"/>
        </w:rPr>
        <w:t xml:space="preserve">, </w:t>
      </w:r>
      <w:r w:rsidRPr="00382DF1">
        <w:rPr>
          <w:i/>
          <w:iCs/>
          <w:lang w:val="en-US"/>
        </w:rPr>
        <w:t>57</w:t>
      </w:r>
      <w:r w:rsidRPr="00382DF1">
        <w:rPr>
          <w:lang w:val="en-US"/>
        </w:rPr>
        <w:t>(11), 589–599. </w:t>
      </w:r>
    </w:p>
    <w:p w14:paraId="1F90978B" w14:textId="78CC5370" w:rsidR="00DD6477" w:rsidRPr="00382DF1" w:rsidRDefault="00DD6477" w:rsidP="00DD6477">
      <w:pPr>
        <w:jc w:val="both"/>
        <w:rPr>
          <w:lang w:val="en-US"/>
        </w:rPr>
      </w:pPr>
      <w:r w:rsidRPr="00382DF1">
        <w:rPr>
          <w:lang w:val="en-US"/>
        </w:rPr>
        <w:t xml:space="preserve">Fong, K. Y. M., Oikonomidis, I. L., Leong, D., Lo, G., Heal, J., &amp; Woods, G. (2024). </w:t>
      </w:r>
      <w:r w:rsidRPr="00382DF1">
        <w:rPr>
          <w:i/>
          <w:iCs/>
          <w:lang w:val="en-US"/>
        </w:rPr>
        <w:t>Hypoalbuminaemia and its association with disease and clinical outcomes in cats</w:t>
      </w:r>
      <w:r w:rsidRPr="00382DF1">
        <w:rPr>
          <w:lang w:val="en-US"/>
        </w:rPr>
        <w:t xml:space="preserve">. </w:t>
      </w:r>
      <w:r w:rsidRPr="00382DF1">
        <w:rPr>
          <w:i/>
          <w:iCs/>
          <w:lang w:val="en-US"/>
        </w:rPr>
        <w:t>Journal of Small Animal Practice</w:t>
      </w:r>
      <w:r w:rsidRPr="00382DF1">
        <w:rPr>
          <w:lang w:val="en-US"/>
        </w:rPr>
        <w:t xml:space="preserve">, </w:t>
      </w:r>
      <w:r w:rsidRPr="00382DF1">
        <w:rPr>
          <w:i/>
          <w:iCs/>
          <w:lang w:val="en-US"/>
        </w:rPr>
        <w:t>65</w:t>
      </w:r>
      <w:r w:rsidRPr="00382DF1">
        <w:rPr>
          <w:lang w:val="en-US"/>
        </w:rPr>
        <w:t>(10), 721–729.</w:t>
      </w:r>
    </w:p>
    <w:p w14:paraId="259BEBE4" w14:textId="51A9ED44" w:rsidR="00DD6477" w:rsidRPr="00382DF1" w:rsidRDefault="00DD6477" w:rsidP="00DD6477">
      <w:pPr>
        <w:jc w:val="both"/>
        <w:rPr>
          <w:lang w:val="en-US"/>
        </w:rPr>
      </w:pPr>
      <w:r w:rsidRPr="00382DF1">
        <w:rPr>
          <w:lang w:val="en-US"/>
        </w:rPr>
        <w:t xml:space="preserve">Heilmann, R. M., Jergens, A. E., Kathrani, A., Allenspach, K., Salavati Schmitz, S., Priestnall, S. L., Dandrieux, J. R. S., &amp; O’Connor, A. M. (2026). </w:t>
      </w:r>
      <w:r w:rsidRPr="00382DF1">
        <w:rPr>
          <w:i/>
          <w:iCs/>
          <w:lang w:val="en-US"/>
        </w:rPr>
        <w:t>ACVIM–endorsed statement: consensus statement and systematic review on guidelines for the diagnosis and treatment of chronic inflammatory enteropathy in dogs.</w:t>
      </w:r>
      <w:r w:rsidRPr="00382DF1">
        <w:rPr>
          <w:lang w:val="en-US"/>
        </w:rPr>
        <w:t xml:space="preserve"> </w:t>
      </w:r>
      <w:r w:rsidRPr="00382DF1">
        <w:rPr>
          <w:i/>
          <w:iCs/>
          <w:lang w:val="en-US"/>
        </w:rPr>
        <w:t>Journal of Veterinary Internal Medicine</w:t>
      </w:r>
      <w:r w:rsidRPr="00382DF1">
        <w:rPr>
          <w:lang w:val="en-US"/>
        </w:rPr>
        <w:t xml:space="preserve">, </w:t>
      </w:r>
      <w:r w:rsidRPr="00382DF1">
        <w:rPr>
          <w:i/>
          <w:iCs/>
          <w:lang w:val="en-US"/>
        </w:rPr>
        <w:t>40</w:t>
      </w:r>
      <w:r w:rsidRPr="00382DF1">
        <w:rPr>
          <w:lang w:val="en-US"/>
        </w:rPr>
        <w:t>(1), aalaf017. </w:t>
      </w:r>
    </w:p>
    <w:p w14:paraId="6E478E18" w14:textId="7F003406" w:rsidR="00DD6477" w:rsidRPr="00382DF1" w:rsidRDefault="00DD6477" w:rsidP="00DD6477">
      <w:pPr>
        <w:jc w:val="both"/>
        <w:rPr>
          <w:lang w:val="en-US"/>
        </w:rPr>
      </w:pPr>
      <w:r w:rsidRPr="00382DF1">
        <w:rPr>
          <w:lang w:val="en-US"/>
        </w:rPr>
        <w:t xml:space="preserve">Jablonski, S. A., Mazepa, A. S. W., &amp; Tolbert, M. K. (2024). </w:t>
      </w:r>
      <w:r w:rsidRPr="00382DF1">
        <w:rPr>
          <w:i/>
          <w:iCs/>
          <w:lang w:val="en-US"/>
        </w:rPr>
        <w:t>Use of octreotide for the treatment of protein-losing enteropathy in dogs: Retrospective study of 18 cases. Journal of Veterinary Internal Medicine</w:t>
      </w:r>
      <w:r w:rsidRPr="00382DF1">
        <w:rPr>
          <w:lang w:val="en-US"/>
        </w:rPr>
        <w:t xml:space="preserve">, </w:t>
      </w:r>
      <w:r w:rsidRPr="00382DF1">
        <w:rPr>
          <w:i/>
          <w:iCs/>
          <w:lang w:val="en-US"/>
        </w:rPr>
        <w:t>38</w:t>
      </w:r>
      <w:r w:rsidRPr="00382DF1">
        <w:rPr>
          <w:lang w:val="en-US"/>
        </w:rPr>
        <w:t>(1), 145–151</w:t>
      </w:r>
    </w:p>
    <w:p w14:paraId="2B642924" w14:textId="77777777" w:rsidR="00DD6477" w:rsidRPr="00382DF1" w:rsidRDefault="00DD6477" w:rsidP="00DD6477">
      <w:pPr>
        <w:jc w:val="both"/>
        <w:rPr>
          <w:lang w:val="en-US"/>
        </w:rPr>
      </w:pPr>
      <w:r w:rsidRPr="00382DF1">
        <w:rPr>
          <w:lang w:val="en-US"/>
        </w:rPr>
        <w:t xml:space="preserve">Mostovyi, Ye., Holovakha, V., Piddubniak, O., Sliusarenko, S., Sliusarenko, A., &amp; Samorai, M. (2020). </w:t>
      </w:r>
      <w:r w:rsidRPr="00382DF1">
        <w:rPr>
          <w:i/>
          <w:iCs/>
          <w:lang w:val="en-US"/>
        </w:rPr>
        <w:t>The treating dogs for enteropathy with PLE. Scientific Messenger of LNU of Veterinary Medicine and Biotechnologies</w:t>
      </w:r>
      <w:r w:rsidRPr="00382DF1">
        <w:rPr>
          <w:lang w:val="en-US"/>
        </w:rPr>
        <w:t xml:space="preserve">, </w:t>
      </w:r>
      <w:r w:rsidRPr="00382DF1">
        <w:rPr>
          <w:i/>
          <w:iCs/>
          <w:lang w:val="en-US"/>
        </w:rPr>
        <w:t>22</w:t>
      </w:r>
      <w:r w:rsidRPr="00382DF1">
        <w:rPr>
          <w:lang w:val="en-US"/>
        </w:rPr>
        <w:t>(98), 94–99. </w:t>
      </w:r>
    </w:p>
    <w:p w14:paraId="00541727" w14:textId="3C8B1083" w:rsidR="00DD6477" w:rsidRPr="00382DF1" w:rsidRDefault="00DD6477" w:rsidP="00DD6477">
      <w:pPr>
        <w:jc w:val="both"/>
        <w:rPr>
          <w:lang w:val="en-US"/>
        </w:rPr>
      </w:pPr>
      <w:r w:rsidRPr="00382DF1">
        <w:rPr>
          <w:lang w:val="en-US"/>
        </w:rPr>
        <w:lastRenderedPageBreak/>
        <w:t xml:space="preserve">Oishi, N., Ohta, H., Tamura, M., Hanazono, K., Miyoshi, K., Yokoyama, N., &amp; Shinbo, G. (2025). </w:t>
      </w:r>
      <w:r w:rsidRPr="00382DF1">
        <w:rPr>
          <w:i/>
          <w:iCs/>
          <w:lang w:val="en-US"/>
        </w:rPr>
        <w:t>Prospective Estimation of the Prevalence of Thromboembolism in Dogs With Inflammatory Protein-Losing Enteropathy</w:t>
      </w:r>
      <w:r w:rsidRPr="00382DF1">
        <w:rPr>
          <w:lang w:val="en-US"/>
        </w:rPr>
        <w:t xml:space="preserve">. </w:t>
      </w:r>
      <w:r w:rsidRPr="00382DF1">
        <w:rPr>
          <w:i/>
          <w:iCs/>
          <w:lang w:val="en-US"/>
        </w:rPr>
        <w:t>Journal of Veterinary Internal Medicine</w:t>
      </w:r>
      <w:r w:rsidRPr="00382DF1">
        <w:rPr>
          <w:lang w:val="en-US"/>
        </w:rPr>
        <w:t xml:space="preserve">, </w:t>
      </w:r>
      <w:r w:rsidRPr="00382DF1">
        <w:rPr>
          <w:i/>
          <w:iCs/>
          <w:lang w:val="en-US"/>
        </w:rPr>
        <w:t>39</w:t>
      </w:r>
      <w:r w:rsidRPr="00382DF1">
        <w:rPr>
          <w:lang w:val="en-US"/>
        </w:rPr>
        <w:t>(3), jvim70098.</w:t>
      </w:r>
    </w:p>
    <w:p w14:paraId="32906D97" w14:textId="3E05418A" w:rsidR="00DD6477" w:rsidRPr="00382DF1" w:rsidRDefault="00DD6477" w:rsidP="00DD6477">
      <w:pPr>
        <w:jc w:val="both"/>
        <w:rPr>
          <w:lang w:val="en-US"/>
        </w:rPr>
      </w:pPr>
      <w:r w:rsidRPr="00382DF1">
        <w:rPr>
          <w:lang w:val="en-US"/>
        </w:rPr>
        <w:t xml:space="preserve">Owens, S., &amp; Indianopolis, M. (n.d.). </w:t>
      </w:r>
      <w:r w:rsidRPr="00382DF1">
        <w:rPr>
          <w:i/>
          <w:iCs/>
          <w:lang w:val="en-US"/>
        </w:rPr>
        <w:t>Management of PLE in Dogs</w:t>
      </w:r>
      <w:r w:rsidRPr="00382DF1">
        <w:rPr>
          <w:lang w:val="en-US"/>
        </w:rPr>
        <w:t>.</w:t>
      </w:r>
    </w:p>
    <w:p w14:paraId="5E6AAED9" w14:textId="6AB01DB4" w:rsidR="00DD6477" w:rsidRPr="00382DF1" w:rsidRDefault="00DD6477" w:rsidP="00DD6477">
      <w:pPr>
        <w:jc w:val="both"/>
        <w:rPr>
          <w:lang w:val="en-US"/>
        </w:rPr>
      </w:pPr>
      <w:r w:rsidRPr="00382DF1">
        <w:rPr>
          <w:lang w:val="en-US"/>
        </w:rPr>
        <w:t xml:space="preserve">Peterson, P. B., &amp; Willard, M. D. (2003). </w:t>
      </w:r>
      <w:r w:rsidRPr="00382DF1">
        <w:rPr>
          <w:i/>
          <w:iCs/>
          <w:lang w:val="en-US"/>
        </w:rPr>
        <w:t>Protein-losing enteropathies. Veterinary Clinics of North America: Small Animal Practice</w:t>
      </w:r>
      <w:r w:rsidRPr="00382DF1">
        <w:rPr>
          <w:lang w:val="en-US"/>
        </w:rPr>
        <w:t xml:space="preserve">, </w:t>
      </w:r>
      <w:r w:rsidRPr="00382DF1">
        <w:rPr>
          <w:i/>
          <w:iCs/>
          <w:lang w:val="en-US"/>
        </w:rPr>
        <w:t>33</w:t>
      </w:r>
      <w:r w:rsidRPr="00382DF1">
        <w:rPr>
          <w:lang w:val="en-US"/>
        </w:rPr>
        <w:t>(5), 1061–1082.</w:t>
      </w:r>
    </w:p>
    <w:p w14:paraId="6F831CFC" w14:textId="017062AD" w:rsidR="00DD6477" w:rsidRPr="00382DF1" w:rsidRDefault="00DD6477" w:rsidP="00DD6477">
      <w:pPr>
        <w:jc w:val="both"/>
        <w:rPr>
          <w:lang w:val="en-US"/>
        </w:rPr>
      </w:pPr>
      <w:r w:rsidRPr="00382DF1">
        <w:rPr>
          <w:lang w:val="en-US"/>
        </w:rPr>
        <w:t xml:space="preserve">Salavati Schmitz, S., Gow, A., Bommer, N., Morrison, L., &amp; Mellanby, R. (2019). </w:t>
      </w:r>
      <w:r w:rsidRPr="00382DF1">
        <w:rPr>
          <w:i/>
          <w:iCs/>
          <w:lang w:val="en-US"/>
        </w:rPr>
        <w:t>Diagnostic features, treatment, and outcome of dogs with inflammatory protein-losing enteropathy</w:t>
      </w:r>
      <w:r w:rsidRPr="00382DF1">
        <w:rPr>
          <w:lang w:val="en-US"/>
        </w:rPr>
        <w:t xml:space="preserve">. </w:t>
      </w:r>
      <w:r w:rsidRPr="00382DF1">
        <w:rPr>
          <w:i/>
          <w:iCs/>
          <w:lang w:val="en-US"/>
        </w:rPr>
        <w:t>Journal of Veterinary Internal Medicine</w:t>
      </w:r>
      <w:r w:rsidRPr="00382DF1">
        <w:rPr>
          <w:lang w:val="en-US"/>
        </w:rPr>
        <w:t xml:space="preserve">, </w:t>
      </w:r>
      <w:r w:rsidRPr="00382DF1">
        <w:rPr>
          <w:i/>
          <w:iCs/>
          <w:lang w:val="en-US"/>
        </w:rPr>
        <w:t>33</w:t>
      </w:r>
      <w:r w:rsidRPr="00382DF1">
        <w:rPr>
          <w:lang w:val="en-US"/>
        </w:rPr>
        <w:t>(5), 2005–2013. </w:t>
      </w:r>
    </w:p>
    <w:p w14:paraId="13FBF393" w14:textId="77777777" w:rsidR="00DD6477" w:rsidRPr="00DD6477" w:rsidRDefault="00DD6477" w:rsidP="00DD6477">
      <w:pPr>
        <w:jc w:val="both"/>
      </w:pPr>
      <w:r w:rsidRPr="00382DF1">
        <w:rPr>
          <w:lang w:val="en-US"/>
        </w:rPr>
        <w:t xml:space="preserve">Simmerson, S. M., Armstrong, P. J., Wünschmann, A., Jessen, C. R., Crews, L. J., &amp; Washabau, R. J. (2014). </w:t>
      </w:r>
      <w:r w:rsidRPr="00382DF1">
        <w:rPr>
          <w:i/>
          <w:iCs/>
          <w:lang w:val="en-US"/>
        </w:rPr>
        <w:t xml:space="preserve">Clinical Features, Intestinal Histopathology, and Outcome in Protein-Losing Enteropathy in Yorkshire Terrier Dogs. </w:t>
      </w:r>
      <w:r w:rsidRPr="00DD6477">
        <w:rPr>
          <w:i/>
          <w:iCs/>
        </w:rPr>
        <w:t>Journal of Veterinary Internal Medicine</w:t>
      </w:r>
      <w:r w:rsidRPr="00DD6477">
        <w:t xml:space="preserve">, </w:t>
      </w:r>
      <w:r w:rsidRPr="00DD6477">
        <w:rPr>
          <w:i/>
          <w:iCs/>
        </w:rPr>
        <w:t>28</w:t>
      </w:r>
      <w:r w:rsidRPr="00DD6477">
        <w:t>(2), 331–337.</w:t>
      </w:r>
    </w:p>
    <w:p w14:paraId="6DD118CB" w14:textId="77777777" w:rsidR="00DD6477" w:rsidRPr="00CB3A31" w:rsidRDefault="00DD6477" w:rsidP="00DD6477">
      <w:pPr>
        <w:jc w:val="both"/>
      </w:pP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p>
    <w:p w14:paraId="6ACB7DE3" w14:textId="77777777" w:rsidR="00DD6477" w:rsidRPr="00CB3A31" w:rsidRDefault="00DD6477" w:rsidP="00DD6477">
      <w:pPr>
        <w:jc w:val="both"/>
      </w:pPr>
    </w:p>
    <w:p w14:paraId="493DE05B" w14:textId="77777777" w:rsidR="00DD6477" w:rsidRPr="00CB3A31" w:rsidRDefault="00DD6477" w:rsidP="00DD6477">
      <w:pPr>
        <w:jc w:val="both"/>
      </w:pPr>
    </w:p>
    <w:p w14:paraId="308A67FB" w14:textId="77777777" w:rsidR="00DD6477" w:rsidRPr="00CB3A31" w:rsidRDefault="00DD6477" w:rsidP="00DD6477">
      <w:pPr>
        <w:jc w:val="both"/>
      </w:pPr>
    </w:p>
    <w:p w14:paraId="1B41CEB2" w14:textId="77777777" w:rsidR="00DD6477" w:rsidRPr="00CB3A31" w:rsidRDefault="00DD6477" w:rsidP="00DD6477">
      <w:pPr>
        <w:jc w:val="both"/>
      </w:pPr>
    </w:p>
    <w:p w14:paraId="7E0D787F" w14:textId="77777777" w:rsidR="00DD6477" w:rsidRPr="00CB3A31" w:rsidRDefault="00DD6477" w:rsidP="00DD6477">
      <w:pPr>
        <w:jc w:val="both"/>
      </w:pPr>
    </w:p>
    <w:p w14:paraId="29B0546D" w14:textId="77777777" w:rsidR="00DD6477" w:rsidRPr="00CB3A31" w:rsidRDefault="00DD6477" w:rsidP="00DD6477">
      <w:pPr>
        <w:jc w:val="both"/>
      </w:pPr>
    </w:p>
    <w:p w14:paraId="5B19F00B" w14:textId="77777777" w:rsidR="00DD6477" w:rsidRPr="00CB3A31" w:rsidRDefault="00DD6477" w:rsidP="00DD6477">
      <w:pPr>
        <w:jc w:val="both"/>
      </w:pPr>
    </w:p>
    <w:p w14:paraId="58450375" w14:textId="77777777" w:rsidR="00DD6477" w:rsidRPr="00CB3A31" w:rsidRDefault="00DD6477" w:rsidP="00DD6477">
      <w:pPr>
        <w:jc w:val="both"/>
      </w:pPr>
    </w:p>
    <w:p w14:paraId="79E74AAB" w14:textId="77777777" w:rsidR="00DD6477" w:rsidRPr="00CB3A31" w:rsidRDefault="00DD6477" w:rsidP="00DD6477">
      <w:pPr>
        <w:jc w:val="both"/>
      </w:pPr>
    </w:p>
    <w:p w14:paraId="43BC03FA" w14:textId="6AA292D1" w:rsidR="00DD6477" w:rsidRPr="00DD6477" w:rsidRDefault="00DD6477" w:rsidP="00DD6477">
      <w:pPr>
        <w:jc w:val="both"/>
      </w:pPr>
      <w:r w:rsidRPr="00DD6477">
        <w:br/>
      </w:r>
      <w:r w:rsidRPr="00DD6477">
        <w:br/>
      </w:r>
    </w:p>
    <w:p w14:paraId="1EF162CB" w14:textId="77777777" w:rsidR="00DD6477" w:rsidRPr="00DD6477" w:rsidRDefault="00DD6477" w:rsidP="00DD6477">
      <w:pPr>
        <w:jc w:val="both"/>
      </w:pPr>
      <w:r w:rsidRPr="00DD6477">
        <w:rPr>
          <w:b/>
          <w:bCs/>
        </w:rPr>
        <w:lastRenderedPageBreak/>
        <w:t>Από τον υπερφλοιοεπινεφριδισμό στον υπεραλδοστερονισμό: μία σπάνια επιπλοκή της αγωγής με τριλοστάνη</w:t>
      </w:r>
    </w:p>
    <w:p w14:paraId="2D67B879" w14:textId="39286DCB" w:rsidR="00DD6477" w:rsidRPr="00DD6477" w:rsidRDefault="00DD6477" w:rsidP="00DD6477">
      <w:pPr>
        <w:jc w:val="both"/>
      </w:pPr>
      <w:r w:rsidRPr="00DD6477">
        <w:t>Βάσιου Φωτεινή</w:t>
      </w:r>
      <w:r w:rsidRPr="00DD6477">
        <w:rPr>
          <w:vertAlign w:val="superscript"/>
        </w:rPr>
        <w:t>1</w:t>
      </w:r>
      <w:r w:rsidRPr="00DD6477">
        <w:t>,</w:t>
      </w:r>
      <w:r w:rsidRPr="00DD6477">
        <w:rPr>
          <w:vertAlign w:val="superscript"/>
        </w:rPr>
        <w:t xml:space="preserve">  </w:t>
      </w:r>
      <w:r w:rsidRPr="00DD6477">
        <w:t>Σμυρναίος Γεώργιος</w:t>
      </w:r>
      <w:r w:rsidRPr="00DD6477">
        <w:rPr>
          <w:vertAlign w:val="superscript"/>
        </w:rPr>
        <w:t>1</w:t>
      </w:r>
      <w:r w:rsidRPr="00DD6477">
        <w:t>, Βάσιου  Μ.</w:t>
      </w:r>
      <w:r w:rsidRPr="00DD6477">
        <w:rPr>
          <w:vertAlign w:val="superscript"/>
        </w:rPr>
        <w:t>2</w:t>
      </w:r>
      <w:r w:rsidRPr="00DD6477">
        <w:t>,  Σούμπασης Νεκτάριος</w:t>
      </w:r>
      <w:r w:rsidRPr="00DD6477">
        <w:rPr>
          <w:vertAlign w:val="superscript"/>
        </w:rPr>
        <w:t>3</w:t>
      </w:r>
    </w:p>
    <w:p w14:paraId="7F1CD2AB" w14:textId="77777777" w:rsidR="00DD6477" w:rsidRPr="00DD6477" w:rsidRDefault="00DD6477" w:rsidP="00DD6477">
      <w:pPr>
        <w:numPr>
          <w:ilvl w:val="0"/>
          <w:numId w:val="11"/>
        </w:numPr>
        <w:jc w:val="both"/>
      </w:pPr>
      <w:r w:rsidRPr="00DD6477">
        <w:t>Προπτυχιακός/ή φοιτητής/τρια, Τμήμα Κτηνιατρικής, Σχολή Επιστημών Υγείας, Αριστοτέλειο Πανεπιστήμιο Θεσσαλονίκης.</w:t>
      </w:r>
    </w:p>
    <w:p w14:paraId="0FCAECB9" w14:textId="77777777" w:rsidR="00DD6477" w:rsidRPr="00DD6477" w:rsidRDefault="00DD6477" w:rsidP="00DD6477">
      <w:pPr>
        <w:numPr>
          <w:ilvl w:val="0"/>
          <w:numId w:val="11"/>
        </w:numPr>
        <w:jc w:val="both"/>
      </w:pPr>
      <w:r w:rsidRPr="00DD6477">
        <w:t>Κτηνίατρος, Μεταπτυχιακή Φοιτήτρια, Κλινική Ζώων Συντροφιάς, Τμήμα Κτηνιατρικής, Σχολή Επιστημών Υγείας, Αριστοτέλειο Πανεπιστήμιο Θεσσαλονίκης.</w:t>
      </w:r>
    </w:p>
    <w:p w14:paraId="76E83FC2" w14:textId="77777777" w:rsidR="00DD6477" w:rsidRPr="00DD6477" w:rsidRDefault="00DD6477" w:rsidP="00DD6477">
      <w:pPr>
        <w:numPr>
          <w:ilvl w:val="0"/>
          <w:numId w:val="11"/>
        </w:numPr>
        <w:jc w:val="both"/>
      </w:pPr>
      <w:r w:rsidRPr="00DD6477">
        <w:t>Αναπληρωτής Καθηγητής Παθολογίας Ζώων Συντροφιάς, Τμήμα Κτηνιατρικής, Σχολή Επιστημών Υγείας, Αριστοτέλειο Πανεπιστήμιο Θεσσαλονίκης.</w:t>
      </w:r>
    </w:p>
    <w:p w14:paraId="726CB0DE" w14:textId="77777777" w:rsidR="00DD6477" w:rsidRPr="00DD6477" w:rsidRDefault="00DD6477" w:rsidP="00DD6477">
      <w:pPr>
        <w:ind w:left="720"/>
        <w:jc w:val="both"/>
      </w:pPr>
    </w:p>
    <w:p w14:paraId="46E2EB6A" w14:textId="77777777" w:rsidR="00DD6477" w:rsidRPr="00DD6477" w:rsidRDefault="00DD6477" w:rsidP="00DD6477">
      <w:pPr>
        <w:jc w:val="both"/>
      </w:pPr>
      <w:r w:rsidRPr="00DD6477">
        <w:rPr>
          <w:b/>
          <w:bCs/>
        </w:rPr>
        <w:t>Περίληψη</w:t>
      </w:r>
    </w:p>
    <w:p w14:paraId="0A6E17C1" w14:textId="77777777" w:rsidR="00DD6477" w:rsidRPr="00DD6477" w:rsidRDefault="00DD6477" w:rsidP="00DD6477">
      <w:pPr>
        <w:jc w:val="both"/>
      </w:pPr>
      <w:r w:rsidRPr="00DD6477">
        <w:t>Ο ιατρογενής υποαλδοστερονισμός αποτελεί μία σπάνια επιπλοκή της θεραπείας σε σκύλους που έχουν διαγνωστεί με υπερφλοιοεπινεφριδισμό και λαμβάνουν τριλοστάνη. Τα πιο συχνά κλινικά συμπτώματα είναι η ανορεξία, ο έμετος, η διάρροια, ο λήθαργος και η αδυναμία, ενώ εργαστηριακά συχνότερα παρατηρείται υπονατριαιμία και υπερκαλιαιμία. Η δοκιμή διέγερσης με τετρακοσακτίδη  (συνθετική ACTH) αποτελεί την εξέταση εκλογής για την διάγνωση του υπεραλδοστερονισμού. H θεραπεία διακρίνεται σε δύο φάσεις, σε αυτή κατά την διάρκεια της οξείας υποφλοιοεπινεφριδικής κρίσης και στην μακροχρόνια θεραπεία έπειτα από την σταθεροποίηση του ζώου. Το εν λόγω περιστατικό αφορά σκύλο θηλυκό, στειρωμένο, φυλής Cocker Spaniel, 6,5 ετών, που προσκομίστηκε στην κλινική  λόγω ανορεξίας. Από διετίας βρισκόταν σε αγωγή με τριλοστάνη, έπειτα από τη διάγνωση υπερφλοιοεπινεφριδισμού. Κατά την κλινική εξέταση δεν υπήρχαν παθολογικά ευρήματα. Εργαστηριακά παρατηρήθηκε υπονατριαιμία, και λόγος νατρίου προς κάλιο κατώτερος του φυσιολογικού (Na</w:t>
      </w:r>
      <w:r w:rsidRPr="00DD6477">
        <w:rPr>
          <w:vertAlign w:val="superscript"/>
        </w:rPr>
        <w:t>+</w:t>
      </w:r>
      <w:r w:rsidRPr="00DD6477">
        <w:t>/K</w:t>
      </w:r>
      <w:r w:rsidRPr="00DD6477">
        <w:rPr>
          <w:vertAlign w:val="superscript"/>
        </w:rPr>
        <w:t>+</w:t>
      </w:r>
      <w:r w:rsidRPr="00DD6477">
        <w:t>=22). Κατά τη δοκιμή διέγερσης με τετρακοσακτίδη, η συγκέντρωση της κορτιζόλης ήταν εντός τιμών αναφοράς ενώ της αλδοστερόνης ήταν εξαιρετικά χαμηλή. Σύμφωνα με το εύρημα αυτό, τέθηκε η διάγνωση ιατρογενούς υποαλδεστερονισμού και ξεκίνησε η θεραπεία με δεσοξυκορτόνη. Στις επανεξετάσεις υπήρξε κλινική και εργαστηριακή βελτίωση, ο λόγος Na</w:t>
      </w:r>
      <w:r w:rsidRPr="00DD6477">
        <w:rPr>
          <w:vertAlign w:val="superscript"/>
        </w:rPr>
        <w:t>+</w:t>
      </w:r>
      <w:r w:rsidRPr="00DD6477">
        <w:t>/K</w:t>
      </w:r>
      <w:r w:rsidRPr="00DD6477">
        <w:rPr>
          <w:vertAlign w:val="superscript"/>
        </w:rPr>
        <w:t>+</w:t>
      </w:r>
      <w:r w:rsidRPr="00DD6477">
        <w:t xml:space="preserve"> ήταν σταθερά εντός τιμών αναφοράς. Συμπερασματικά, σε ασθενείς υπό την αγωγή με τριλοστάνη είναι πιθανή η εμφάνιση υποαλδοστερονισμού ως επιπλοκή αυτής, χωρίς την παράλληλη διαταραχή των επιπέδων κορτιζόλης, λόγω εκλεκτικής καταστροφής αποκλειστικά της σπειροειδούς μοίρας των επινεφριδίων.</w:t>
      </w:r>
    </w:p>
    <w:p w14:paraId="3C91FD36" w14:textId="77777777" w:rsidR="00DD6477" w:rsidRPr="00DD6477" w:rsidRDefault="00DD6477" w:rsidP="00DD6477">
      <w:pPr>
        <w:jc w:val="both"/>
      </w:pPr>
    </w:p>
    <w:p w14:paraId="47ABE000" w14:textId="77777777" w:rsidR="00DD6477" w:rsidRPr="00DD6477" w:rsidRDefault="00DD6477" w:rsidP="00DD6477">
      <w:pPr>
        <w:jc w:val="both"/>
      </w:pPr>
      <w:r w:rsidRPr="00DD6477">
        <w:rPr>
          <w:b/>
          <w:bCs/>
        </w:rPr>
        <w:t>Βιβλιογραφία</w:t>
      </w:r>
    </w:p>
    <w:p w14:paraId="22B10FA6" w14:textId="4ECA318E" w:rsidR="00DD6477" w:rsidRPr="00382DF1" w:rsidRDefault="00DD6477" w:rsidP="00DD6477">
      <w:pPr>
        <w:jc w:val="both"/>
        <w:rPr>
          <w:lang w:val="en-US"/>
        </w:rPr>
      </w:pPr>
      <w:r w:rsidRPr="00DD6477">
        <w:t xml:space="preserve">Galac, S., Buijtels, J. J. C. W. M., Mol, J. A., &amp; Kooistra, H. S. (2010). </w:t>
      </w:r>
      <w:r w:rsidRPr="00382DF1">
        <w:rPr>
          <w:lang w:val="en-US"/>
        </w:rPr>
        <w:t xml:space="preserve">Effects of trilostane on the pituitary-adrenocortical and renin-aldosterone axis in dogs with pituitary-dependent hypercortisolism. </w:t>
      </w:r>
      <w:r w:rsidRPr="00382DF1">
        <w:rPr>
          <w:i/>
          <w:iCs/>
          <w:lang w:val="en-US"/>
        </w:rPr>
        <w:t>The Veterinary Journal, 183</w:t>
      </w:r>
      <w:r w:rsidRPr="00382DF1">
        <w:rPr>
          <w:lang w:val="en-US"/>
        </w:rPr>
        <w:t>(1), 75–80.</w:t>
      </w:r>
    </w:p>
    <w:p w14:paraId="3424FC86" w14:textId="3DDBE6A2" w:rsidR="00DD6477" w:rsidRPr="00382DF1" w:rsidRDefault="00DD6477" w:rsidP="00DD6477">
      <w:pPr>
        <w:jc w:val="both"/>
        <w:rPr>
          <w:lang w:val="en-US"/>
        </w:rPr>
      </w:pPr>
      <w:r w:rsidRPr="00382DF1">
        <w:rPr>
          <w:lang w:val="en-US"/>
        </w:rPr>
        <w:t xml:space="preserve">Galac, S., Fracassi, F., &amp; Feldman, E. C. (2025). </w:t>
      </w:r>
      <w:r w:rsidRPr="00382DF1">
        <w:rPr>
          <w:i/>
          <w:iCs/>
          <w:lang w:val="en-US"/>
        </w:rPr>
        <w:t>Canine Endocrinology</w:t>
      </w:r>
      <w:r w:rsidRPr="00382DF1">
        <w:rPr>
          <w:lang w:val="en-US"/>
        </w:rPr>
        <w:t>. Edra Publishing.</w:t>
      </w:r>
    </w:p>
    <w:p w14:paraId="28985250" w14:textId="77777777" w:rsidR="00DD6477" w:rsidRPr="00382DF1" w:rsidRDefault="00DD6477" w:rsidP="00DD6477">
      <w:pPr>
        <w:jc w:val="both"/>
        <w:rPr>
          <w:lang w:val="en-US"/>
        </w:rPr>
      </w:pPr>
      <w:r w:rsidRPr="00382DF1">
        <w:rPr>
          <w:lang w:val="en-US"/>
        </w:rPr>
        <w:t xml:space="preserve">Lemetayer, J., &amp; Blois, S. (2018). Update on the use of trilostane in dogs. </w:t>
      </w:r>
      <w:r w:rsidRPr="00382DF1">
        <w:rPr>
          <w:i/>
          <w:iCs/>
          <w:lang w:val="en-US"/>
        </w:rPr>
        <w:t>The Canadian Veterinary Journal, 59</w:t>
      </w:r>
      <w:r w:rsidRPr="00382DF1">
        <w:rPr>
          <w:lang w:val="en-US"/>
        </w:rPr>
        <w:t>, 397–407.</w:t>
      </w:r>
    </w:p>
    <w:p w14:paraId="2D459D40" w14:textId="769A8DA4" w:rsidR="00DD6477" w:rsidRPr="00382DF1" w:rsidRDefault="00DD6477" w:rsidP="00DD6477">
      <w:pPr>
        <w:jc w:val="both"/>
        <w:rPr>
          <w:lang w:val="en-US"/>
        </w:rPr>
      </w:pPr>
      <w:r w:rsidRPr="00382DF1">
        <w:rPr>
          <w:lang w:val="en-US"/>
        </w:rPr>
        <w:lastRenderedPageBreak/>
        <w:t xml:space="preserve">Park, S. M., An, J. H., Kim, N. H., Oh, Y. I., Seo, K. W., &amp; Youn, H. Y. (2022). Isolated hypoaldosteronism managed by DOCP in a dog with chronic kidney disease and hypercortisolism. </w:t>
      </w:r>
      <w:r w:rsidRPr="00382DF1">
        <w:rPr>
          <w:i/>
          <w:iCs/>
          <w:lang w:val="en-US"/>
        </w:rPr>
        <w:t>Veterinary Medicine and Science, 8</w:t>
      </w:r>
      <w:r w:rsidRPr="00382DF1">
        <w:rPr>
          <w:lang w:val="en-US"/>
        </w:rPr>
        <w:t>, 2292–2296.</w:t>
      </w:r>
      <w:hyperlink r:id="rId10" w:history="1">
        <w:r w:rsidRPr="00382DF1">
          <w:rPr>
            <w:rStyle w:val="-"/>
            <w:lang w:val="en-US"/>
          </w:rPr>
          <w:t> </w:t>
        </w:r>
      </w:hyperlink>
    </w:p>
    <w:p w14:paraId="5832F12F" w14:textId="2238D0D4" w:rsidR="00DD6477" w:rsidRPr="00382DF1" w:rsidRDefault="00DD6477" w:rsidP="00DD6477">
      <w:pPr>
        <w:jc w:val="both"/>
        <w:rPr>
          <w:lang w:val="en-US"/>
        </w:rPr>
      </w:pPr>
      <w:r w:rsidRPr="00382DF1">
        <w:rPr>
          <w:lang w:val="en-US"/>
        </w:rPr>
        <w:t xml:space="preserve">Raj, J., Lara, A. S., Bell, R., &amp; Tappin, S. (2021). Canine isolated hypoaldosteronism. </w:t>
      </w:r>
      <w:r w:rsidRPr="00382DF1">
        <w:rPr>
          <w:i/>
          <w:iCs/>
          <w:lang w:val="en-US"/>
        </w:rPr>
        <w:t>Veterinary Record Case Reports, 9</w:t>
      </w:r>
      <w:r w:rsidRPr="00382DF1">
        <w:rPr>
          <w:lang w:val="en-US"/>
        </w:rPr>
        <w:t>(2), e0029.</w:t>
      </w:r>
      <w:hyperlink r:id="rId11" w:history="1">
        <w:r w:rsidRPr="00382DF1">
          <w:rPr>
            <w:rStyle w:val="-"/>
            <w:lang w:val="en-US"/>
          </w:rPr>
          <w:t> </w:t>
        </w:r>
      </w:hyperlink>
    </w:p>
    <w:p w14:paraId="1352CB79" w14:textId="78B01F6B" w:rsidR="00DD6477" w:rsidRPr="00382DF1" w:rsidRDefault="00DD6477" w:rsidP="00DD6477">
      <w:pPr>
        <w:jc w:val="both"/>
        <w:rPr>
          <w:lang w:val="en-US"/>
        </w:rPr>
      </w:pPr>
      <w:r w:rsidRPr="00382DF1">
        <w:rPr>
          <w:lang w:val="en-US"/>
        </w:rPr>
        <w:t xml:space="preserve">Reid, L. E., Behrend, E. N., Martin, L. G., Kemppainen, R. J., Ward, C. R., Lurye, J. C., Donovan, T. C., &amp; Lee, H. P. (2014). Effect of trilostane and mitotane on aldosterone secretory reserve in dogs with pituitary-dependent hyperadrenocorticism. </w:t>
      </w:r>
      <w:r w:rsidRPr="00382DF1">
        <w:rPr>
          <w:i/>
          <w:iCs/>
          <w:lang w:val="en-US"/>
        </w:rPr>
        <w:t>Journal of Veterinary Internal Medicine, 28</w:t>
      </w:r>
      <w:r w:rsidRPr="00382DF1">
        <w:rPr>
          <w:lang w:val="en-US"/>
        </w:rPr>
        <w:t>(2), 505–512.</w:t>
      </w:r>
    </w:p>
    <w:p w14:paraId="494AFDF2" w14:textId="17B233E0" w:rsidR="00DD6477" w:rsidRPr="00382DF1" w:rsidRDefault="00DD6477" w:rsidP="00DD6477">
      <w:pPr>
        <w:jc w:val="both"/>
        <w:rPr>
          <w:lang w:val="en-US"/>
        </w:rPr>
      </w:pPr>
      <w:r w:rsidRPr="00382DF1">
        <w:rPr>
          <w:lang w:val="en-US"/>
        </w:rPr>
        <w:t xml:space="preserve">Reid, L. E., Behrend, E. N., Martin, L. G., Kemppainen, R. J., Ward, C. R., Lurye, J. C., Donovan, T. C., &amp; Lee, H. P. (2014). Effect of trilostane and mitotane on aldosterone secretory reserve in dogs with pituitary-dependent hyperadrenocorticism. </w:t>
      </w:r>
      <w:r w:rsidRPr="00382DF1">
        <w:rPr>
          <w:i/>
          <w:iCs/>
          <w:lang w:val="en-US"/>
        </w:rPr>
        <w:t>Journal of Veterinary Internal Medicine, 28</w:t>
      </w:r>
      <w:r w:rsidRPr="00382DF1">
        <w:rPr>
          <w:lang w:val="en-US"/>
        </w:rPr>
        <w:t>(2), 505–512.</w:t>
      </w:r>
    </w:p>
    <w:p w14:paraId="71917070" w14:textId="2A7CD059" w:rsidR="00DD6477" w:rsidRPr="00382DF1" w:rsidRDefault="00DD6477" w:rsidP="00DD6477">
      <w:pPr>
        <w:jc w:val="both"/>
        <w:rPr>
          <w:lang w:val="en-US"/>
        </w:rPr>
      </w:pPr>
      <w:r w:rsidRPr="00382DF1">
        <w:rPr>
          <w:lang w:val="en-US"/>
        </w:rPr>
        <w:t xml:space="preserve">Sanders, K., Kooistra, H. S., &amp; Galac, S. (2018). Treating canine Cushing’s syndrome: Current options and future prospects. </w:t>
      </w:r>
      <w:r w:rsidRPr="00382DF1">
        <w:rPr>
          <w:i/>
          <w:iCs/>
          <w:lang w:val="en-US"/>
        </w:rPr>
        <w:t>The Veterinary Journal, 241</w:t>
      </w:r>
      <w:r w:rsidRPr="00382DF1">
        <w:rPr>
          <w:lang w:val="en-US"/>
        </w:rPr>
        <w:t>, 42–51.</w:t>
      </w:r>
      <w:hyperlink r:id="rId12" w:history="1">
        <w:r w:rsidRPr="00382DF1">
          <w:rPr>
            <w:rStyle w:val="-"/>
            <w:lang w:val="en-US"/>
          </w:rPr>
          <w:t> </w:t>
        </w:r>
      </w:hyperlink>
    </w:p>
    <w:p w14:paraId="73937358" w14:textId="77777777" w:rsidR="00DD6477" w:rsidRPr="00382DF1" w:rsidRDefault="00DD6477" w:rsidP="00DD6477">
      <w:pPr>
        <w:jc w:val="both"/>
        <w:rPr>
          <w:lang w:val="en-US"/>
        </w:rPr>
      </w:pPr>
      <w:r w:rsidRPr="00382DF1">
        <w:rPr>
          <w:lang w:val="en-US"/>
        </w:rPr>
        <w:t xml:space="preserve">Wenger, M., Sieber-Ruckstuhl, N. S., Müller, C., &amp; Reusch, C. E. (2004). Effect of trilostane on serum concentrations of aldosterone, cortisol, and potassium in dogs with pituitary-dependent hyperadrenocorticism. </w:t>
      </w:r>
      <w:r w:rsidRPr="00382DF1">
        <w:rPr>
          <w:i/>
          <w:iCs/>
          <w:lang w:val="en-US"/>
        </w:rPr>
        <w:t>American Journal of Veterinary Research, 65</w:t>
      </w:r>
      <w:r w:rsidRPr="00382DF1">
        <w:rPr>
          <w:lang w:val="en-US"/>
        </w:rPr>
        <w:t>(9), 1245–1250.</w:t>
      </w:r>
    </w:p>
    <w:p w14:paraId="06775E7B" w14:textId="77777777" w:rsidR="00DD6477" w:rsidRPr="00382DF1" w:rsidRDefault="00DD6477" w:rsidP="00DD6477">
      <w:pPr>
        <w:jc w:val="both"/>
        <w:rPr>
          <w:lang w:val="en-US"/>
        </w:rPr>
      </w:pPr>
      <w:r w:rsidRPr="00382DF1">
        <w:rPr>
          <w:lang w:val="en-US"/>
        </w:rPr>
        <w:br/>
      </w:r>
      <w:r w:rsidRPr="00382DF1">
        <w:rPr>
          <w:lang w:val="en-US"/>
        </w:rPr>
        <w:br/>
      </w:r>
      <w:r w:rsidRPr="00382DF1">
        <w:rPr>
          <w:lang w:val="en-US"/>
        </w:rPr>
        <w:br/>
      </w:r>
      <w:r w:rsidRPr="00382DF1">
        <w:rPr>
          <w:lang w:val="en-US"/>
        </w:rPr>
        <w:br/>
      </w:r>
    </w:p>
    <w:p w14:paraId="6C2DEBD0" w14:textId="77777777" w:rsidR="00DD6477" w:rsidRPr="00382DF1" w:rsidRDefault="00DD6477" w:rsidP="00DD6477">
      <w:pPr>
        <w:jc w:val="both"/>
        <w:rPr>
          <w:lang w:val="en-US"/>
        </w:rPr>
      </w:pPr>
    </w:p>
    <w:p w14:paraId="30C319F4" w14:textId="77777777" w:rsidR="00DD6477" w:rsidRPr="00382DF1" w:rsidRDefault="00DD6477" w:rsidP="00DD6477">
      <w:pPr>
        <w:jc w:val="both"/>
        <w:rPr>
          <w:lang w:val="en-US"/>
        </w:rPr>
      </w:pPr>
    </w:p>
    <w:p w14:paraId="49A3982D" w14:textId="77777777" w:rsidR="00DD6477" w:rsidRPr="00382DF1" w:rsidRDefault="00DD6477" w:rsidP="00DD6477">
      <w:pPr>
        <w:jc w:val="both"/>
        <w:rPr>
          <w:lang w:val="en-US"/>
        </w:rPr>
      </w:pPr>
    </w:p>
    <w:p w14:paraId="5C0D605B" w14:textId="77777777" w:rsidR="00DD6477" w:rsidRPr="00382DF1" w:rsidRDefault="00DD6477" w:rsidP="00DD6477">
      <w:pPr>
        <w:jc w:val="both"/>
        <w:rPr>
          <w:lang w:val="en-US"/>
        </w:rPr>
      </w:pPr>
    </w:p>
    <w:p w14:paraId="2AF539F1" w14:textId="77777777" w:rsidR="00DD6477" w:rsidRPr="00382DF1" w:rsidRDefault="00DD6477" w:rsidP="00DD6477">
      <w:pPr>
        <w:jc w:val="both"/>
        <w:rPr>
          <w:lang w:val="en-US"/>
        </w:rPr>
      </w:pPr>
    </w:p>
    <w:p w14:paraId="0948D6E1" w14:textId="77777777" w:rsidR="00DD6477" w:rsidRPr="00382DF1" w:rsidRDefault="00DD6477" w:rsidP="00DD6477">
      <w:pPr>
        <w:jc w:val="both"/>
        <w:rPr>
          <w:lang w:val="en-US"/>
        </w:rPr>
      </w:pPr>
    </w:p>
    <w:p w14:paraId="1A860332" w14:textId="77777777" w:rsidR="00DD6477" w:rsidRPr="00382DF1" w:rsidRDefault="00DD6477" w:rsidP="00DD6477">
      <w:pPr>
        <w:jc w:val="both"/>
        <w:rPr>
          <w:lang w:val="en-US"/>
        </w:rPr>
      </w:pPr>
    </w:p>
    <w:p w14:paraId="73FC4D0C" w14:textId="77777777" w:rsidR="00DD6477" w:rsidRPr="00382DF1" w:rsidRDefault="00DD6477" w:rsidP="00DD6477">
      <w:pPr>
        <w:jc w:val="both"/>
        <w:rPr>
          <w:lang w:val="en-US"/>
        </w:rPr>
      </w:pPr>
    </w:p>
    <w:p w14:paraId="665DC971" w14:textId="77777777" w:rsidR="00DD6477" w:rsidRPr="00382DF1" w:rsidRDefault="00DD6477" w:rsidP="00DD6477">
      <w:pPr>
        <w:jc w:val="both"/>
        <w:rPr>
          <w:lang w:val="en-US"/>
        </w:rPr>
      </w:pPr>
    </w:p>
    <w:p w14:paraId="75848C51" w14:textId="77777777" w:rsidR="00DD6477" w:rsidRPr="00382DF1" w:rsidRDefault="00DD6477" w:rsidP="00DD6477">
      <w:pPr>
        <w:jc w:val="both"/>
        <w:rPr>
          <w:lang w:val="en-US"/>
        </w:rPr>
      </w:pPr>
    </w:p>
    <w:p w14:paraId="3F3A9F73" w14:textId="77777777" w:rsidR="00DD6477" w:rsidRPr="00382DF1" w:rsidRDefault="00DD6477" w:rsidP="00DD6477">
      <w:pPr>
        <w:jc w:val="both"/>
        <w:rPr>
          <w:lang w:val="en-US"/>
        </w:rPr>
      </w:pPr>
    </w:p>
    <w:p w14:paraId="7ABCDE24" w14:textId="7907E720" w:rsidR="00DD6477" w:rsidRPr="00382DF1" w:rsidRDefault="00DD6477" w:rsidP="00DD6477">
      <w:pPr>
        <w:jc w:val="both"/>
        <w:rPr>
          <w:lang w:val="en-US"/>
        </w:rPr>
      </w:pPr>
      <w:r w:rsidRPr="00382DF1">
        <w:rPr>
          <w:lang w:val="en-US"/>
        </w:rPr>
        <w:br/>
      </w:r>
      <w:r w:rsidRPr="00382DF1">
        <w:rPr>
          <w:lang w:val="en-US"/>
        </w:rPr>
        <w:br/>
      </w:r>
      <w:r w:rsidRPr="00382DF1">
        <w:rPr>
          <w:lang w:val="en-US"/>
        </w:rPr>
        <w:br/>
      </w:r>
    </w:p>
    <w:p w14:paraId="3AA30FED" w14:textId="77777777" w:rsidR="00DD6477" w:rsidRPr="00382DF1" w:rsidRDefault="00DD6477" w:rsidP="00DD6477">
      <w:pPr>
        <w:jc w:val="both"/>
        <w:rPr>
          <w:lang w:val="en-US"/>
        </w:rPr>
      </w:pPr>
      <w:r w:rsidRPr="00DD6477">
        <w:rPr>
          <w:b/>
          <w:bCs/>
        </w:rPr>
        <w:lastRenderedPageBreak/>
        <w:t>Δισκοειδής</w:t>
      </w:r>
      <w:r w:rsidRPr="00382DF1">
        <w:rPr>
          <w:b/>
          <w:bCs/>
          <w:lang w:val="en-US"/>
        </w:rPr>
        <w:t xml:space="preserve"> </w:t>
      </w:r>
      <w:r w:rsidRPr="00DD6477">
        <w:rPr>
          <w:b/>
          <w:bCs/>
        </w:rPr>
        <w:t>ερυθηματώδης</w:t>
      </w:r>
      <w:r w:rsidRPr="00382DF1">
        <w:rPr>
          <w:b/>
          <w:bCs/>
          <w:lang w:val="en-US"/>
        </w:rPr>
        <w:t xml:space="preserve"> </w:t>
      </w:r>
      <w:r w:rsidRPr="00DD6477">
        <w:rPr>
          <w:b/>
          <w:bCs/>
        </w:rPr>
        <w:t>λύκος</w:t>
      </w:r>
      <w:r w:rsidRPr="00382DF1">
        <w:rPr>
          <w:b/>
          <w:bCs/>
          <w:lang w:val="en-US"/>
        </w:rPr>
        <w:t xml:space="preserve"> </w:t>
      </w:r>
      <w:r w:rsidRPr="00DD6477">
        <w:rPr>
          <w:b/>
          <w:bCs/>
        </w:rPr>
        <w:t>στον</w:t>
      </w:r>
      <w:r w:rsidRPr="00382DF1">
        <w:rPr>
          <w:b/>
          <w:bCs/>
          <w:lang w:val="en-US"/>
        </w:rPr>
        <w:t xml:space="preserve"> </w:t>
      </w:r>
      <w:r w:rsidRPr="00DD6477">
        <w:rPr>
          <w:b/>
          <w:bCs/>
        </w:rPr>
        <w:t>σκύλο</w:t>
      </w:r>
      <w:r w:rsidRPr="00382DF1">
        <w:rPr>
          <w:b/>
          <w:bCs/>
          <w:lang w:val="en-US"/>
        </w:rPr>
        <w:t xml:space="preserve">: </w:t>
      </w:r>
      <w:r w:rsidRPr="00DD6477">
        <w:rPr>
          <w:b/>
          <w:bCs/>
        </w:rPr>
        <w:t>Ανάλυση</w:t>
      </w:r>
      <w:r w:rsidRPr="00382DF1">
        <w:rPr>
          <w:b/>
          <w:bCs/>
          <w:lang w:val="en-US"/>
        </w:rPr>
        <w:t xml:space="preserve"> </w:t>
      </w:r>
      <w:r w:rsidRPr="00DD6477">
        <w:rPr>
          <w:b/>
          <w:bCs/>
        </w:rPr>
        <w:t>περιστατικού</w:t>
      </w:r>
    </w:p>
    <w:p w14:paraId="1CA6D2E3" w14:textId="77777777" w:rsidR="00DD6477" w:rsidRPr="00DD6477" w:rsidRDefault="00DD6477" w:rsidP="00DD6477">
      <w:pPr>
        <w:jc w:val="both"/>
      </w:pPr>
      <w:r w:rsidRPr="00DD6477">
        <w:t>Γιαχουντή Παρασκευή</w:t>
      </w:r>
      <w:r w:rsidRPr="00DD6477">
        <w:rPr>
          <w:vertAlign w:val="superscript"/>
        </w:rPr>
        <w:t>1</w:t>
      </w:r>
      <w:r w:rsidRPr="00DD6477">
        <w:t>, Ευθυμιάδου Μαρία</w:t>
      </w:r>
      <w:r w:rsidRPr="00DD6477">
        <w:rPr>
          <w:vertAlign w:val="superscript"/>
        </w:rPr>
        <w:t>1</w:t>
      </w:r>
      <w:r w:rsidRPr="00DD6477">
        <w:t>, Καραντέλου Σαββίνα</w:t>
      </w:r>
      <w:r w:rsidRPr="00DD6477">
        <w:rPr>
          <w:vertAlign w:val="superscript"/>
        </w:rPr>
        <w:t>1</w:t>
      </w:r>
      <w:r w:rsidRPr="00DD6477">
        <w:t>, Χατζής Εμμανουήλ</w:t>
      </w:r>
      <w:r w:rsidRPr="00DD6477">
        <w:rPr>
          <w:vertAlign w:val="superscript"/>
        </w:rPr>
        <w:t>2</w:t>
      </w:r>
    </w:p>
    <w:p w14:paraId="46F5157F" w14:textId="77777777" w:rsidR="00DD6477" w:rsidRPr="00DD6477" w:rsidRDefault="00DD6477" w:rsidP="00DD6477">
      <w:pPr>
        <w:numPr>
          <w:ilvl w:val="0"/>
          <w:numId w:val="12"/>
        </w:numPr>
        <w:jc w:val="both"/>
      </w:pPr>
      <w:r w:rsidRPr="00DD6477">
        <w:t>Προπτυχιακή φοιτήτρια, Τμήμα Κτηνιατρικής, Σχολή Επιστημών Υγείας, Πανεπιστήμιο Θεσσαλίας</w:t>
      </w:r>
    </w:p>
    <w:p w14:paraId="43468A78" w14:textId="77777777" w:rsidR="00DD6477" w:rsidRPr="00DD6477" w:rsidRDefault="00DD6477" w:rsidP="00DD6477">
      <w:pPr>
        <w:numPr>
          <w:ilvl w:val="0"/>
          <w:numId w:val="12"/>
        </w:numPr>
        <w:jc w:val="both"/>
      </w:pPr>
      <w:r w:rsidRPr="00DD6477">
        <w:t>Μεταδιδακτορικός Διδάσκων, Παθολογική Κλινική,  Τμήμα Κτηνιατρικής, Σχολή Επιστημών Υγείας, Πανεπιστήμιο Θεσσαλίας</w:t>
      </w:r>
    </w:p>
    <w:p w14:paraId="043AF590" w14:textId="77777777" w:rsidR="00DD6477" w:rsidRPr="00DD6477" w:rsidRDefault="00DD6477" w:rsidP="00DD6477">
      <w:pPr>
        <w:jc w:val="both"/>
      </w:pPr>
    </w:p>
    <w:p w14:paraId="64EB523A" w14:textId="77777777" w:rsidR="00DD6477" w:rsidRPr="00DD6477" w:rsidRDefault="00DD6477" w:rsidP="00DD6477">
      <w:pPr>
        <w:jc w:val="both"/>
      </w:pPr>
      <w:r w:rsidRPr="00DD6477">
        <w:rPr>
          <w:b/>
          <w:bCs/>
        </w:rPr>
        <w:t>Περίληψη</w:t>
      </w:r>
    </w:p>
    <w:p w14:paraId="32BE6EC3" w14:textId="77777777" w:rsidR="00DD6477" w:rsidRPr="00DD6477" w:rsidRDefault="00DD6477" w:rsidP="00DD6477">
      <w:pPr>
        <w:jc w:val="both"/>
      </w:pPr>
      <w:r w:rsidRPr="00DD6477">
        <w:t>Ο ερυθηματώδης λύκος αποτελεί ένα γνωστό αυτοάνοσο νόσημα, τόσο για τον άνθρωπο όσο για τον σκύλο και τη γάτα. Στον σκύλο, ο λύκος εμφανίζεται ως δερματικός, συστημικός ή πομφολυγώδης συστημικός. Στον πρώτο ανήκει ο δισκοειδής ερυθηματώδης λύκος (ΔΕΛ) που αποτελεί τον πιο διαδεδομένο κλινικό μορφότυπο. Πρόκειται για ένα νόσημα στο οποίο ο οργανισμός, μέσα από αυτοαντισώματα, στοχεύει και επιτίθεται στα κύτταρα του δέρματος προκαλώντας αντίστοιχες αλλοιώσεις και συμπτώματα. Ανάλογα με το είδος και την κατανομή αυτών των δερματικών αλλοιώσεων, διακρίνεται σε εντοπισμένη και σε γενικευμένη μορφή ΔΕΛ. Για την διαμόρφωση πλήρους εικόνας του νοσήματος θα παρατεθεί κλινικό περιστατικό σκύλου με δισκοειδή ερυθηματώδη λύκο.</w:t>
      </w:r>
    </w:p>
    <w:p w14:paraId="4EABF3B3" w14:textId="77777777" w:rsidR="00DD6477" w:rsidRPr="00DD6477" w:rsidRDefault="00DD6477" w:rsidP="00DD6477">
      <w:pPr>
        <w:jc w:val="both"/>
      </w:pPr>
    </w:p>
    <w:p w14:paraId="35B0F118" w14:textId="77777777" w:rsidR="00DD6477" w:rsidRPr="00DD6477" w:rsidRDefault="00DD6477" w:rsidP="00DD6477">
      <w:pPr>
        <w:jc w:val="both"/>
      </w:pPr>
      <w:r w:rsidRPr="00DD6477">
        <w:rPr>
          <w:b/>
          <w:bCs/>
        </w:rPr>
        <w:t>Βιβλιογραφία</w:t>
      </w:r>
    </w:p>
    <w:p w14:paraId="7A439E39" w14:textId="7B29185D" w:rsidR="00DD6477" w:rsidRPr="00382DF1" w:rsidRDefault="00DD6477" w:rsidP="00DD6477">
      <w:pPr>
        <w:jc w:val="both"/>
        <w:rPr>
          <w:lang w:val="en-US"/>
        </w:rPr>
      </w:pPr>
      <w:r w:rsidRPr="00DD6477">
        <w:t xml:space="preserve">Banovic, F., Olivry, T., Linder, K.E. (2014). </w:t>
      </w:r>
      <w:r w:rsidRPr="00382DF1">
        <w:rPr>
          <w:i/>
          <w:iCs/>
          <w:lang w:val="en-US"/>
        </w:rPr>
        <w:t>Ciclosporin therapy for canine generalized discoid lupus erythematosus refractory to doxycycline and niacinamide.</w:t>
      </w:r>
      <w:r w:rsidRPr="00382DF1">
        <w:rPr>
          <w:lang w:val="en-US"/>
        </w:rPr>
        <w:t xml:space="preserve"> Vet Dermatol, 25: 483-e79. </w:t>
      </w:r>
    </w:p>
    <w:p w14:paraId="6D6A985C" w14:textId="7298B2ED" w:rsidR="00DD6477" w:rsidRPr="00382DF1" w:rsidRDefault="00DD6477" w:rsidP="00DD6477">
      <w:pPr>
        <w:jc w:val="both"/>
        <w:rPr>
          <w:lang w:val="en-US"/>
        </w:rPr>
      </w:pPr>
      <w:r w:rsidRPr="00382DF1">
        <w:rPr>
          <w:lang w:val="en-US"/>
        </w:rPr>
        <w:t xml:space="preserve">Banovic, F., Linder, K.E., Uri, M., Rossi, M.A., Olivry, T. (2016). </w:t>
      </w:r>
      <w:r w:rsidRPr="00382DF1">
        <w:rPr>
          <w:i/>
          <w:iCs/>
          <w:lang w:val="en-US"/>
        </w:rPr>
        <w:t xml:space="preserve">Clinical and microscopic features of generalized discoid lupus erythematosus in dogs (10 cases). </w:t>
      </w:r>
      <w:r w:rsidRPr="00382DF1">
        <w:rPr>
          <w:lang w:val="en-US"/>
        </w:rPr>
        <w:t>Vet Dermatol, 27: 488-e131. </w:t>
      </w:r>
    </w:p>
    <w:p w14:paraId="2D63F5DD" w14:textId="77777777" w:rsidR="00DD6477" w:rsidRPr="00382DF1" w:rsidRDefault="00DD6477" w:rsidP="00DD6477">
      <w:pPr>
        <w:jc w:val="both"/>
        <w:rPr>
          <w:lang w:val="en-US"/>
        </w:rPr>
      </w:pPr>
      <w:r w:rsidRPr="00382DF1">
        <w:rPr>
          <w:lang w:val="en-US"/>
        </w:rPr>
        <w:t xml:space="preserve">Brooks W., (2007). </w:t>
      </w:r>
      <w:r w:rsidRPr="00382DF1">
        <w:rPr>
          <w:i/>
          <w:iCs/>
          <w:lang w:val="en-US"/>
        </w:rPr>
        <w:t>Discoid Lupus Erythematosus (DLE) in Dogs - Veterinary Partner – VIN </w:t>
      </w:r>
    </w:p>
    <w:p w14:paraId="03C3C269" w14:textId="671513C6" w:rsidR="00DD6477" w:rsidRPr="00382DF1" w:rsidRDefault="00DD6477" w:rsidP="00DD6477">
      <w:pPr>
        <w:jc w:val="both"/>
        <w:rPr>
          <w:lang w:val="en-US"/>
        </w:rPr>
      </w:pPr>
      <w:r w:rsidRPr="00382DF1">
        <w:rPr>
          <w:lang w:val="en-US"/>
        </w:rPr>
        <w:t xml:space="preserve">da Silva MES, Christianetti B, Amazonas E and Pereira ML (2024) </w:t>
      </w:r>
      <w:r w:rsidRPr="00382DF1">
        <w:rPr>
          <w:i/>
          <w:iCs/>
          <w:lang w:val="en-US"/>
        </w:rPr>
        <w:t>Case report: Cannabinoid therapy for discoid lupus erythematosus in a dog.</w:t>
      </w:r>
      <w:r w:rsidRPr="00382DF1">
        <w:rPr>
          <w:lang w:val="en-US"/>
        </w:rPr>
        <w:t xml:space="preserve"> Front. Vet. Sci. 11:1309167. </w:t>
      </w:r>
    </w:p>
    <w:p w14:paraId="659B4D89" w14:textId="2EA47F81" w:rsidR="00DD6477" w:rsidRPr="00382DF1" w:rsidRDefault="00DD6477" w:rsidP="00DD6477">
      <w:pPr>
        <w:jc w:val="both"/>
        <w:rPr>
          <w:lang w:val="en-US"/>
        </w:rPr>
      </w:pPr>
      <w:r w:rsidRPr="00382DF1">
        <w:rPr>
          <w:i/>
          <w:iCs/>
          <w:lang w:val="en-US"/>
        </w:rPr>
        <w:t xml:space="preserve">Garelli C.J., Wong N.B., Piedra-Mora C., Wrijil L.M., Scarglia G., David C.M., Almela R.M., Robinson N.A., Richmond J.M. </w:t>
      </w:r>
      <w:r w:rsidRPr="00382DF1">
        <w:rPr>
          <w:lang w:val="en-US"/>
        </w:rPr>
        <w:t xml:space="preserve">(2021). </w:t>
      </w:r>
      <w:r w:rsidRPr="00382DF1">
        <w:rPr>
          <w:i/>
          <w:iCs/>
          <w:lang w:val="en-US"/>
        </w:rPr>
        <w:t>Shared inflammatory and skin-specific gene signatures reveal common drivers of discoid lupus erythematosus in canines, humans and mice.</w:t>
      </w:r>
      <w:r w:rsidRPr="00382DF1">
        <w:rPr>
          <w:lang w:val="en-US"/>
        </w:rPr>
        <w:t xml:space="preserve"> </w:t>
      </w:r>
      <w:r w:rsidRPr="00382DF1">
        <w:rPr>
          <w:i/>
          <w:iCs/>
          <w:lang w:val="en-US"/>
        </w:rPr>
        <w:t>Current Research in Immunology, Volume 2, 41-51.</w:t>
      </w:r>
    </w:p>
    <w:p w14:paraId="4FB47ED7" w14:textId="77BC32E7" w:rsidR="00DD6477" w:rsidRPr="00382DF1" w:rsidRDefault="00DD6477" w:rsidP="00DD6477">
      <w:pPr>
        <w:jc w:val="both"/>
        <w:rPr>
          <w:lang w:val="en-US"/>
        </w:rPr>
      </w:pPr>
      <w:r w:rsidRPr="00382DF1">
        <w:rPr>
          <w:i/>
          <w:iCs/>
          <w:lang w:val="en-US"/>
        </w:rPr>
        <w:t>Gouvêa, F. (2022). Discoid Lupus Erythematosus in Dog. Veterinária Notícias. </w:t>
      </w:r>
    </w:p>
    <w:p w14:paraId="01E1BB74" w14:textId="09F9CD38" w:rsidR="00DD6477" w:rsidRPr="00382DF1" w:rsidRDefault="00DD6477" w:rsidP="00DD6477">
      <w:pPr>
        <w:jc w:val="both"/>
        <w:rPr>
          <w:lang w:val="en-US"/>
        </w:rPr>
      </w:pPr>
      <w:r w:rsidRPr="00382DF1">
        <w:rPr>
          <w:lang w:val="en-US"/>
        </w:rPr>
        <w:t xml:space="preserve">Harvey RG, Olivrī A, Lima T, Olivry T. (2023). </w:t>
      </w:r>
      <w:r w:rsidRPr="00382DF1">
        <w:rPr>
          <w:i/>
          <w:iCs/>
          <w:lang w:val="en-US"/>
        </w:rPr>
        <w:t xml:space="preserve">Effective treatment of canine chronic cutaneous lupus erythematosus variants with oclacitinib: Seven cases. </w:t>
      </w:r>
      <w:r w:rsidRPr="00382DF1">
        <w:rPr>
          <w:lang w:val="en-US"/>
        </w:rPr>
        <w:t>Vet Dermatol, 34(1),53–58. </w:t>
      </w:r>
    </w:p>
    <w:p w14:paraId="128C324D" w14:textId="607F13E2" w:rsidR="00DD6477" w:rsidRPr="00382DF1" w:rsidRDefault="00DD6477" w:rsidP="00DD6477">
      <w:pPr>
        <w:jc w:val="both"/>
        <w:rPr>
          <w:lang w:val="en-US"/>
        </w:rPr>
      </w:pPr>
      <w:r w:rsidRPr="00382DF1">
        <w:rPr>
          <w:lang w:val="en-US"/>
        </w:rPr>
        <w:t>Jung Y., Jang M., Kang R., Lee W. (2024).</w:t>
      </w:r>
      <w:r w:rsidRPr="00382DF1">
        <w:rPr>
          <w:i/>
          <w:iCs/>
          <w:lang w:val="en-US"/>
        </w:rPr>
        <w:t xml:space="preserve"> Adjunctive Therapy of Pimecrolimus for Treatment of Facial Discoid Lupus Erythematosus in a Dog. </w:t>
      </w:r>
      <w:r w:rsidRPr="00382DF1">
        <w:rPr>
          <w:lang w:val="en-US"/>
        </w:rPr>
        <w:t>J Vet Clin 2024; 41(1): 49-5. </w:t>
      </w:r>
    </w:p>
    <w:p w14:paraId="31EDD7E0" w14:textId="77777777" w:rsidR="00DD6477" w:rsidRPr="00382DF1" w:rsidRDefault="00DD6477" w:rsidP="00DD6477">
      <w:pPr>
        <w:jc w:val="both"/>
        <w:rPr>
          <w:lang w:val="en-US"/>
        </w:rPr>
      </w:pPr>
      <w:r w:rsidRPr="00382DF1">
        <w:rPr>
          <w:lang w:val="en-US"/>
        </w:rPr>
        <w:t xml:space="preserve">Kaltzogianni F., Koutinas A., Papadogiannakis E., Saridomichelakis M., Farmaki R., Chatzis M. (2022). </w:t>
      </w:r>
      <w:r w:rsidRPr="00382DF1">
        <w:rPr>
          <w:i/>
          <w:iCs/>
          <w:lang w:val="en-US"/>
        </w:rPr>
        <w:t>Clinical Dermatology of companion animals.</w:t>
      </w:r>
      <w:r w:rsidRPr="00382DF1">
        <w:rPr>
          <w:lang w:val="en-US"/>
        </w:rPr>
        <w:t xml:space="preserve"> Synchroni Paideia.</w:t>
      </w:r>
    </w:p>
    <w:p w14:paraId="445F02F7" w14:textId="0C7F7F19" w:rsidR="00DD6477" w:rsidRPr="00382DF1" w:rsidRDefault="00DD6477" w:rsidP="00DD6477">
      <w:pPr>
        <w:jc w:val="both"/>
        <w:rPr>
          <w:lang w:val="en-US"/>
        </w:rPr>
      </w:pPr>
      <w:r w:rsidRPr="00382DF1">
        <w:rPr>
          <w:lang w:val="en-US"/>
        </w:rPr>
        <w:lastRenderedPageBreak/>
        <w:t xml:space="preserve">Medleau L., Hnilica KA. (2002). </w:t>
      </w:r>
      <w:r w:rsidRPr="00382DF1">
        <w:rPr>
          <w:i/>
          <w:iCs/>
          <w:lang w:val="en-US"/>
        </w:rPr>
        <w:t>Small Animal Dermatology. A color Atlas and Therapeutic Guide</w:t>
      </w:r>
      <w:r w:rsidRPr="00382DF1">
        <w:rPr>
          <w:lang w:val="en-US"/>
        </w:rPr>
        <w:t>. W.B saunders. </w:t>
      </w:r>
    </w:p>
    <w:p w14:paraId="35D29A2F" w14:textId="123BA9F1" w:rsidR="00DD6477" w:rsidRPr="00382DF1" w:rsidRDefault="00DD6477" w:rsidP="00DD6477">
      <w:pPr>
        <w:jc w:val="both"/>
        <w:rPr>
          <w:lang w:val="en-US"/>
        </w:rPr>
      </w:pPr>
      <w:r w:rsidRPr="00382DF1">
        <w:rPr>
          <w:lang w:val="en-US"/>
        </w:rPr>
        <w:t xml:space="preserve">Miller W., Griffin C., Campell K. (2012). </w:t>
      </w:r>
      <w:r w:rsidRPr="00382DF1">
        <w:rPr>
          <w:i/>
          <w:iCs/>
          <w:lang w:val="en-US"/>
        </w:rPr>
        <w:t>Muller &amp; Kirk’s</w:t>
      </w:r>
      <w:r w:rsidRPr="00382DF1">
        <w:rPr>
          <w:lang w:val="en-US"/>
        </w:rPr>
        <w:t xml:space="preserve"> </w:t>
      </w:r>
      <w:r w:rsidRPr="00382DF1">
        <w:rPr>
          <w:i/>
          <w:iCs/>
          <w:lang w:val="en-US"/>
        </w:rPr>
        <w:t xml:space="preserve">Small Animal Dermatology. </w:t>
      </w:r>
      <w:r w:rsidRPr="00382DF1">
        <w:rPr>
          <w:lang w:val="en-US"/>
        </w:rPr>
        <w:t>Elsevier.</w:t>
      </w:r>
    </w:p>
    <w:p w14:paraId="07F89013" w14:textId="15F33D73" w:rsidR="00DD6477" w:rsidRPr="00382DF1" w:rsidRDefault="00DD6477" w:rsidP="00DD6477">
      <w:pPr>
        <w:jc w:val="both"/>
        <w:rPr>
          <w:lang w:val="en-US"/>
        </w:rPr>
      </w:pPr>
      <w:r w:rsidRPr="00382DF1">
        <w:rPr>
          <w:lang w:val="en-US"/>
        </w:rPr>
        <w:t xml:space="preserve">Niebel D., de Vos L., Fetter T.  (2023). </w:t>
      </w:r>
      <w:r w:rsidRPr="00382DF1">
        <w:rPr>
          <w:i/>
          <w:iCs/>
          <w:lang w:val="en-US"/>
        </w:rPr>
        <w:t xml:space="preserve">Cutaneous Lupus Erythematosus: An Update on Pathogenesis and Future Therapeutic Directions.  </w:t>
      </w:r>
      <w:r w:rsidRPr="00382DF1">
        <w:rPr>
          <w:lang w:val="en-US"/>
        </w:rPr>
        <w:t>American Journal of Clinical Dermatology, 24, 521–540.</w:t>
      </w:r>
    </w:p>
    <w:p w14:paraId="71B4D5E9" w14:textId="2F890F6A" w:rsidR="00DD6477" w:rsidRPr="00382DF1" w:rsidRDefault="00DD6477" w:rsidP="00DD6477">
      <w:pPr>
        <w:jc w:val="both"/>
        <w:rPr>
          <w:lang w:val="en-US"/>
        </w:rPr>
      </w:pPr>
      <w:r w:rsidRPr="00382DF1">
        <w:rPr>
          <w:lang w:val="en-US"/>
        </w:rPr>
        <w:t xml:space="preserve">Olivry, T., Linder, K.E. &amp; Banovic, F. (2018). </w:t>
      </w:r>
      <w:r w:rsidRPr="00382DF1">
        <w:rPr>
          <w:i/>
          <w:iCs/>
          <w:lang w:val="en-US"/>
        </w:rPr>
        <w:t>Cutaneous lupus erythematosus in dogs: a comprehensive review.</w:t>
      </w:r>
      <w:r w:rsidRPr="00382DF1">
        <w:rPr>
          <w:lang w:val="en-US"/>
        </w:rPr>
        <w:t xml:space="preserve"> BMC Vet Res 14, 132. Rhodes KH. (2002). </w:t>
      </w:r>
      <w:r w:rsidRPr="00382DF1">
        <w:rPr>
          <w:i/>
          <w:iCs/>
          <w:lang w:val="en-US"/>
        </w:rPr>
        <w:t>The 5-Minute Veterinary Consult Clinical Companion: Small Animal Dermatology</w:t>
      </w:r>
      <w:r w:rsidRPr="00382DF1">
        <w:rPr>
          <w:lang w:val="en-US"/>
        </w:rPr>
        <w:t>. Lippincott Williams &amp; Walkins.</w:t>
      </w:r>
    </w:p>
    <w:p w14:paraId="417F36B8" w14:textId="77777777" w:rsidR="00DD6477" w:rsidRPr="00382DF1" w:rsidRDefault="00DD6477" w:rsidP="00DD6477">
      <w:pPr>
        <w:jc w:val="both"/>
        <w:rPr>
          <w:lang w:val="en-US"/>
        </w:rPr>
      </w:pPr>
      <w:r w:rsidRPr="00382DF1">
        <w:rPr>
          <w:lang w:val="en-US"/>
        </w:rPr>
        <w:t xml:space="preserve">Zuba T., (2025). </w:t>
      </w:r>
      <w:r w:rsidRPr="00382DF1">
        <w:rPr>
          <w:i/>
          <w:iCs/>
          <w:lang w:val="en-US"/>
        </w:rPr>
        <w:t>Canine cutaneus lupus erythematosus. </w:t>
      </w:r>
    </w:p>
    <w:p w14:paraId="4862FA0C" w14:textId="77777777" w:rsidR="00DD6477" w:rsidRPr="00382DF1" w:rsidRDefault="00DD6477" w:rsidP="00DD6477">
      <w:pPr>
        <w:jc w:val="both"/>
        <w:rPr>
          <w:lang w:val="en-US"/>
        </w:rPr>
      </w:pP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p>
    <w:p w14:paraId="686AC5CF" w14:textId="77777777" w:rsidR="00DD6477" w:rsidRPr="00382DF1" w:rsidRDefault="00DD6477" w:rsidP="00DD6477">
      <w:pPr>
        <w:jc w:val="both"/>
        <w:rPr>
          <w:lang w:val="en-US"/>
        </w:rPr>
      </w:pPr>
    </w:p>
    <w:p w14:paraId="4A7FFD39" w14:textId="77777777" w:rsidR="00DD6477" w:rsidRPr="00382DF1" w:rsidRDefault="00DD6477" w:rsidP="00DD6477">
      <w:pPr>
        <w:jc w:val="both"/>
        <w:rPr>
          <w:lang w:val="en-US"/>
        </w:rPr>
      </w:pPr>
    </w:p>
    <w:p w14:paraId="5E1FA45E" w14:textId="77777777" w:rsidR="00DD6477" w:rsidRPr="00382DF1" w:rsidRDefault="00DD6477" w:rsidP="00DD6477">
      <w:pPr>
        <w:jc w:val="both"/>
        <w:rPr>
          <w:lang w:val="en-US"/>
        </w:rPr>
      </w:pPr>
    </w:p>
    <w:p w14:paraId="1280F12A" w14:textId="77777777" w:rsidR="00DD6477" w:rsidRPr="00382DF1" w:rsidRDefault="00DD6477" w:rsidP="00DD6477">
      <w:pPr>
        <w:jc w:val="both"/>
        <w:rPr>
          <w:lang w:val="en-US"/>
        </w:rPr>
      </w:pPr>
    </w:p>
    <w:p w14:paraId="49D3C9A4" w14:textId="77777777" w:rsidR="00DD6477" w:rsidRPr="00382DF1" w:rsidRDefault="00DD6477" w:rsidP="00DD6477">
      <w:pPr>
        <w:jc w:val="both"/>
        <w:rPr>
          <w:lang w:val="en-US"/>
        </w:rPr>
      </w:pPr>
    </w:p>
    <w:p w14:paraId="52882266" w14:textId="77777777" w:rsidR="00DD6477" w:rsidRPr="00382DF1" w:rsidRDefault="00DD6477" w:rsidP="00DD6477">
      <w:pPr>
        <w:jc w:val="both"/>
        <w:rPr>
          <w:lang w:val="en-US"/>
        </w:rPr>
      </w:pPr>
    </w:p>
    <w:p w14:paraId="510DC538" w14:textId="77777777" w:rsidR="00DD6477" w:rsidRPr="00382DF1" w:rsidRDefault="00DD6477" w:rsidP="00DD6477">
      <w:pPr>
        <w:jc w:val="both"/>
        <w:rPr>
          <w:lang w:val="en-US"/>
        </w:rPr>
      </w:pPr>
    </w:p>
    <w:p w14:paraId="648A755D" w14:textId="77777777" w:rsidR="00DD6477" w:rsidRPr="00382DF1" w:rsidRDefault="00DD6477" w:rsidP="00DD6477">
      <w:pPr>
        <w:jc w:val="both"/>
        <w:rPr>
          <w:lang w:val="en-US"/>
        </w:rPr>
      </w:pPr>
    </w:p>
    <w:p w14:paraId="6239E8E1" w14:textId="77777777" w:rsidR="00DD6477" w:rsidRPr="00382DF1" w:rsidRDefault="00DD6477" w:rsidP="00DD6477">
      <w:pPr>
        <w:jc w:val="both"/>
        <w:rPr>
          <w:lang w:val="en-US"/>
        </w:rPr>
      </w:pPr>
    </w:p>
    <w:p w14:paraId="6188986E" w14:textId="77777777" w:rsidR="00DD6477" w:rsidRPr="00382DF1" w:rsidRDefault="00DD6477" w:rsidP="00DD6477">
      <w:pPr>
        <w:jc w:val="both"/>
        <w:rPr>
          <w:lang w:val="en-US"/>
        </w:rPr>
      </w:pPr>
    </w:p>
    <w:p w14:paraId="24BD7994" w14:textId="77777777" w:rsidR="00DD6477" w:rsidRPr="00382DF1" w:rsidRDefault="00DD6477" w:rsidP="00DD6477">
      <w:pPr>
        <w:jc w:val="both"/>
        <w:rPr>
          <w:lang w:val="en-US"/>
        </w:rPr>
      </w:pPr>
    </w:p>
    <w:p w14:paraId="267A579C" w14:textId="77777777" w:rsidR="00DD6477" w:rsidRPr="00382DF1" w:rsidRDefault="00DD6477" w:rsidP="00DD6477">
      <w:pPr>
        <w:jc w:val="both"/>
        <w:rPr>
          <w:lang w:val="en-US"/>
        </w:rPr>
      </w:pPr>
    </w:p>
    <w:p w14:paraId="48431EDE" w14:textId="77777777" w:rsidR="00DD6477" w:rsidRPr="00382DF1" w:rsidRDefault="00DD6477" w:rsidP="00DD6477">
      <w:pPr>
        <w:jc w:val="both"/>
        <w:rPr>
          <w:lang w:val="en-US"/>
        </w:rPr>
      </w:pPr>
    </w:p>
    <w:p w14:paraId="7E020E87" w14:textId="77777777" w:rsidR="00DD6477" w:rsidRPr="00382DF1" w:rsidRDefault="00DD6477" w:rsidP="00DD6477">
      <w:pPr>
        <w:jc w:val="both"/>
        <w:rPr>
          <w:lang w:val="en-US"/>
        </w:rPr>
      </w:pPr>
    </w:p>
    <w:p w14:paraId="181F89F6" w14:textId="77777777" w:rsidR="00DD6477" w:rsidRPr="00382DF1" w:rsidRDefault="00DD6477" w:rsidP="00DD6477">
      <w:pPr>
        <w:jc w:val="both"/>
        <w:rPr>
          <w:lang w:val="en-US"/>
        </w:rPr>
      </w:pPr>
      <w:r w:rsidRPr="00DD6477">
        <w:rPr>
          <w:b/>
          <w:bCs/>
        </w:rPr>
        <w:lastRenderedPageBreak/>
        <w:t>Βρογχικό</w:t>
      </w:r>
      <w:r w:rsidRPr="00382DF1">
        <w:rPr>
          <w:b/>
          <w:bCs/>
          <w:lang w:val="en-US"/>
        </w:rPr>
        <w:t xml:space="preserve"> </w:t>
      </w:r>
      <w:r w:rsidRPr="00DD6477">
        <w:rPr>
          <w:b/>
          <w:bCs/>
        </w:rPr>
        <w:t>άσθμα</w:t>
      </w:r>
      <w:r w:rsidRPr="00382DF1">
        <w:rPr>
          <w:b/>
          <w:bCs/>
          <w:lang w:val="en-US"/>
        </w:rPr>
        <w:t xml:space="preserve">: </w:t>
      </w:r>
      <w:r w:rsidRPr="00DD6477">
        <w:rPr>
          <w:b/>
          <w:bCs/>
        </w:rPr>
        <w:t>Περιστατικό</w:t>
      </w:r>
      <w:r w:rsidRPr="00382DF1">
        <w:rPr>
          <w:b/>
          <w:bCs/>
          <w:lang w:val="en-US"/>
        </w:rPr>
        <w:t xml:space="preserve"> </w:t>
      </w:r>
      <w:r w:rsidRPr="00DD6477">
        <w:rPr>
          <w:b/>
          <w:bCs/>
        </w:rPr>
        <w:t>σε</w:t>
      </w:r>
      <w:r w:rsidRPr="00382DF1">
        <w:rPr>
          <w:b/>
          <w:bCs/>
          <w:lang w:val="en-US"/>
        </w:rPr>
        <w:t xml:space="preserve"> </w:t>
      </w:r>
      <w:r w:rsidRPr="00DD6477">
        <w:rPr>
          <w:b/>
          <w:bCs/>
        </w:rPr>
        <w:t>γάτα</w:t>
      </w:r>
    </w:p>
    <w:p w14:paraId="0CFC4F8D" w14:textId="77777777" w:rsidR="00DD6477" w:rsidRPr="00DD6477" w:rsidRDefault="00DD6477" w:rsidP="00DD6477">
      <w:pPr>
        <w:jc w:val="both"/>
      </w:pPr>
      <w:r w:rsidRPr="00DD6477">
        <w:t>Αργυρού Μαρία Νικολέτα</w:t>
      </w:r>
      <w:r w:rsidRPr="00DD6477">
        <w:rPr>
          <w:vertAlign w:val="superscript"/>
        </w:rPr>
        <w:t>1</w:t>
      </w:r>
      <w:r w:rsidRPr="00DD6477">
        <w:t>, Σακελλαριάδη Ελένη Γεωργία</w:t>
      </w:r>
      <w:r w:rsidRPr="00DD6477">
        <w:rPr>
          <w:vertAlign w:val="superscript"/>
        </w:rPr>
        <w:t>1</w:t>
      </w:r>
      <w:r w:rsidRPr="00DD6477">
        <w:t>, Τζάρα Στεφανία</w:t>
      </w:r>
      <w:r w:rsidRPr="00DD6477">
        <w:rPr>
          <w:vertAlign w:val="superscript"/>
        </w:rPr>
        <w:t>1</w:t>
      </w:r>
      <w:r w:rsidRPr="00DD6477">
        <w:t>, Αδαμαμά-Μωραΐτου Αικατερίνη</w:t>
      </w:r>
      <w:r w:rsidRPr="00DD6477">
        <w:rPr>
          <w:vertAlign w:val="superscript"/>
        </w:rPr>
        <w:t>2</w:t>
      </w:r>
    </w:p>
    <w:p w14:paraId="46849C01" w14:textId="77777777" w:rsidR="00DD6477" w:rsidRPr="00DD6477" w:rsidRDefault="00DD6477" w:rsidP="00DD6477">
      <w:pPr>
        <w:numPr>
          <w:ilvl w:val="0"/>
          <w:numId w:val="13"/>
        </w:numPr>
        <w:jc w:val="both"/>
      </w:pPr>
      <w:r w:rsidRPr="00DD6477">
        <w:t>Προπτυχιακή φοιτήτρια, Τμήμα Κτηνιατρικής, Σχολή Επιστημών Υγείας, Αριστοτέλειο Πανεπιστήμιο Θεσσαλονίκης</w:t>
      </w:r>
    </w:p>
    <w:p w14:paraId="6861ACA6" w14:textId="77777777" w:rsidR="00DD6477" w:rsidRPr="00DD6477" w:rsidRDefault="00DD6477" w:rsidP="00DD6477">
      <w:pPr>
        <w:numPr>
          <w:ilvl w:val="0"/>
          <w:numId w:val="13"/>
        </w:numPr>
        <w:jc w:val="both"/>
      </w:pPr>
      <w:r w:rsidRPr="00DD6477">
        <w:t>Καθηγήτρια Παθολογίας Ζώων Συντροφιάς, Τμήμα Κτηνιατρικής, Σχολή Επιστημών Υγείας, Αριστοτέλειο Πανεπιστήμιο Θεσσαλονίκης</w:t>
      </w:r>
    </w:p>
    <w:p w14:paraId="4BC96507" w14:textId="77777777" w:rsidR="00DD6477" w:rsidRPr="00DD6477" w:rsidRDefault="00DD6477" w:rsidP="00DD6477">
      <w:pPr>
        <w:ind w:left="720"/>
        <w:jc w:val="both"/>
      </w:pPr>
    </w:p>
    <w:p w14:paraId="062957CA" w14:textId="77777777" w:rsidR="00DD6477" w:rsidRPr="00DD6477" w:rsidRDefault="00DD6477" w:rsidP="00DD6477">
      <w:pPr>
        <w:jc w:val="both"/>
      </w:pPr>
      <w:r w:rsidRPr="00DD6477">
        <w:rPr>
          <w:b/>
          <w:bCs/>
        </w:rPr>
        <w:t>Περίληψη</w:t>
      </w:r>
    </w:p>
    <w:p w14:paraId="7B19A10B" w14:textId="77777777" w:rsidR="00DD6477" w:rsidRPr="00DD6477" w:rsidRDefault="00DD6477" w:rsidP="00DD6477">
      <w:pPr>
        <w:jc w:val="both"/>
      </w:pPr>
      <w:r w:rsidRPr="00DD6477">
        <w:t>Το βρογχικό άσθμα - χρόνια βρογχίτιδα της γάτας αποτελεί μία αρκετά συχνή παθολογική κατάσταση του αναπνευστικού συστήματός της. Η αιτιοπαθογένεια του δεν είναι σαφώς τεκμηριωμένη, ενώ η διαγνωστική του διερεύνηση, η οριστική του διάγνωση και η θεραπευτική του αντιμετώπιση αποτελούν μία πρόκληση για τον κτηνίατρο. Στην παρούσα μελέτη γίνεται μία προσπάθεια αναφοράς στην παθολογική αυτή κατάσταση μέσα από το περιστατικό ενός γάτου.  Ένας αρσενικός ακέραιος γάτος ηλικίας 6,5 μηνών με το όνομα Σεμπ προσκομίστηκε σε ιδιωτικό κτηνιατρείο επειδή παρουσίασε βήχα και δύσπνοια-ταχύπνοια. Τα συμπτώματα εμφανίστηκαν πρώτη φορά τον Οκτώβριο του 2025. Μετά από διάφορες εξετάσεις αποκλείστηκε η πιθανότητα τόσο βακτηριακής και παρασιτικής λοίμωξης, όσο και καρδιακής νόσου. Η οριστική διάγνωση ήταν το βρογχικό άσθμα και για αυτό χορηγήθηκε κορτιζόνη. Κατά την εξέλιξη της θεραπείας, οι ιδιοκτήτες προσκόμισαν το ζώο στην Κλινική των Ζώων Συντροφιάς του Τμήματος Κτηνιατρικής του ΑΠΘ, επειδή έπειτα από μείωση της κορτιζόνης τα συμπτώματα επανεμφανίστηκαν. Επαναλήφθηκαν οι εξετάσεις και χορηγήθηκε νέα θεραπευτική αγωγή. Στη μελέτη αυτή γίνεται προσπάθεια σύγκρισης της κλινικής εικόνας, της διαγνωστικής προσέγγισης και της αντιμετώπισης του περιστατικού μας με όσα αναφέρονται στη διεθνή βιβλιογραφία σχετικά με το άσθμα της γάτας.</w:t>
      </w:r>
    </w:p>
    <w:p w14:paraId="214419D6" w14:textId="0835A53F" w:rsidR="00DD6477" w:rsidRPr="00CB3A31" w:rsidRDefault="00DD6477" w:rsidP="00DD6477">
      <w:pPr>
        <w:jc w:val="both"/>
      </w:pPr>
    </w:p>
    <w:p w14:paraId="4C9FDD84" w14:textId="77777777" w:rsidR="00DD6477" w:rsidRPr="00DD6477" w:rsidRDefault="00DD6477" w:rsidP="00DD6477">
      <w:pPr>
        <w:jc w:val="both"/>
      </w:pPr>
      <w:r w:rsidRPr="00DD6477">
        <w:rPr>
          <w:b/>
          <w:bCs/>
        </w:rPr>
        <w:t>Βιβλιογραφία </w:t>
      </w:r>
    </w:p>
    <w:p w14:paraId="2C01E254" w14:textId="77777777" w:rsidR="00DD6477" w:rsidRPr="00DD6477" w:rsidRDefault="00DD6477" w:rsidP="00DD6477">
      <w:pPr>
        <w:jc w:val="both"/>
      </w:pPr>
      <w:r w:rsidRPr="00DD6477">
        <w:t xml:space="preserve">Αδαμαμά-Μωραΐτου, Α. Κ. (2009–2010). </w:t>
      </w:r>
      <w:r w:rsidRPr="00DD6477">
        <w:rPr>
          <w:i/>
          <w:iCs/>
        </w:rPr>
        <w:t>Νοσήματα του αναπνευστικού συστήματος του σκύλου και της γάτας</w:t>
      </w:r>
      <w:r w:rsidRPr="00DD6477">
        <w:t>. Αριστοτέλειο Πανεπιστήμιο Θεσσαλονίκης, Τμήμα Εκδόσεων.</w:t>
      </w:r>
    </w:p>
    <w:p w14:paraId="5F546E08" w14:textId="77777777" w:rsidR="00DD6477" w:rsidRPr="00382DF1" w:rsidRDefault="00DD6477" w:rsidP="00DD6477">
      <w:pPr>
        <w:jc w:val="both"/>
        <w:rPr>
          <w:lang w:val="en-US"/>
        </w:rPr>
      </w:pPr>
      <w:r w:rsidRPr="00DD6477">
        <w:t>Byers, C. G., &amp; Dhupa, N. (2005).</w:t>
      </w:r>
      <w:r w:rsidRPr="00DD6477">
        <w:rPr>
          <w:i/>
          <w:iCs/>
        </w:rPr>
        <w:t xml:space="preserve"> </w:t>
      </w:r>
      <w:r w:rsidRPr="00382DF1">
        <w:rPr>
          <w:i/>
          <w:iCs/>
          <w:lang w:val="en-US"/>
        </w:rPr>
        <w:t>Feline bronchial asthma: Pathophysiology and diagnosis. Compendium: Continuing Education for Veterinarians</w:t>
      </w:r>
      <w:r w:rsidRPr="00382DF1">
        <w:rPr>
          <w:lang w:val="en-US"/>
        </w:rPr>
        <w:t xml:space="preserve">, </w:t>
      </w:r>
      <w:r w:rsidRPr="00382DF1">
        <w:rPr>
          <w:i/>
          <w:iCs/>
          <w:lang w:val="en-US"/>
        </w:rPr>
        <w:t>27</w:t>
      </w:r>
      <w:r w:rsidRPr="00382DF1">
        <w:rPr>
          <w:lang w:val="en-US"/>
        </w:rPr>
        <w:t>(5), 362–372.</w:t>
      </w:r>
    </w:p>
    <w:p w14:paraId="450E079E" w14:textId="77777777" w:rsidR="00DD6477" w:rsidRPr="00382DF1" w:rsidRDefault="00DD6477" w:rsidP="00DD6477">
      <w:pPr>
        <w:jc w:val="both"/>
        <w:rPr>
          <w:lang w:val="en-US"/>
        </w:rPr>
      </w:pPr>
      <w:r w:rsidRPr="00382DF1">
        <w:rPr>
          <w:lang w:val="en-US"/>
        </w:rPr>
        <w:t xml:space="preserve">Byers, C. G., &amp; Dhupa, N. (2005). </w:t>
      </w:r>
      <w:r w:rsidRPr="00382DF1">
        <w:rPr>
          <w:i/>
          <w:iCs/>
          <w:lang w:val="en-US"/>
        </w:rPr>
        <w:t>Feline bronchial asthma: Treatment. Compendium: Continuing Education for Veterinarians</w:t>
      </w:r>
      <w:r w:rsidRPr="00382DF1">
        <w:rPr>
          <w:lang w:val="en-US"/>
        </w:rPr>
        <w:t xml:space="preserve">, </w:t>
      </w:r>
      <w:r w:rsidRPr="00382DF1">
        <w:rPr>
          <w:i/>
          <w:iCs/>
          <w:lang w:val="en-US"/>
        </w:rPr>
        <w:t>27</w:t>
      </w:r>
      <w:r w:rsidRPr="00382DF1">
        <w:rPr>
          <w:lang w:val="en-US"/>
        </w:rPr>
        <w:t>(6), 417–424.</w:t>
      </w:r>
    </w:p>
    <w:p w14:paraId="464702A7" w14:textId="77777777" w:rsidR="00DD6477" w:rsidRPr="00382DF1" w:rsidRDefault="00DD6477" w:rsidP="00DD6477">
      <w:pPr>
        <w:jc w:val="both"/>
        <w:rPr>
          <w:lang w:val="en-US"/>
        </w:rPr>
      </w:pPr>
      <w:r w:rsidRPr="00382DF1">
        <w:rPr>
          <w:lang w:val="en-US"/>
        </w:rPr>
        <w:t xml:space="preserve">Cohn, L. A. (n.d.). </w:t>
      </w:r>
      <w:r w:rsidRPr="00382DF1">
        <w:rPr>
          <w:i/>
          <w:iCs/>
          <w:lang w:val="en-US"/>
        </w:rPr>
        <w:t>How to treat asthma in cats</w:t>
      </w:r>
      <w:r w:rsidRPr="00382DF1">
        <w:rPr>
          <w:lang w:val="en-US"/>
        </w:rPr>
        <w:t>.</w:t>
      </w:r>
    </w:p>
    <w:p w14:paraId="2D3D9ABC" w14:textId="77777777" w:rsidR="00DD6477" w:rsidRPr="00382DF1" w:rsidRDefault="00DD6477" w:rsidP="00DD6477">
      <w:pPr>
        <w:jc w:val="both"/>
        <w:rPr>
          <w:lang w:val="en-US"/>
        </w:rPr>
      </w:pPr>
      <w:r w:rsidRPr="00382DF1">
        <w:rPr>
          <w:lang w:val="fr-FR"/>
        </w:rPr>
        <w:t xml:space="preserve">Duke-Novakovski, T., de Vries, M., &amp; Seymour, C. (2019). </w:t>
      </w:r>
      <w:r w:rsidRPr="00382DF1">
        <w:rPr>
          <w:i/>
          <w:iCs/>
          <w:lang w:val="en-US"/>
        </w:rPr>
        <w:t>BSAVA manual of canine and feline anaesthesia and analgesia</w:t>
      </w:r>
      <w:r w:rsidRPr="00382DF1">
        <w:rPr>
          <w:lang w:val="en-US"/>
        </w:rPr>
        <w:t xml:space="preserve"> (3rd ed.)</w:t>
      </w:r>
    </w:p>
    <w:p w14:paraId="2F65DE83" w14:textId="77777777" w:rsidR="00DD6477" w:rsidRPr="00382DF1" w:rsidRDefault="00DD6477" w:rsidP="00DD6477">
      <w:pPr>
        <w:jc w:val="both"/>
        <w:rPr>
          <w:lang w:val="en-US"/>
        </w:rPr>
      </w:pPr>
      <w:r w:rsidRPr="00382DF1">
        <w:rPr>
          <w:lang w:val="en-US"/>
        </w:rPr>
        <w:t xml:space="preserve">Reinero, C. R. (2011). </w:t>
      </w:r>
      <w:r w:rsidRPr="00382DF1">
        <w:rPr>
          <w:i/>
          <w:iCs/>
          <w:lang w:val="en-US"/>
        </w:rPr>
        <w:t>Advances in the understanding of pathogenesis, and diagnostics and therapeutics for feline allergic asthma</w:t>
      </w:r>
      <w:r w:rsidRPr="00382DF1">
        <w:rPr>
          <w:lang w:val="en-US"/>
        </w:rPr>
        <w:t xml:space="preserve">. </w:t>
      </w:r>
      <w:r w:rsidRPr="00382DF1">
        <w:rPr>
          <w:i/>
          <w:iCs/>
          <w:lang w:val="en-US"/>
        </w:rPr>
        <w:t>The Veterinary Journal</w:t>
      </w:r>
      <w:r w:rsidRPr="00382DF1">
        <w:rPr>
          <w:lang w:val="en-US"/>
        </w:rPr>
        <w:t xml:space="preserve">, </w:t>
      </w:r>
      <w:r w:rsidRPr="00382DF1">
        <w:rPr>
          <w:i/>
          <w:iCs/>
          <w:lang w:val="en-US"/>
        </w:rPr>
        <w:t>190</w:t>
      </w:r>
      <w:r w:rsidRPr="00382DF1">
        <w:rPr>
          <w:lang w:val="en-US"/>
        </w:rPr>
        <w:t>(1), 28–33.</w:t>
      </w:r>
    </w:p>
    <w:p w14:paraId="7216149D" w14:textId="77777777" w:rsidR="00DD6477" w:rsidRPr="00382DF1" w:rsidRDefault="00DD6477" w:rsidP="00DD6477">
      <w:pPr>
        <w:jc w:val="both"/>
        <w:rPr>
          <w:lang w:val="en-US"/>
        </w:rPr>
      </w:pPr>
      <w:r w:rsidRPr="00382DF1">
        <w:rPr>
          <w:lang w:val="en-US"/>
        </w:rPr>
        <w:lastRenderedPageBreak/>
        <w:t xml:space="preserve">Trzil, J. E., &amp; Reinero, C. R. (2014). Update on feline asthma. </w:t>
      </w:r>
      <w:r w:rsidRPr="00382DF1">
        <w:rPr>
          <w:i/>
          <w:iCs/>
          <w:lang w:val="en-US"/>
        </w:rPr>
        <w:t>Veterinary Clinics of North America: Small Animal Practice</w:t>
      </w:r>
      <w:r w:rsidRPr="00382DF1">
        <w:rPr>
          <w:lang w:val="en-US"/>
        </w:rPr>
        <w:t xml:space="preserve">, </w:t>
      </w:r>
      <w:r w:rsidRPr="00382DF1">
        <w:rPr>
          <w:i/>
          <w:iCs/>
          <w:lang w:val="en-US"/>
        </w:rPr>
        <w:t>44</w:t>
      </w:r>
      <w:r w:rsidRPr="00382DF1">
        <w:rPr>
          <w:lang w:val="en-US"/>
        </w:rPr>
        <w:t>(1), 91–105.</w:t>
      </w:r>
    </w:p>
    <w:p w14:paraId="5421C0BF" w14:textId="77777777" w:rsidR="00DD6477" w:rsidRPr="00382DF1" w:rsidRDefault="00DD6477" w:rsidP="00DD6477">
      <w:pPr>
        <w:jc w:val="both"/>
        <w:rPr>
          <w:lang w:val="en-US"/>
        </w:rPr>
      </w:pPr>
      <w:r w:rsidRPr="00382DF1">
        <w:rPr>
          <w:lang w:val="en-US"/>
        </w:rPr>
        <w:t xml:space="preserve">Trzil, J. E., Masseau, I., Webb, T. L., Chang, C. H., Dodam, J. R., Liu, H., Quimby, J. M., Dow, S. W., &amp; Reinero, C. R. (2015). Intravenous adipose-derived mesenchymal stem cell therapy for the treatment of feline asthma: A pilot study. </w:t>
      </w:r>
      <w:r w:rsidRPr="00382DF1">
        <w:rPr>
          <w:i/>
          <w:iCs/>
          <w:lang w:val="en-US"/>
        </w:rPr>
        <w:t>Journal of Feline Medicine and Surgery</w:t>
      </w:r>
      <w:r w:rsidRPr="00382DF1">
        <w:rPr>
          <w:lang w:val="en-US"/>
        </w:rPr>
        <w:t xml:space="preserve">, </w:t>
      </w:r>
      <w:r w:rsidRPr="00382DF1">
        <w:rPr>
          <w:i/>
          <w:iCs/>
          <w:lang w:val="en-US"/>
        </w:rPr>
        <w:t>18</w:t>
      </w:r>
      <w:r w:rsidRPr="00382DF1">
        <w:rPr>
          <w:lang w:val="en-US"/>
        </w:rPr>
        <w:t>(12), 981–990.</w:t>
      </w:r>
    </w:p>
    <w:p w14:paraId="2DEC4704" w14:textId="77777777" w:rsidR="00DD6477" w:rsidRPr="00DD6477" w:rsidRDefault="00DD6477" w:rsidP="00DD6477">
      <w:pPr>
        <w:jc w:val="both"/>
      </w:pPr>
      <w:r w:rsidRPr="00382DF1">
        <w:rPr>
          <w:lang w:val="en-US"/>
        </w:rPr>
        <w:t xml:space="preserve">Venema, C., &amp; Patterson, C. (2010). Feline asthma: What’s new and where might clinical practice be heading? </w:t>
      </w:r>
      <w:r w:rsidRPr="00DD6477">
        <w:rPr>
          <w:i/>
          <w:iCs/>
        </w:rPr>
        <w:t>Journal of Feline Medicine and Surgery</w:t>
      </w:r>
      <w:r w:rsidRPr="00DD6477">
        <w:t xml:space="preserve">, </w:t>
      </w:r>
      <w:r w:rsidRPr="00DD6477">
        <w:rPr>
          <w:i/>
          <w:iCs/>
        </w:rPr>
        <w:t>12</w:t>
      </w:r>
      <w:r w:rsidRPr="00DD6477">
        <w:t>(9), 681–692.</w:t>
      </w:r>
    </w:p>
    <w:p w14:paraId="65AC4897" w14:textId="77777777" w:rsidR="00DD6477" w:rsidRPr="00CB3A31" w:rsidRDefault="00DD6477" w:rsidP="00DD6477">
      <w:pPr>
        <w:jc w:val="both"/>
      </w:pP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r w:rsidRPr="00DD6477">
        <w:br/>
      </w:r>
    </w:p>
    <w:p w14:paraId="7B78F6F7" w14:textId="77777777" w:rsidR="00DD6477" w:rsidRPr="00CB3A31" w:rsidRDefault="00DD6477" w:rsidP="00DD6477">
      <w:pPr>
        <w:jc w:val="both"/>
      </w:pPr>
    </w:p>
    <w:p w14:paraId="33F74D77" w14:textId="77777777" w:rsidR="00DD6477" w:rsidRPr="00CB3A31" w:rsidRDefault="00DD6477" w:rsidP="00DD6477">
      <w:pPr>
        <w:jc w:val="both"/>
      </w:pPr>
    </w:p>
    <w:p w14:paraId="57F4238C" w14:textId="77777777" w:rsidR="00DD6477" w:rsidRPr="00CB3A31" w:rsidRDefault="00DD6477" w:rsidP="00DD6477">
      <w:pPr>
        <w:jc w:val="both"/>
      </w:pPr>
    </w:p>
    <w:p w14:paraId="643C9189" w14:textId="77777777" w:rsidR="00DD6477" w:rsidRPr="00CB3A31" w:rsidRDefault="00DD6477" w:rsidP="00DD6477">
      <w:pPr>
        <w:jc w:val="both"/>
      </w:pPr>
    </w:p>
    <w:p w14:paraId="070B4867" w14:textId="77777777" w:rsidR="00DD6477" w:rsidRPr="00CB3A31" w:rsidRDefault="00DD6477" w:rsidP="00DD6477">
      <w:pPr>
        <w:jc w:val="both"/>
      </w:pPr>
    </w:p>
    <w:p w14:paraId="3814DDBA" w14:textId="77777777" w:rsidR="00DD6477" w:rsidRPr="00CB3A31" w:rsidRDefault="00DD6477" w:rsidP="00DD6477">
      <w:pPr>
        <w:jc w:val="both"/>
      </w:pPr>
    </w:p>
    <w:p w14:paraId="5305B490" w14:textId="77777777" w:rsidR="00DD6477" w:rsidRPr="00CB3A31" w:rsidRDefault="00DD6477" w:rsidP="00DD6477">
      <w:pPr>
        <w:jc w:val="both"/>
      </w:pPr>
    </w:p>
    <w:p w14:paraId="452CE97E" w14:textId="77777777" w:rsidR="00DD6477" w:rsidRPr="00CB3A31" w:rsidRDefault="00DD6477" w:rsidP="00DD6477">
      <w:pPr>
        <w:jc w:val="both"/>
      </w:pPr>
    </w:p>
    <w:p w14:paraId="7CF9DE94" w14:textId="77777777" w:rsidR="00DD6477" w:rsidRPr="00CB3A31" w:rsidRDefault="00DD6477" w:rsidP="00DD6477">
      <w:pPr>
        <w:jc w:val="both"/>
      </w:pPr>
    </w:p>
    <w:p w14:paraId="6C660FB3" w14:textId="77777777" w:rsidR="00DD6477" w:rsidRPr="00CB3A31" w:rsidRDefault="00DD6477" w:rsidP="00DD6477">
      <w:pPr>
        <w:jc w:val="both"/>
      </w:pPr>
    </w:p>
    <w:p w14:paraId="03E3E77F" w14:textId="77777777" w:rsidR="00DD6477" w:rsidRPr="00CB3A31" w:rsidRDefault="00DD6477" w:rsidP="00DD6477">
      <w:pPr>
        <w:jc w:val="both"/>
      </w:pPr>
    </w:p>
    <w:p w14:paraId="5652AAE7" w14:textId="77777777" w:rsidR="00DD6477" w:rsidRPr="00CB3A31" w:rsidRDefault="00DD6477" w:rsidP="00DD6477">
      <w:pPr>
        <w:jc w:val="both"/>
      </w:pPr>
    </w:p>
    <w:p w14:paraId="5C6D1FF2" w14:textId="5934B6B9" w:rsidR="00DD6477" w:rsidRPr="00DD6477" w:rsidRDefault="00DD6477" w:rsidP="00DD6477">
      <w:pPr>
        <w:jc w:val="both"/>
      </w:pPr>
      <w:r w:rsidRPr="00DD6477">
        <w:br/>
      </w:r>
    </w:p>
    <w:p w14:paraId="616F694B" w14:textId="77777777" w:rsidR="00DD6477" w:rsidRPr="00DD6477" w:rsidRDefault="00DD6477" w:rsidP="00DD6477">
      <w:pPr>
        <w:jc w:val="both"/>
      </w:pPr>
      <w:r w:rsidRPr="00DD6477">
        <w:rPr>
          <w:b/>
          <w:bCs/>
        </w:rPr>
        <w:lastRenderedPageBreak/>
        <w:t>Η διαγνωστική αξία της βιοψίας και ιστοπαθολογίας του ήπατος στο σκύλο</w:t>
      </w:r>
    </w:p>
    <w:p w14:paraId="0A274F0C" w14:textId="77777777" w:rsidR="00DD6477" w:rsidRPr="00DD6477" w:rsidRDefault="00DD6477" w:rsidP="00DD6477">
      <w:pPr>
        <w:jc w:val="both"/>
      </w:pPr>
      <w:r w:rsidRPr="00DD6477">
        <w:t>Μπότσαρη Μαριάννα</w:t>
      </w:r>
      <w:r w:rsidRPr="00DD6477">
        <w:rPr>
          <w:vertAlign w:val="superscript"/>
        </w:rPr>
        <w:t>1</w:t>
      </w:r>
      <w:r w:rsidRPr="00DD6477">
        <w:t>, Δούκας Δημήτριος</w:t>
      </w:r>
      <w:r w:rsidRPr="00DD6477">
        <w:rPr>
          <w:vertAlign w:val="superscript"/>
        </w:rPr>
        <w:t>2</w:t>
      </w:r>
      <w:r w:rsidRPr="00DD6477">
        <w:t>, Τόντης Δημήτριος</w:t>
      </w:r>
      <w:r w:rsidRPr="00DD6477">
        <w:rPr>
          <w:vertAlign w:val="superscript"/>
        </w:rPr>
        <w:t>3</w:t>
      </w:r>
    </w:p>
    <w:p w14:paraId="211028F2" w14:textId="77777777" w:rsidR="00DD6477" w:rsidRPr="00DD6477" w:rsidRDefault="00DD6477" w:rsidP="00DD6477">
      <w:pPr>
        <w:numPr>
          <w:ilvl w:val="0"/>
          <w:numId w:val="14"/>
        </w:numPr>
        <w:jc w:val="both"/>
      </w:pPr>
      <w:r w:rsidRPr="00DD6477">
        <w:t>Προπτυχιακή Φοιτήτρια, Τμήμα Κτηνιατρικής, Σχολή Επιστημών Υγείας, Πανεπιστήμιο Θεσσαλίας</w:t>
      </w:r>
    </w:p>
    <w:p w14:paraId="03FF9E7D" w14:textId="77777777" w:rsidR="00DD6477" w:rsidRPr="00DD6477" w:rsidRDefault="00DD6477" w:rsidP="00DD6477">
      <w:pPr>
        <w:numPr>
          <w:ilvl w:val="0"/>
          <w:numId w:val="14"/>
        </w:numPr>
        <w:jc w:val="both"/>
      </w:pPr>
      <w:r w:rsidRPr="00DD6477">
        <w:t>Αναπληρωτής Καθηγητής Κτηνιατροδικαστικής και Διαγνωστικής Παθολογικής Ανατομικής των Ζώων, Τμήμα Κτηνιατρικής, Σχολή Επιστημών Υγείας, Πανεπιστήμιο Θεσσαλίας</w:t>
      </w:r>
    </w:p>
    <w:p w14:paraId="006FDB55" w14:textId="77777777" w:rsidR="00DD6477" w:rsidRPr="00DD6477" w:rsidRDefault="00DD6477" w:rsidP="00DD6477">
      <w:pPr>
        <w:numPr>
          <w:ilvl w:val="0"/>
          <w:numId w:val="14"/>
        </w:numPr>
        <w:jc w:val="both"/>
      </w:pPr>
      <w:r w:rsidRPr="00DD6477">
        <w:t>Καθηγητής Κτηνιατροδικαστικής και Διαγνωστικής Παθολογικής Ανατομικής των Ζώων, Τμήμα Κτηνιατρικής, Σχολή Επιστημών Υγείας, Πανεπιστήμιο Θεσσαλίας</w:t>
      </w:r>
    </w:p>
    <w:p w14:paraId="5E3E0F03" w14:textId="77777777" w:rsidR="00DD6477" w:rsidRPr="00DD6477" w:rsidRDefault="00DD6477" w:rsidP="00DD6477">
      <w:pPr>
        <w:jc w:val="both"/>
      </w:pPr>
    </w:p>
    <w:p w14:paraId="0DD2DCB5" w14:textId="77777777" w:rsidR="00DD6477" w:rsidRPr="00DD6477" w:rsidRDefault="00DD6477" w:rsidP="00DD6477">
      <w:pPr>
        <w:jc w:val="both"/>
      </w:pPr>
      <w:r w:rsidRPr="00DD6477">
        <w:rPr>
          <w:b/>
          <w:bCs/>
        </w:rPr>
        <w:t>Περίληψη</w:t>
      </w:r>
    </w:p>
    <w:p w14:paraId="6D69B8EF" w14:textId="77777777" w:rsidR="00DD6477" w:rsidRPr="00DD6477" w:rsidRDefault="00DD6477" w:rsidP="00DD6477">
      <w:pPr>
        <w:jc w:val="both"/>
      </w:pPr>
      <w:r w:rsidRPr="00DD6477">
        <w:t>Οι ηπατοπάθειες του σκύλου αποτελούν ένα συχνό διαγνωστικό δίλημμα για τον κτηνίατρο ζώων συντροφιάς με ποικίλη αιτιολογία, παθογένεια και εξέλιξη. Εκτός από τα κλινικά, εργαστηριακά και απεικονιστικά ευρήματα, τα οποία μπορεί να είναι παρόμοια σε πολλές περιπτώσεις, η ιστοπαθολογική εξέταση βιοπτικού υλικού μπορεί να συμβάλει καθοριστικά στην διάγνωση, θεραπεία και πρόγνωση των ηπατοπαθειών, αφού επιτρέπει την ακριβέστερη αναγνώριση της φύσης των ηπατικών αλλοιώσεων και τη σταδιοποίηση μέσω ειδικών ιστοχημικών χρώσεων και της ανοσοϊστοχημείας. Σκοπός της παρούσας βιβλιογραφικής εργασίας είναι αρχικά να παρουσιαστούν συνοπτικά οι μέθοδοι βιοψίας του ήπατος στο σκύλο, καθώς και η δομή του φυσιολογικού ηπατικού ιστού. Στη συνέχεια περιγράφονται οι αλλοιώσεις λαμβάνοντας υπόψη τα πρότυπα των ηπατοπαθειών σύμφωνα με τη διεθνώς αποδεκτή ορολογία και την ιστοπαθολογική ταξινόμηση. Αναφέρονται συγγενείς βλάβες και αγγειακές ανωμαλίες, ανατάξιμες ηπατοκυτταρικές βλάβες (π.χ. υδρωπική εκφύλιση, λιπώδης εκφύλιση, ηπατοπάθεια από στερεοειδή), μη-ειδικές αντιδραστικού τύπου ηπατίτιδες σε πληθώρα εξωηπατικών ασθενειών, αμυλοείδωση, λοιμώδους αιτιολογίας παρεγχυματικές βλάβες, χολοστατικές διαταραχές και χολλαγγειακές βλάβες(π.χ. χολαγγειίτιδα, χολαγγειοηπατίτιδα) και τα νεοπλάσματα. Ιδιαίτερη έμφαση δίνεται στην διάγνωση των χρόνιων ηπατίτιδων και μορφών ίνωσης που σταδιοποιούν το ηπατικό νόσημα (π.χ. ηπατίτιδα από χαλκό, λοβώδης διαχωριστική ηπατίτιδα, κίρρωση) που αποτελούν ένα σημαντικό διαφοροδιαγνωστικό πρόβλημα στην κτηνιατρική πράξη των ζώων συντροφιάς.</w:t>
      </w:r>
    </w:p>
    <w:p w14:paraId="0BE896F9" w14:textId="77777777" w:rsidR="00DD6477" w:rsidRPr="00DD6477" w:rsidRDefault="00DD6477" w:rsidP="00DD6477">
      <w:pPr>
        <w:jc w:val="both"/>
      </w:pPr>
    </w:p>
    <w:p w14:paraId="74F48287" w14:textId="77777777" w:rsidR="00DD6477" w:rsidRPr="00382DF1" w:rsidRDefault="00DD6477" w:rsidP="00DD6477">
      <w:pPr>
        <w:jc w:val="both"/>
        <w:rPr>
          <w:lang w:val="en-US"/>
        </w:rPr>
      </w:pPr>
      <w:r w:rsidRPr="00DD6477">
        <w:rPr>
          <w:b/>
          <w:bCs/>
        </w:rPr>
        <w:t>Βιβλιογραφία</w:t>
      </w:r>
    </w:p>
    <w:p w14:paraId="63407E76" w14:textId="77777777" w:rsidR="00DD6477" w:rsidRPr="00382DF1" w:rsidRDefault="00DD6477" w:rsidP="00DD6477">
      <w:pPr>
        <w:jc w:val="both"/>
        <w:rPr>
          <w:lang w:val="en-US"/>
        </w:rPr>
      </w:pPr>
      <w:r w:rsidRPr="00382DF1">
        <w:rPr>
          <w:lang w:val="en-US"/>
        </w:rPr>
        <w:t xml:space="preserve">Bexfield, N., &amp; Watson, P. (2006). </w:t>
      </w:r>
      <w:r w:rsidRPr="00382DF1">
        <w:rPr>
          <w:i/>
          <w:iCs/>
          <w:lang w:val="en-US"/>
        </w:rPr>
        <w:t>Diagnosis of canine liver disease</w:t>
      </w:r>
      <w:r w:rsidRPr="00382DF1">
        <w:rPr>
          <w:lang w:val="en-US"/>
        </w:rPr>
        <w:t xml:space="preserve">. </w:t>
      </w:r>
      <w:r w:rsidRPr="00382DF1">
        <w:rPr>
          <w:i/>
          <w:iCs/>
          <w:lang w:val="en-US"/>
        </w:rPr>
        <w:t>In Practice</w:t>
      </w:r>
      <w:r w:rsidRPr="00382DF1">
        <w:rPr>
          <w:lang w:val="en-US"/>
        </w:rPr>
        <w:t xml:space="preserve">, </w:t>
      </w:r>
      <w:r w:rsidRPr="00382DF1">
        <w:rPr>
          <w:i/>
          <w:iCs/>
          <w:lang w:val="en-US"/>
        </w:rPr>
        <w:t>28</w:t>
      </w:r>
      <w:r w:rsidRPr="00382DF1">
        <w:rPr>
          <w:lang w:val="en-US"/>
        </w:rPr>
        <w:t>(8), 444–453.</w:t>
      </w:r>
    </w:p>
    <w:p w14:paraId="3C4053CD" w14:textId="77777777" w:rsidR="00DD6477" w:rsidRPr="00382DF1" w:rsidRDefault="00DD6477" w:rsidP="00DD6477">
      <w:pPr>
        <w:jc w:val="both"/>
        <w:rPr>
          <w:lang w:val="en-US"/>
        </w:rPr>
      </w:pPr>
      <w:r w:rsidRPr="00382DF1">
        <w:rPr>
          <w:lang w:val="en-US"/>
        </w:rPr>
        <w:t xml:space="preserve">Cavasin, J. P. (2025). </w:t>
      </w:r>
      <w:r w:rsidRPr="00382DF1">
        <w:rPr>
          <w:i/>
          <w:iCs/>
          <w:lang w:val="en-US"/>
        </w:rPr>
        <w:t>Hepatic histopathology: What a clinician should know. Veterinary Clinics of North America: Small Animal Practice</w:t>
      </w:r>
      <w:r w:rsidRPr="00382DF1">
        <w:rPr>
          <w:lang w:val="en-US"/>
        </w:rPr>
        <w:t xml:space="preserve">, </w:t>
      </w:r>
      <w:r w:rsidRPr="00382DF1">
        <w:rPr>
          <w:i/>
          <w:iCs/>
          <w:lang w:val="en-US"/>
        </w:rPr>
        <w:t>55</w:t>
      </w:r>
      <w:r w:rsidRPr="00382DF1">
        <w:rPr>
          <w:lang w:val="en-US"/>
        </w:rPr>
        <w:t>(4), Suppl., e1–e11.</w:t>
      </w:r>
    </w:p>
    <w:p w14:paraId="0ADBBEA3" w14:textId="77777777" w:rsidR="00DD6477" w:rsidRPr="00382DF1" w:rsidRDefault="00DD6477" w:rsidP="00DD6477">
      <w:pPr>
        <w:jc w:val="both"/>
        <w:rPr>
          <w:lang w:val="en-US"/>
        </w:rPr>
      </w:pPr>
      <w:r w:rsidRPr="00382DF1">
        <w:rPr>
          <w:lang w:val="en-US"/>
        </w:rPr>
        <w:t xml:space="preserve">Harrison, J. L., Turek, B. J., Brown, D. C., Bradley, C., &amp; Callahan Clark, J. (2018). </w:t>
      </w:r>
      <w:r w:rsidRPr="00382DF1">
        <w:rPr>
          <w:i/>
          <w:iCs/>
          <w:lang w:val="en-US"/>
        </w:rPr>
        <w:t>Cholangitis and cholangiohepatitis in dogs: A descriptive study of 54 cases based on histopathologic diagnosis (2004–2014)</w:t>
      </w:r>
      <w:r w:rsidRPr="00382DF1">
        <w:rPr>
          <w:lang w:val="en-US"/>
        </w:rPr>
        <w:t xml:space="preserve">. </w:t>
      </w:r>
      <w:r w:rsidRPr="00382DF1">
        <w:rPr>
          <w:i/>
          <w:iCs/>
          <w:lang w:val="en-US"/>
        </w:rPr>
        <w:t>Journal of Veterinary Internal Medicine</w:t>
      </w:r>
      <w:r w:rsidRPr="00382DF1">
        <w:rPr>
          <w:lang w:val="en-US"/>
        </w:rPr>
        <w:t xml:space="preserve">, </w:t>
      </w:r>
      <w:r w:rsidRPr="00382DF1">
        <w:rPr>
          <w:i/>
          <w:iCs/>
          <w:lang w:val="en-US"/>
        </w:rPr>
        <w:t>32</w:t>
      </w:r>
      <w:r w:rsidRPr="00382DF1">
        <w:rPr>
          <w:lang w:val="en-US"/>
        </w:rPr>
        <w:t>(1), 172–180.</w:t>
      </w:r>
    </w:p>
    <w:p w14:paraId="2B2D1A8E" w14:textId="77777777" w:rsidR="00DD6477" w:rsidRPr="00382DF1" w:rsidRDefault="00DD6477" w:rsidP="00DD6477">
      <w:pPr>
        <w:jc w:val="both"/>
        <w:rPr>
          <w:lang w:val="en-US"/>
        </w:rPr>
      </w:pPr>
      <w:r w:rsidRPr="00382DF1">
        <w:rPr>
          <w:lang w:val="en-US"/>
        </w:rPr>
        <w:t xml:space="preserve">Kemp, S. D., Zimmerman, K. L., Panciera, D. L., Monroe, W. E., Leib, M. S., &amp; Lanz, O. I. (2015). </w:t>
      </w:r>
      <w:r w:rsidRPr="00382DF1">
        <w:rPr>
          <w:i/>
          <w:iCs/>
          <w:lang w:val="en-US"/>
        </w:rPr>
        <w:t>A comparison of liver sampling techniques in dogs.</w:t>
      </w:r>
      <w:r w:rsidRPr="00382DF1">
        <w:rPr>
          <w:lang w:val="en-US"/>
        </w:rPr>
        <w:t xml:space="preserve"> </w:t>
      </w:r>
      <w:r w:rsidRPr="00382DF1">
        <w:rPr>
          <w:i/>
          <w:iCs/>
          <w:lang w:val="en-US"/>
        </w:rPr>
        <w:t>Journal of Veterinary Internal Medicine</w:t>
      </w:r>
      <w:r w:rsidRPr="00382DF1">
        <w:rPr>
          <w:lang w:val="en-US"/>
        </w:rPr>
        <w:t xml:space="preserve">, </w:t>
      </w:r>
      <w:r w:rsidRPr="00382DF1">
        <w:rPr>
          <w:i/>
          <w:iCs/>
          <w:lang w:val="en-US"/>
        </w:rPr>
        <w:t>29</w:t>
      </w:r>
      <w:r w:rsidRPr="00382DF1">
        <w:rPr>
          <w:lang w:val="en-US"/>
        </w:rPr>
        <w:t>(1), 51–57.</w:t>
      </w:r>
    </w:p>
    <w:p w14:paraId="7C607AEC" w14:textId="77777777" w:rsidR="00DD6477" w:rsidRPr="00382DF1" w:rsidRDefault="00DD6477" w:rsidP="00DD6477">
      <w:pPr>
        <w:jc w:val="both"/>
        <w:rPr>
          <w:lang w:val="en-US"/>
        </w:rPr>
      </w:pPr>
      <w:r w:rsidRPr="00382DF1">
        <w:rPr>
          <w:lang w:val="en-US"/>
        </w:rPr>
        <w:lastRenderedPageBreak/>
        <w:t xml:space="preserve">Lidbury, J. A. (2017). </w:t>
      </w:r>
      <w:r w:rsidRPr="00382DF1">
        <w:rPr>
          <w:i/>
          <w:iCs/>
          <w:lang w:val="en-US"/>
        </w:rPr>
        <w:t>Getting the most out of liver biopsy</w:t>
      </w:r>
      <w:r w:rsidRPr="00382DF1">
        <w:rPr>
          <w:lang w:val="en-US"/>
        </w:rPr>
        <w:t xml:space="preserve">. </w:t>
      </w:r>
      <w:r w:rsidRPr="00382DF1">
        <w:rPr>
          <w:i/>
          <w:iCs/>
          <w:lang w:val="en-US"/>
        </w:rPr>
        <w:t>Veterinary Clinics of North America: Small Animal Practice</w:t>
      </w:r>
      <w:r w:rsidRPr="00382DF1">
        <w:rPr>
          <w:lang w:val="en-US"/>
        </w:rPr>
        <w:t xml:space="preserve">, </w:t>
      </w:r>
      <w:r w:rsidRPr="00382DF1">
        <w:rPr>
          <w:i/>
          <w:iCs/>
          <w:lang w:val="en-US"/>
        </w:rPr>
        <w:t>47</w:t>
      </w:r>
      <w:r w:rsidRPr="00382DF1">
        <w:rPr>
          <w:lang w:val="en-US"/>
        </w:rPr>
        <w:t>(3), 569–583.</w:t>
      </w:r>
    </w:p>
    <w:p w14:paraId="1C589890" w14:textId="77777777" w:rsidR="00DD6477" w:rsidRPr="00382DF1" w:rsidRDefault="00DD6477" w:rsidP="00DD6477">
      <w:pPr>
        <w:jc w:val="both"/>
        <w:rPr>
          <w:lang w:val="en-US"/>
        </w:rPr>
      </w:pPr>
      <w:r w:rsidRPr="00382DF1">
        <w:rPr>
          <w:lang w:val="en-US"/>
        </w:rPr>
        <w:t xml:space="preserve">Masserdotti, C. (2023). </w:t>
      </w:r>
      <w:r w:rsidRPr="00382DF1">
        <w:rPr>
          <w:i/>
          <w:iCs/>
          <w:lang w:val="en-US"/>
        </w:rPr>
        <w:t>Canine and feline liver cytology</w:t>
      </w:r>
      <w:r w:rsidRPr="00382DF1">
        <w:rPr>
          <w:lang w:val="en-US"/>
        </w:rPr>
        <w:t>. John Wiley &amp; Sons.</w:t>
      </w:r>
    </w:p>
    <w:p w14:paraId="0DE1844A" w14:textId="77777777" w:rsidR="00DD6477" w:rsidRPr="00382DF1" w:rsidRDefault="00DD6477" w:rsidP="00DD6477">
      <w:pPr>
        <w:jc w:val="both"/>
        <w:rPr>
          <w:lang w:val="en-US"/>
        </w:rPr>
      </w:pPr>
      <w:r w:rsidRPr="00382DF1">
        <w:rPr>
          <w:lang w:val="en-US"/>
        </w:rPr>
        <w:t>Pinheiro, T., Aloia, A., Bosch, R. V., Soares Sanches, D., Lúcia, M., Dagli, Z., Hernandez-Blazquez, F. J., &amp; Cogliati, B. (1999).</w:t>
      </w:r>
      <w:r w:rsidRPr="00382DF1">
        <w:rPr>
          <w:i/>
          <w:iCs/>
          <w:lang w:val="en-US"/>
        </w:rPr>
        <w:t xml:space="preserve"> Retrospective study of hepatic neoplasms in dogs</w:t>
      </w:r>
      <w:r w:rsidRPr="00382DF1">
        <w:rPr>
          <w:lang w:val="en-US"/>
        </w:rPr>
        <w:t xml:space="preserve">. </w:t>
      </w:r>
      <w:r w:rsidRPr="00382DF1">
        <w:rPr>
          <w:i/>
          <w:iCs/>
          <w:lang w:val="en-US"/>
        </w:rPr>
        <w:t>Brazilian Journal of Veterinary Pathology</w:t>
      </w:r>
      <w:r w:rsidRPr="00382DF1">
        <w:rPr>
          <w:lang w:val="en-US"/>
        </w:rPr>
        <w:t xml:space="preserve">, </w:t>
      </w:r>
      <w:r w:rsidRPr="00382DF1">
        <w:rPr>
          <w:i/>
          <w:iCs/>
          <w:lang w:val="en-US"/>
        </w:rPr>
        <w:t>5</w:t>
      </w:r>
      <w:r w:rsidRPr="00382DF1">
        <w:rPr>
          <w:lang w:val="en-US"/>
        </w:rPr>
        <w:t>(3), 146–149.</w:t>
      </w:r>
    </w:p>
    <w:p w14:paraId="1F9CB24C" w14:textId="77777777" w:rsidR="00DD6477" w:rsidRPr="00382DF1" w:rsidRDefault="00DD6477" w:rsidP="00DD6477">
      <w:pPr>
        <w:jc w:val="both"/>
        <w:rPr>
          <w:lang w:val="en-US"/>
        </w:rPr>
      </w:pPr>
      <w:r w:rsidRPr="00382DF1">
        <w:rPr>
          <w:lang w:val="en-US"/>
        </w:rPr>
        <w:t xml:space="preserve">Prentice, K. D., Callahan-Clark, J. E., Parry, N. M., Schwarz, L. A., &amp; Webster, C. R. L. (2024). </w:t>
      </w:r>
      <w:r w:rsidRPr="00382DF1">
        <w:rPr>
          <w:i/>
          <w:iCs/>
          <w:lang w:val="en-US"/>
        </w:rPr>
        <w:t>Characterization of clinical presentation, histological features, ultrasonographic findings, and survival in 29 dogs with granulomatous hepatitis. Journal of Veterinary Internal Medicine</w:t>
      </w:r>
      <w:r w:rsidRPr="00382DF1">
        <w:rPr>
          <w:lang w:val="en-US"/>
        </w:rPr>
        <w:t xml:space="preserve">, </w:t>
      </w:r>
      <w:r w:rsidRPr="00382DF1">
        <w:rPr>
          <w:i/>
          <w:iCs/>
          <w:lang w:val="en-US"/>
        </w:rPr>
        <w:t>38</w:t>
      </w:r>
      <w:r w:rsidRPr="00382DF1">
        <w:rPr>
          <w:lang w:val="en-US"/>
        </w:rPr>
        <w:t>(1), 167–175.</w:t>
      </w:r>
    </w:p>
    <w:p w14:paraId="5970D5EA" w14:textId="77777777" w:rsidR="00DD6477" w:rsidRPr="00CB3A31" w:rsidRDefault="00DD6477" w:rsidP="00DD6477">
      <w:pPr>
        <w:jc w:val="both"/>
      </w:pPr>
      <w:r w:rsidRPr="00382DF1">
        <w:rPr>
          <w:lang w:val="en-US"/>
        </w:rPr>
        <w:t xml:space="preserve">Rothuizen, J., Bunch, S. E., Charles, J. A., Cullen, J. M., Desmet, V. J., Szatmári, V., Twedt, D. C., van den Ingh, T., van Winkle, T., &amp; Washabau, R. J. (Eds.). (2006). </w:t>
      </w:r>
      <w:r w:rsidRPr="00382DF1">
        <w:rPr>
          <w:i/>
          <w:iCs/>
          <w:lang w:val="en-US"/>
        </w:rPr>
        <w:t>WSAVA standards for clinical and histological diagnosis of canine and feline liver diseases</w:t>
      </w:r>
      <w:r w:rsidRPr="00382DF1">
        <w:rPr>
          <w:lang w:val="en-US"/>
        </w:rPr>
        <w:t xml:space="preserve">. </w:t>
      </w:r>
      <w:r w:rsidRPr="00DD6477">
        <w:t>W</w:t>
      </w:r>
      <w:r w:rsidRPr="00CB3A31">
        <w:t>.</w:t>
      </w:r>
      <w:r w:rsidRPr="00DD6477">
        <w:t>B</w:t>
      </w:r>
      <w:r w:rsidRPr="00CB3A31">
        <w:t xml:space="preserve">. </w:t>
      </w:r>
      <w:r w:rsidRPr="00DD6477">
        <w:t>Saunders</w:t>
      </w:r>
      <w:r w:rsidRPr="00CB3A31">
        <w:t>.</w:t>
      </w:r>
    </w:p>
    <w:p w14:paraId="24207AC3" w14:textId="0E8E6036" w:rsidR="00DD6477" w:rsidRDefault="00DD6477" w:rsidP="00DD6477">
      <w:pPr>
        <w:jc w:val="both"/>
      </w:pPr>
      <w:r w:rsidRPr="00CB3A31">
        <w:br/>
      </w:r>
      <w:r w:rsidRPr="00CB3A31">
        <w:br/>
      </w:r>
      <w:r w:rsidRPr="00CB3A31">
        <w:br/>
      </w:r>
      <w:r w:rsidRPr="00CB3A31">
        <w:br/>
      </w:r>
      <w:r w:rsidRPr="00CB3A31">
        <w:br/>
      </w:r>
      <w:r w:rsidRPr="00CB3A31">
        <w:br/>
      </w:r>
      <w:r w:rsidRPr="00CB3A31">
        <w:br/>
      </w:r>
      <w:r w:rsidRPr="00CB3A31">
        <w:br/>
      </w:r>
      <w:r w:rsidRPr="00CB3A31">
        <w:br/>
      </w:r>
      <w:r w:rsidRPr="00CB3A31">
        <w:br/>
      </w:r>
      <w:r w:rsidRPr="00CB3A31">
        <w:br/>
      </w:r>
      <w:r w:rsidRPr="00CB3A31">
        <w:br/>
      </w:r>
      <w:r w:rsidRPr="00CB3A31">
        <w:br/>
      </w:r>
    </w:p>
    <w:p w14:paraId="070DB13E" w14:textId="77777777" w:rsidR="00DD6477" w:rsidRDefault="00DD6477">
      <w:r>
        <w:br w:type="page"/>
      </w:r>
    </w:p>
    <w:p w14:paraId="3D06B603" w14:textId="77777777" w:rsidR="0079315E" w:rsidRPr="0079315E" w:rsidRDefault="0079315E" w:rsidP="0079315E">
      <w:pPr>
        <w:jc w:val="both"/>
      </w:pPr>
      <w:r w:rsidRPr="0079315E">
        <w:rPr>
          <w:b/>
          <w:bCs/>
        </w:rPr>
        <w:lastRenderedPageBreak/>
        <w:t>Συγγενείς ανωμαλίες της στοματικής κοιλότητας και των γνάθων στον σκύλο και τη γάτα</w:t>
      </w:r>
    </w:p>
    <w:p w14:paraId="4581629D" w14:textId="2FFA2E09" w:rsidR="0079315E" w:rsidRPr="0079315E" w:rsidRDefault="0079315E" w:rsidP="0079315E">
      <w:pPr>
        <w:jc w:val="both"/>
      </w:pPr>
      <w:r w:rsidRPr="0079315E">
        <w:t>Αλβανίδου Αναστασία</w:t>
      </w:r>
      <w:r w:rsidRPr="0079315E">
        <w:rPr>
          <w:vertAlign w:val="superscript"/>
        </w:rPr>
        <w:t>1</w:t>
      </w:r>
      <w:r w:rsidRPr="0079315E">
        <w:t>, Αλιούρη Μαρία Σοφία</w:t>
      </w:r>
      <w:r w:rsidRPr="0079315E">
        <w:rPr>
          <w:vertAlign w:val="superscript"/>
        </w:rPr>
        <w:t>1</w:t>
      </w:r>
      <w:r w:rsidRPr="0079315E">
        <w:t>, Απέρης Ανδρέας</w:t>
      </w:r>
      <w:r w:rsidRPr="0079315E">
        <w:rPr>
          <w:vertAlign w:val="superscript"/>
        </w:rPr>
        <w:t>1</w:t>
      </w:r>
      <w:r w:rsidRPr="0079315E">
        <w:t>, Παπαδημητρίου Σεραφείμ</w:t>
      </w:r>
      <w:r w:rsidRPr="0079315E">
        <w:rPr>
          <w:vertAlign w:val="superscript"/>
        </w:rPr>
        <w:t>2</w:t>
      </w:r>
    </w:p>
    <w:p w14:paraId="0FB0EC7E" w14:textId="77777777" w:rsidR="0079315E" w:rsidRPr="0079315E" w:rsidRDefault="0079315E" w:rsidP="0079315E">
      <w:pPr>
        <w:numPr>
          <w:ilvl w:val="0"/>
          <w:numId w:val="15"/>
        </w:numPr>
        <w:jc w:val="both"/>
      </w:pPr>
      <w:r w:rsidRPr="0079315E">
        <w:t>Προπτυχιακός/ή Φοιτητής/-τρια, Τμήμα Κτηνιατρικής, Σχολή Επιστημών Υγείας, Αριστοτέλειο Πανεπιστήμιο Θεσσαλονίκης</w:t>
      </w:r>
    </w:p>
    <w:p w14:paraId="116D4DE1" w14:textId="77777777" w:rsidR="0079315E" w:rsidRPr="0079315E" w:rsidRDefault="0079315E" w:rsidP="0079315E">
      <w:pPr>
        <w:numPr>
          <w:ilvl w:val="0"/>
          <w:numId w:val="15"/>
        </w:numPr>
        <w:jc w:val="both"/>
      </w:pPr>
      <w:r w:rsidRPr="0079315E">
        <w:t>Καθηγητής, Τμήμα Κτηνιατρικής, Σχολή Επιστημών Υγείας, Αριστοτέλειο Πανεπιστήμιο Θεσσαλονίκης </w:t>
      </w:r>
    </w:p>
    <w:p w14:paraId="3DB86609" w14:textId="77777777" w:rsidR="0079315E" w:rsidRPr="0079315E" w:rsidRDefault="0079315E" w:rsidP="0079315E">
      <w:pPr>
        <w:ind w:left="720"/>
        <w:jc w:val="both"/>
      </w:pPr>
    </w:p>
    <w:p w14:paraId="29517BBE" w14:textId="77777777" w:rsidR="0079315E" w:rsidRPr="0079315E" w:rsidRDefault="0079315E" w:rsidP="0079315E">
      <w:pPr>
        <w:jc w:val="both"/>
      </w:pPr>
      <w:r w:rsidRPr="0079315E">
        <w:rPr>
          <w:b/>
          <w:bCs/>
        </w:rPr>
        <w:t>Περίληψη</w:t>
      </w:r>
    </w:p>
    <w:p w14:paraId="3604FB0B" w14:textId="77777777" w:rsidR="0079315E" w:rsidRPr="00CB3A31" w:rsidRDefault="0079315E" w:rsidP="0079315E">
      <w:pPr>
        <w:jc w:val="both"/>
      </w:pPr>
      <w:r w:rsidRPr="0079315E">
        <w:t>Κατά την ανάπτυξη των εμβρύων είναι δυνατόν να συμβούν σφάλματα στη διαδικασία σχηματισμού των δοντιών και της γνάθου, που θα παραμείνουν και θα αποτελέσουν πρόβλημα μετά τον τοκετό. Στην παρούσα εργασία διερευνώνται οι συγγενείς και κληρονομήσιμες ανωμαλίες που αφορούν τη στοματική κοιλότητα και τις γνάθους στα ζώα συντροφιάς. Οι καταστάσεις αυτές συναντώνται με μεγαλύτερη, από όσο πιστεύεται, συχνότητα και χρήζουν χειρουργικής διαχείρισης, τόσο των ιδίων, όσο και των δευτερογενών επιπλοκών που προκαλούν. Ειδικότερα, εξετάζονται τα συγγενή στοματορρινικά συρίγγια, οι διαταραχές σύγκλεισης των γνάθων, οι ανωμαλίες της γλώσσας και των χειλέων, καθώς και οι οδοντικές ανωμαλίες. Παράλληλα, αναλύονται η αιτιοπαθογένεια, η κλινική εικόνα και οι επιπτώσεις των παθήσεων αυτών στην ευζωία των ζώων, ενώ παρουσιάζονται και οι σύγχρονες θεραπευτικές προσεγγίσεις για την αντιμετώπισή τους. </w:t>
      </w:r>
    </w:p>
    <w:p w14:paraId="3C3288B7" w14:textId="77777777" w:rsidR="0079315E" w:rsidRPr="0079315E" w:rsidRDefault="0079315E" w:rsidP="0079315E">
      <w:pPr>
        <w:jc w:val="both"/>
      </w:pPr>
    </w:p>
    <w:p w14:paraId="781FB8B9" w14:textId="77777777" w:rsidR="0079315E" w:rsidRPr="00382DF1" w:rsidRDefault="0079315E" w:rsidP="0079315E">
      <w:pPr>
        <w:jc w:val="both"/>
        <w:rPr>
          <w:lang w:val="en-US"/>
        </w:rPr>
      </w:pPr>
      <w:r w:rsidRPr="0079315E">
        <w:rPr>
          <w:b/>
          <w:bCs/>
        </w:rPr>
        <w:t>Βιβλιογραφία</w:t>
      </w:r>
    </w:p>
    <w:p w14:paraId="73FE8857" w14:textId="77777777" w:rsidR="0079315E" w:rsidRPr="00382DF1" w:rsidRDefault="0079315E" w:rsidP="0079315E">
      <w:pPr>
        <w:jc w:val="both"/>
        <w:rPr>
          <w:lang w:val="en-US"/>
        </w:rPr>
      </w:pPr>
      <w:r w:rsidRPr="00382DF1">
        <w:rPr>
          <w:lang w:val="en-US"/>
        </w:rPr>
        <w:t xml:space="preserve">Boy, S., Crossley, D., &amp; Steenkamp, G. (2016). Developmental structural tooth defects in dogs – Experience from veterinary dental referral practice and review of the literature. </w:t>
      </w:r>
      <w:r w:rsidRPr="00382DF1">
        <w:rPr>
          <w:i/>
          <w:iCs/>
          <w:lang w:val="en-US"/>
        </w:rPr>
        <w:t>Frontiers in Veterinary Science, 3</w:t>
      </w:r>
      <w:r w:rsidRPr="00382DF1">
        <w:rPr>
          <w:lang w:val="en-US"/>
        </w:rPr>
        <w:t>. </w:t>
      </w:r>
    </w:p>
    <w:p w14:paraId="4523F05C" w14:textId="79B3A9BF" w:rsidR="0079315E" w:rsidRPr="00382DF1" w:rsidRDefault="0079315E" w:rsidP="0079315E">
      <w:pPr>
        <w:jc w:val="both"/>
        <w:rPr>
          <w:lang w:val="en-US"/>
        </w:rPr>
      </w:pPr>
      <w:r w:rsidRPr="00382DF1">
        <w:rPr>
          <w:lang w:val="en-US"/>
        </w:rPr>
        <w:t xml:space="preserve">Drögemüller, C., Karlsson, E. K., Hytönen, M. K., Perloski, M., Dolf, G., Sainio, K., Lohi, H., Lindblad-Toh, K., &amp; Leeb, T. (2008). A mutation in hairless dogs implicates FOXI3 in ectodermal development. </w:t>
      </w:r>
      <w:r w:rsidRPr="00382DF1">
        <w:rPr>
          <w:i/>
          <w:iCs/>
          <w:lang w:val="en-US"/>
        </w:rPr>
        <w:t>Science, 321</w:t>
      </w:r>
      <w:r w:rsidRPr="00382DF1">
        <w:rPr>
          <w:lang w:val="en-US"/>
        </w:rPr>
        <w:t>(5895), 1462–1462. </w:t>
      </w:r>
    </w:p>
    <w:p w14:paraId="4C238311" w14:textId="7C83F959" w:rsidR="0079315E" w:rsidRPr="00382DF1" w:rsidRDefault="0079315E" w:rsidP="0079315E">
      <w:pPr>
        <w:jc w:val="both"/>
        <w:rPr>
          <w:lang w:val="en-US"/>
        </w:rPr>
      </w:pPr>
      <w:r w:rsidRPr="00382DF1">
        <w:rPr>
          <w:lang w:val="en-US"/>
        </w:rPr>
        <w:t xml:space="preserve">Group Co. (n.d.). </w:t>
      </w:r>
      <w:r w:rsidRPr="00382DF1">
        <w:rPr>
          <w:i/>
          <w:iCs/>
          <w:lang w:val="en-US"/>
        </w:rPr>
        <w:t>Macroglossia in dogs</w:t>
      </w:r>
      <w:r w:rsidRPr="00382DF1">
        <w:rPr>
          <w:lang w:val="en-US"/>
        </w:rPr>
        <w:t>. WagWalking.</w:t>
      </w:r>
      <w:hyperlink r:id="rId13" w:history="1">
        <w:r w:rsidRPr="00382DF1">
          <w:rPr>
            <w:rStyle w:val="-"/>
            <w:lang w:val="en-US"/>
          </w:rPr>
          <w:t> </w:t>
        </w:r>
      </w:hyperlink>
    </w:p>
    <w:p w14:paraId="780015FD" w14:textId="6E01BA00" w:rsidR="0079315E" w:rsidRPr="00382DF1" w:rsidRDefault="0079315E" w:rsidP="0079315E">
      <w:pPr>
        <w:jc w:val="both"/>
        <w:rPr>
          <w:lang w:val="en-US"/>
        </w:rPr>
      </w:pPr>
      <w:r w:rsidRPr="00382DF1">
        <w:rPr>
          <w:lang w:val="en-US"/>
        </w:rPr>
        <w:t xml:space="preserve">Kyllar, M., &amp; Witter, K. (2005). Prevalence of dental disorders in pet dogs. </w:t>
      </w:r>
      <w:r w:rsidRPr="00382DF1">
        <w:rPr>
          <w:i/>
          <w:iCs/>
          <w:lang w:val="en-US"/>
        </w:rPr>
        <w:t>Veterinary Medicine – Czech, 50</w:t>
      </w:r>
      <w:r w:rsidRPr="00382DF1">
        <w:rPr>
          <w:lang w:val="en-US"/>
        </w:rPr>
        <w:t>(11), 496–505.</w:t>
      </w:r>
    </w:p>
    <w:p w14:paraId="7DA14C12" w14:textId="534976C7" w:rsidR="0079315E" w:rsidRPr="00382DF1" w:rsidRDefault="0079315E" w:rsidP="0079315E">
      <w:pPr>
        <w:jc w:val="both"/>
        <w:rPr>
          <w:lang w:val="en-US"/>
        </w:rPr>
      </w:pPr>
      <w:r w:rsidRPr="00382DF1">
        <w:rPr>
          <w:lang w:val="en-US"/>
        </w:rPr>
        <w:t xml:space="preserve">Moura, E., Rotenberg, I. S., &amp; Pimpão, C. T. (2019). X-linked hypohidrotic ectodermal dysplasia—General features and dental abnormalities in affected dogs compared with human dental abnormalities. </w:t>
      </w:r>
      <w:r w:rsidRPr="00382DF1">
        <w:rPr>
          <w:i/>
          <w:iCs/>
          <w:lang w:val="en-US"/>
        </w:rPr>
        <w:t>Topics in Companion Animal Medicine, 35</w:t>
      </w:r>
      <w:r w:rsidRPr="00382DF1">
        <w:rPr>
          <w:lang w:val="en-US"/>
        </w:rPr>
        <w:t>, 11–17. </w:t>
      </w:r>
    </w:p>
    <w:p w14:paraId="2FF03FAF" w14:textId="7BAC3796" w:rsidR="0079315E" w:rsidRPr="00382DF1" w:rsidRDefault="0079315E" w:rsidP="0079315E">
      <w:pPr>
        <w:jc w:val="both"/>
        <w:rPr>
          <w:lang w:val="en-US"/>
        </w:rPr>
      </w:pPr>
      <w:r w:rsidRPr="00382DF1">
        <w:rPr>
          <w:lang w:val="en-US"/>
        </w:rPr>
        <w:t xml:space="preserve">Pavletic, M. M. (2022). </w:t>
      </w:r>
      <w:r w:rsidRPr="00382DF1">
        <w:rPr>
          <w:i/>
          <w:iCs/>
          <w:lang w:val="en-US"/>
        </w:rPr>
        <w:t>Surgical closure of cleft palate defects in dogs using a modification of the traditional von Langenbeck technique: 12 cases (2015–2022).</w:t>
      </w:r>
    </w:p>
    <w:p w14:paraId="2EC7DAD7" w14:textId="77777777" w:rsidR="0079315E" w:rsidRPr="00382DF1" w:rsidRDefault="0079315E" w:rsidP="0079315E">
      <w:pPr>
        <w:jc w:val="both"/>
        <w:rPr>
          <w:lang w:val="en-US"/>
        </w:rPr>
      </w:pPr>
      <w:r w:rsidRPr="00382DF1">
        <w:rPr>
          <w:lang w:val="en-US"/>
        </w:rPr>
        <w:t xml:space="preserve">Roberts, J. N. (2024). </w:t>
      </w:r>
      <w:r w:rsidRPr="00382DF1">
        <w:rPr>
          <w:i/>
          <w:iCs/>
          <w:lang w:val="en-US"/>
        </w:rPr>
        <w:t>Congenital and inherited anomalies of the mouth in animals</w:t>
      </w:r>
      <w:r w:rsidRPr="00382DF1">
        <w:rPr>
          <w:lang w:val="en-US"/>
        </w:rPr>
        <w:t>. MSD Veterinary Manual.</w:t>
      </w:r>
      <w:hyperlink r:id="rId14" w:history="1">
        <w:r w:rsidRPr="00382DF1">
          <w:rPr>
            <w:rStyle w:val="-"/>
            <w:lang w:val="en-US"/>
          </w:rPr>
          <w:t> </w:t>
        </w:r>
      </w:hyperlink>
    </w:p>
    <w:p w14:paraId="4C42910D" w14:textId="18DD764C" w:rsidR="0079315E" w:rsidRPr="00382DF1" w:rsidRDefault="0079315E" w:rsidP="0079315E">
      <w:pPr>
        <w:jc w:val="both"/>
        <w:rPr>
          <w:lang w:val="en-US"/>
        </w:rPr>
      </w:pPr>
      <w:r w:rsidRPr="00382DF1">
        <w:rPr>
          <w:lang w:val="en-US"/>
        </w:rPr>
        <w:t xml:space="preserve">Rural, C., &amp; Maria, S. (2000). Variações anatômicas na dentição de cães sem raça definida anatomical variations in the dentition of mongrel domestic dogs. </w:t>
      </w:r>
      <w:r w:rsidRPr="00382DF1">
        <w:rPr>
          <w:i/>
          <w:iCs/>
          <w:lang w:val="en-US"/>
        </w:rPr>
        <w:t>(4),</w:t>
      </w:r>
      <w:r w:rsidRPr="00382DF1">
        <w:rPr>
          <w:lang w:val="en-US"/>
        </w:rPr>
        <w:t xml:space="preserve"> 655–659.</w:t>
      </w:r>
    </w:p>
    <w:p w14:paraId="587CBF91" w14:textId="28EC35F6" w:rsidR="0079315E" w:rsidRPr="00382DF1" w:rsidRDefault="0079315E" w:rsidP="0079315E">
      <w:pPr>
        <w:jc w:val="both"/>
        <w:rPr>
          <w:lang w:val="en-US"/>
        </w:rPr>
      </w:pPr>
      <w:r w:rsidRPr="00382DF1">
        <w:rPr>
          <w:i/>
          <w:iCs/>
          <w:lang w:val="en-US"/>
        </w:rPr>
        <w:lastRenderedPageBreak/>
        <w:t>Surgical management of the tight lip syndrome in the Shar Pei dog</w:t>
      </w:r>
      <w:r w:rsidRPr="00382DF1">
        <w:rPr>
          <w:lang w:val="en-US"/>
        </w:rPr>
        <w:t xml:space="preserve">. (1997). </w:t>
      </w:r>
      <w:r w:rsidRPr="00382DF1">
        <w:rPr>
          <w:i/>
          <w:iCs/>
          <w:lang w:val="en-US"/>
        </w:rPr>
        <w:t>Journal of Veterinary Dentistry</w:t>
      </w:r>
      <w:r w:rsidRPr="00382DF1">
        <w:rPr>
          <w:lang w:val="en-US"/>
        </w:rPr>
        <w:t>.</w:t>
      </w:r>
    </w:p>
    <w:p w14:paraId="2DD98667" w14:textId="08DEE315" w:rsidR="0079315E" w:rsidRPr="00382DF1" w:rsidRDefault="0079315E" w:rsidP="0079315E">
      <w:pPr>
        <w:jc w:val="both"/>
        <w:rPr>
          <w:lang w:val="en-US"/>
        </w:rPr>
      </w:pPr>
      <w:r w:rsidRPr="00382DF1">
        <w:rPr>
          <w:lang w:val="en-US"/>
        </w:rPr>
        <w:t xml:space="preserve">Sittijarusub, I., Sukho, P., Supannawapat, P. and Suemanotham, N. (2021). </w:t>
      </w:r>
      <w:r w:rsidRPr="00382DF1">
        <w:rPr>
          <w:i/>
          <w:iCs/>
          <w:lang w:val="en-US"/>
        </w:rPr>
        <w:t>Generalized enamel hypoplasia in a dog: a case report.</w:t>
      </w:r>
      <w:r w:rsidRPr="00382DF1">
        <w:rPr>
          <w:lang w:val="en-US"/>
        </w:rPr>
        <w:t xml:space="preserve"> </w:t>
      </w:r>
      <w:r w:rsidRPr="00382DF1">
        <w:rPr>
          <w:i/>
          <w:iCs/>
          <w:lang w:val="en-US"/>
        </w:rPr>
        <w:t>The Thai Journal of Veterinary Medicine</w:t>
      </w:r>
      <w:r w:rsidRPr="00382DF1">
        <w:rPr>
          <w:lang w:val="en-US"/>
        </w:rPr>
        <w:t>, 51(2), pp.375–385.</w:t>
      </w:r>
    </w:p>
    <w:p w14:paraId="3428A77C" w14:textId="69BA3F65" w:rsidR="0079315E" w:rsidRPr="00382DF1" w:rsidRDefault="0079315E" w:rsidP="0079315E">
      <w:pPr>
        <w:jc w:val="both"/>
        <w:rPr>
          <w:lang w:val="en-US"/>
        </w:rPr>
      </w:pPr>
      <w:r w:rsidRPr="00382DF1">
        <w:rPr>
          <w:lang w:val="en-US"/>
        </w:rPr>
        <w:t xml:space="preserve">Tucker, A. and Sharpe, P. (2004). </w:t>
      </w:r>
      <w:r w:rsidRPr="00382DF1">
        <w:rPr>
          <w:i/>
          <w:iCs/>
          <w:lang w:val="en-US"/>
        </w:rPr>
        <w:t>The cutting-edge of mammalian development; how the embryo makes teeth</w:t>
      </w:r>
      <w:r w:rsidRPr="00382DF1">
        <w:rPr>
          <w:lang w:val="en-US"/>
        </w:rPr>
        <w:t xml:space="preserve">. </w:t>
      </w:r>
      <w:r w:rsidRPr="00382DF1">
        <w:rPr>
          <w:i/>
          <w:iCs/>
          <w:lang w:val="en-US"/>
        </w:rPr>
        <w:t>Nature Reviews Genetics</w:t>
      </w:r>
      <w:r w:rsidRPr="00382DF1">
        <w:rPr>
          <w:lang w:val="en-US"/>
        </w:rPr>
        <w:t>, 5(7), pp.499–508. </w:t>
      </w:r>
    </w:p>
    <w:p w14:paraId="2D77C9EB" w14:textId="291EEA52" w:rsidR="0079315E" w:rsidRPr="00382DF1" w:rsidRDefault="0079315E" w:rsidP="0079315E">
      <w:pPr>
        <w:jc w:val="both"/>
        <w:rPr>
          <w:lang w:val="en-US"/>
        </w:rPr>
      </w:pPr>
      <w:r w:rsidRPr="00382DF1">
        <w:rPr>
          <w:lang w:val="en-US"/>
        </w:rPr>
        <w:t xml:space="preserve">UFO Themes (2017). </w:t>
      </w:r>
      <w:r w:rsidRPr="00382DF1">
        <w:rPr>
          <w:i/>
          <w:iCs/>
          <w:lang w:val="en-US"/>
        </w:rPr>
        <w:t>14 Enamel Hypocalcification</w:t>
      </w:r>
      <w:r w:rsidRPr="00382DF1">
        <w:rPr>
          <w:lang w:val="en-US"/>
        </w:rPr>
        <w:t>. [online] Veterian Key.</w:t>
      </w:r>
    </w:p>
    <w:p w14:paraId="34F384C7" w14:textId="22102375" w:rsidR="0079315E" w:rsidRPr="00382DF1" w:rsidRDefault="0079315E" w:rsidP="0079315E">
      <w:pPr>
        <w:jc w:val="both"/>
        <w:rPr>
          <w:lang w:val="en-US"/>
        </w:rPr>
      </w:pPr>
      <w:r w:rsidRPr="00382DF1">
        <w:rPr>
          <w:lang w:val="fr-FR"/>
        </w:rPr>
        <w:t xml:space="preserve">Vieira, A.L.S., de Ocarino, N.M., Boeloni, J.N. and Serakides, R. (2009). </w:t>
      </w:r>
      <w:r w:rsidRPr="00382DF1">
        <w:rPr>
          <w:i/>
          <w:iCs/>
          <w:lang w:val="en-US"/>
        </w:rPr>
        <w:t>Congenital oligodontia of the deciduous teeth and anodontia of the permanent teeth in a cat. Journal of Feline Medicine and Surgery</w:t>
      </w:r>
      <w:r w:rsidRPr="00382DF1">
        <w:rPr>
          <w:lang w:val="en-US"/>
        </w:rPr>
        <w:t>, 11(2), pp.156–158. </w:t>
      </w:r>
    </w:p>
    <w:p w14:paraId="23C46C6D" w14:textId="602D06E9" w:rsidR="0079315E" w:rsidRPr="00CB3A31" w:rsidRDefault="0079315E" w:rsidP="0079315E">
      <w:pPr>
        <w:jc w:val="both"/>
      </w:pPr>
      <w:r w:rsidRPr="00382DF1">
        <w:rPr>
          <w:lang w:val="en-US"/>
        </w:rPr>
        <w:t xml:space="preserve">Ziemann, D., Schreyer, J. and Gawor, J. (2026). </w:t>
      </w:r>
      <w:r w:rsidRPr="00382DF1">
        <w:rPr>
          <w:i/>
          <w:iCs/>
          <w:lang w:val="en-US"/>
        </w:rPr>
        <w:t>Retained Deciduous Tooth Root Remnants in Dogs: A Ten-Year Retrospective Study</w:t>
      </w:r>
      <w:r w:rsidRPr="00382DF1">
        <w:rPr>
          <w:lang w:val="en-US"/>
        </w:rPr>
        <w:t xml:space="preserve">. </w:t>
      </w:r>
      <w:r w:rsidRPr="0079315E">
        <w:rPr>
          <w:i/>
          <w:iCs/>
        </w:rPr>
        <w:t>Journal of Veterinary Dentistry</w:t>
      </w:r>
      <w:r w:rsidRPr="0079315E">
        <w:t>. </w:t>
      </w:r>
    </w:p>
    <w:p w14:paraId="74229653" w14:textId="3A6EF675" w:rsidR="0079315E" w:rsidRPr="00CB3A31" w:rsidRDefault="0079315E" w:rsidP="0079315E">
      <w:pPr>
        <w:jc w:val="both"/>
      </w:pPr>
      <w:r w:rsidRPr="0079315E">
        <w:t xml:space="preserve">Αληφακιώτη, Ε., 2020. </w:t>
      </w:r>
      <w:r w:rsidRPr="0079315E">
        <w:rPr>
          <w:i/>
          <w:iCs/>
        </w:rPr>
        <w:t>Μορφολογική και χημική ανάλυση της υπεναλατωμένης αδαμαντίνης νεογιλών δοντιών και σύγκριση με την αδαμαντίνη των μονίμων δοντιών τύπου Υπεναλάτωσης Γομφίων Τομέων</w:t>
      </w:r>
      <w:r w:rsidRPr="0079315E">
        <w:t>. Μεταπτυχιακή διπλωματική εργασία. Αριστοτέλειο Πανεπιστήμιο Θεσσαλονίκης.</w:t>
      </w:r>
    </w:p>
    <w:p w14:paraId="6DEDF04D" w14:textId="77777777" w:rsidR="0079315E" w:rsidRPr="0079315E" w:rsidRDefault="0079315E" w:rsidP="0079315E">
      <w:pPr>
        <w:jc w:val="both"/>
      </w:pPr>
      <w:r w:rsidRPr="0079315E">
        <w:t xml:space="preserve">Σακκά, Δ., 2020. </w:t>
      </w:r>
      <w:r w:rsidRPr="0079315E">
        <w:rPr>
          <w:i/>
          <w:iCs/>
        </w:rPr>
        <w:t>Συγκριτική αξιολόγηση των διαφόρων συγκεντρώσεων αιμοπεταλίων και των συμπληρωμάτων τους, στην αναγεννητική ενδοδοντία</w:t>
      </w:r>
      <w:r w:rsidRPr="0079315E">
        <w:t>. Μεταπτυχιακή διπλωματική εργασία. Αριστοτέλειο Πανεπιστήμιο Θεσσαλονίκης. </w:t>
      </w:r>
    </w:p>
    <w:p w14:paraId="5C28A771" w14:textId="77777777" w:rsidR="0079315E" w:rsidRPr="00CB3A31" w:rsidRDefault="0079315E" w:rsidP="0079315E">
      <w:pPr>
        <w:jc w:val="both"/>
      </w:pPr>
    </w:p>
    <w:p w14:paraId="4B0E6870" w14:textId="77777777" w:rsidR="0079315E" w:rsidRPr="00CB3A31" w:rsidRDefault="0079315E" w:rsidP="0079315E">
      <w:pPr>
        <w:jc w:val="both"/>
      </w:pPr>
    </w:p>
    <w:p w14:paraId="0544C07E" w14:textId="77777777" w:rsidR="0079315E" w:rsidRPr="00CB3A31" w:rsidRDefault="0079315E" w:rsidP="0079315E">
      <w:pPr>
        <w:jc w:val="both"/>
      </w:pPr>
    </w:p>
    <w:p w14:paraId="4B655589" w14:textId="77777777" w:rsidR="0079315E" w:rsidRPr="00CB3A31" w:rsidRDefault="0079315E" w:rsidP="0079315E">
      <w:pPr>
        <w:jc w:val="both"/>
      </w:pPr>
    </w:p>
    <w:p w14:paraId="576892F0" w14:textId="77777777" w:rsidR="0079315E" w:rsidRPr="00CB3A31" w:rsidRDefault="0079315E" w:rsidP="0079315E">
      <w:pPr>
        <w:jc w:val="both"/>
      </w:pPr>
    </w:p>
    <w:p w14:paraId="00636E4F" w14:textId="77777777" w:rsidR="0079315E" w:rsidRPr="00CB3A31" w:rsidRDefault="0079315E" w:rsidP="0079315E">
      <w:pPr>
        <w:jc w:val="both"/>
      </w:pPr>
    </w:p>
    <w:p w14:paraId="618FDB33" w14:textId="77777777" w:rsidR="0079315E" w:rsidRPr="00CB3A31" w:rsidRDefault="0079315E" w:rsidP="0079315E">
      <w:pPr>
        <w:jc w:val="both"/>
      </w:pPr>
    </w:p>
    <w:p w14:paraId="3046BDD1" w14:textId="77777777" w:rsidR="0079315E" w:rsidRPr="00CB3A31" w:rsidRDefault="0079315E" w:rsidP="0079315E">
      <w:pPr>
        <w:jc w:val="both"/>
      </w:pPr>
    </w:p>
    <w:p w14:paraId="2A7AAE18" w14:textId="77777777" w:rsidR="0079315E" w:rsidRPr="00CB3A31" w:rsidRDefault="0079315E" w:rsidP="0079315E">
      <w:pPr>
        <w:jc w:val="both"/>
      </w:pPr>
    </w:p>
    <w:p w14:paraId="1F716BE4" w14:textId="77777777" w:rsidR="0079315E" w:rsidRPr="00CB3A31" w:rsidRDefault="0079315E" w:rsidP="0079315E">
      <w:pPr>
        <w:jc w:val="both"/>
      </w:pPr>
    </w:p>
    <w:p w14:paraId="342FE7B4" w14:textId="77777777" w:rsidR="0079315E" w:rsidRPr="00CB3A31" w:rsidRDefault="0079315E" w:rsidP="0079315E">
      <w:pPr>
        <w:jc w:val="both"/>
      </w:pPr>
    </w:p>
    <w:p w14:paraId="1015657B" w14:textId="77777777" w:rsidR="0079315E" w:rsidRPr="00CB3A31" w:rsidRDefault="0079315E" w:rsidP="0079315E">
      <w:pPr>
        <w:jc w:val="both"/>
      </w:pPr>
    </w:p>
    <w:p w14:paraId="5F15D7AC" w14:textId="77777777" w:rsidR="0079315E" w:rsidRPr="00CB3A31" w:rsidRDefault="0079315E" w:rsidP="0079315E">
      <w:pPr>
        <w:jc w:val="both"/>
      </w:pPr>
    </w:p>
    <w:p w14:paraId="67B62ECF" w14:textId="77777777" w:rsidR="0079315E" w:rsidRPr="00CB3A31" w:rsidRDefault="0079315E" w:rsidP="0079315E">
      <w:pPr>
        <w:jc w:val="both"/>
      </w:pPr>
    </w:p>
    <w:p w14:paraId="4154218D" w14:textId="77777777" w:rsidR="0079315E" w:rsidRPr="00CB3A31" w:rsidRDefault="0079315E" w:rsidP="0079315E">
      <w:pPr>
        <w:jc w:val="both"/>
      </w:pPr>
    </w:p>
    <w:p w14:paraId="0526113E" w14:textId="77777777" w:rsidR="0079315E" w:rsidRPr="00CB3A31" w:rsidRDefault="0079315E" w:rsidP="0079315E">
      <w:pPr>
        <w:jc w:val="both"/>
      </w:pPr>
    </w:p>
    <w:p w14:paraId="1EAC826E" w14:textId="77777777" w:rsidR="0079315E" w:rsidRPr="0079315E" w:rsidRDefault="0079315E" w:rsidP="0079315E">
      <w:pPr>
        <w:jc w:val="both"/>
      </w:pPr>
      <w:r w:rsidRPr="0079315E">
        <w:rPr>
          <w:b/>
          <w:bCs/>
        </w:rPr>
        <w:lastRenderedPageBreak/>
        <w:t>Βλεννοκήλη της Χοληδόχου Κύστης: Αναδρομική Μελέτη Κλινικών Περιστατικών.</w:t>
      </w:r>
    </w:p>
    <w:p w14:paraId="5B146A69" w14:textId="20702BFA" w:rsidR="0079315E" w:rsidRPr="0079315E" w:rsidRDefault="0079315E" w:rsidP="0079315E">
      <w:pPr>
        <w:jc w:val="both"/>
      </w:pPr>
      <w:r w:rsidRPr="0079315E">
        <w:t>Μάστακας Αθανάσιος</w:t>
      </w:r>
      <w:r w:rsidRPr="0079315E">
        <w:rPr>
          <w:vertAlign w:val="superscript"/>
        </w:rPr>
        <w:t>1</w:t>
      </w:r>
      <w:r w:rsidRPr="0079315E">
        <w:t>, Γούκος Βασίλειος</w:t>
      </w:r>
      <w:r w:rsidRPr="0079315E">
        <w:rPr>
          <w:vertAlign w:val="superscript"/>
        </w:rPr>
        <w:t>1</w:t>
      </w:r>
      <w:r w:rsidRPr="0079315E">
        <w:t>, Παπάζογλου Λυσίμαχος</w:t>
      </w:r>
      <w:r w:rsidRPr="0079315E">
        <w:rPr>
          <w:vertAlign w:val="superscript"/>
        </w:rPr>
        <w:t>2</w:t>
      </w:r>
    </w:p>
    <w:p w14:paraId="39431DAE" w14:textId="77777777" w:rsidR="0079315E" w:rsidRPr="0079315E" w:rsidRDefault="0079315E" w:rsidP="0079315E">
      <w:pPr>
        <w:numPr>
          <w:ilvl w:val="0"/>
          <w:numId w:val="16"/>
        </w:numPr>
        <w:jc w:val="both"/>
      </w:pPr>
      <w:r w:rsidRPr="0079315E">
        <w:t>Προπτυχιακός Φοιτητής/-τρια, Τμήμα Κτηνιατρικής, Σχολή Επιστημών Υγείας, Αριστοτέλειο Πανεπιστήμιο Θεσσαλονίκης</w:t>
      </w:r>
    </w:p>
    <w:p w14:paraId="5ED66663" w14:textId="77777777" w:rsidR="0079315E" w:rsidRPr="0079315E" w:rsidRDefault="0079315E" w:rsidP="0079315E">
      <w:pPr>
        <w:numPr>
          <w:ilvl w:val="0"/>
          <w:numId w:val="16"/>
        </w:numPr>
        <w:jc w:val="both"/>
      </w:pPr>
      <w:r w:rsidRPr="0079315E">
        <w:t>Καθηγητής Χειρουργικής Μαλακών Ιστών, Κλινική Ζώων Συντροφιάς, Τμήμα Κτηνιατρικής, Σχολή Επιστημών Υγείας, Αριστοτέλειο Πανεπιστήμιο Θεσσαλονίκης</w:t>
      </w:r>
    </w:p>
    <w:p w14:paraId="4C38B074" w14:textId="77777777" w:rsidR="0079315E" w:rsidRPr="0079315E" w:rsidRDefault="0079315E" w:rsidP="0079315E">
      <w:pPr>
        <w:ind w:left="720"/>
        <w:jc w:val="both"/>
      </w:pPr>
    </w:p>
    <w:p w14:paraId="6222DD6C" w14:textId="77777777" w:rsidR="0079315E" w:rsidRPr="0079315E" w:rsidRDefault="0079315E" w:rsidP="0079315E">
      <w:pPr>
        <w:jc w:val="both"/>
      </w:pPr>
      <w:r w:rsidRPr="0079315E">
        <w:rPr>
          <w:b/>
          <w:bCs/>
        </w:rPr>
        <w:t>Περίληψη</w:t>
      </w:r>
    </w:p>
    <w:p w14:paraId="6E9562EE" w14:textId="77777777" w:rsidR="0079315E" w:rsidRPr="0079315E" w:rsidRDefault="0079315E" w:rsidP="0079315E">
      <w:pPr>
        <w:jc w:val="both"/>
      </w:pPr>
      <w:r w:rsidRPr="0079315E">
        <w:t>Η βλεννοκήλη της χοληδόχου κύστης (Gallbladder Mucocele - GBM) αναφέρεται στην παθολογική συσσώρευση παχύρευστης βλέννης και χολής, γεγονός που μπορεί να οδηγήσει σε απόφραξη της χοληφόρου οδού, ρήξη της κύστης και εμφάνιση χολοπεριτόναιου. Σκοπός της παρούσας αναδρομικής εργασίας αποτελεί η ανάδειξη των συχνότερων κλινικών συμπτωμάτων, των θεραπευτικών επιλογών και της πρόγνωσης σε 20 κλινικά περιστατικά. </w:t>
      </w:r>
    </w:p>
    <w:p w14:paraId="74013779" w14:textId="77777777" w:rsidR="0079315E" w:rsidRPr="0079315E" w:rsidRDefault="0079315E" w:rsidP="0079315E">
      <w:pPr>
        <w:jc w:val="both"/>
      </w:pPr>
      <w:r w:rsidRPr="0079315E">
        <w:t>Σκύλοι των φυλών Shetland Sheepdogs, Cocker Spaniels, Miniature Schnauzers και Chihuahua εμφανίζουν γενετική προδιάθεση, με την βασική αιτία της νόσου να παραμένει άγνωστη. Πρόσφατες μελέτες έχουν συνδέσει την βλεννοκήλη της χοληδόχου κύστης με ορισμένες ενδοκρινοπάθειες και μεταβολικές διαταραχές. Για την διάγνωση χρησιμοποιούνται στοιχεία του ιστορικού, κλινικά συμπτώματα, εργαστηριακές εξετάσεις, ανάλυση ούρων και υπερηχοτομογραφική εξέταση.</w:t>
      </w:r>
    </w:p>
    <w:p w14:paraId="6DBA1643" w14:textId="77777777" w:rsidR="0079315E" w:rsidRPr="0079315E" w:rsidRDefault="0079315E" w:rsidP="0079315E">
      <w:pPr>
        <w:jc w:val="both"/>
      </w:pPr>
      <w:r w:rsidRPr="0079315E">
        <w:t>Θεραπευτικά προτιμάται η χολοκυστεκτομή, η οποία εμφανίζει πολύ ικανοποιητική μακροχρόνια πρόγνωση, με την προϋπόθεση να επιβιώσει ο ασθενής την άμεση μετεγχειρητική περίοδο. Εναλλακτικά, σε περίπτωση που ο ασθενής διαγνωστεί τυχαία και δεν εμφανίζει συμπτώματα, δύναται η εφαρμογή συντηρητικής θεραπείας, με χορήγηση ουρσοδεοξυχολικού οξέος, που απαιτεί ωστόσο στενή παρακολούθηση, λόγω του κινδύνου ρήξης και χολοπεριτονίτιδας.</w:t>
      </w:r>
    </w:p>
    <w:p w14:paraId="16F50B8B" w14:textId="77777777" w:rsidR="0079315E" w:rsidRPr="0079315E" w:rsidRDefault="0079315E" w:rsidP="0079315E">
      <w:pPr>
        <w:jc w:val="both"/>
      </w:pPr>
    </w:p>
    <w:p w14:paraId="51C88912" w14:textId="77777777" w:rsidR="0079315E" w:rsidRPr="0079315E" w:rsidRDefault="0079315E" w:rsidP="0079315E">
      <w:pPr>
        <w:jc w:val="both"/>
      </w:pPr>
      <w:r w:rsidRPr="0079315E">
        <w:rPr>
          <w:b/>
          <w:bCs/>
        </w:rPr>
        <w:t>Βιβλιογραφία</w:t>
      </w:r>
    </w:p>
    <w:p w14:paraId="3866F051" w14:textId="35D6253D" w:rsidR="0079315E" w:rsidRPr="00382DF1" w:rsidRDefault="0079315E" w:rsidP="0079315E">
      <w:pPr>
        <w:jc w:val="both"/>
        <w:rPr>
          <w:lang w:val="en-US"/>
        </w:rPr>
      </w:pPr>
      <w:r w:rsidRPr="0079315E">
        <w:t xml:space="preserve">Aguirre, A. L., κ.ά. (2007). </w:t>
      </w:r>
      <w:r w:rsidRPr="00382DF1">
        <w:rPr>
          <w:lang w:val="en-US"/>
        </w:rPr>
        <w:t>"</w:t>
      </w:r>
      <w:r w:rsidRPr="00382DF1">
        <w:rPr>
          <w:i/>
          <w:iCs/>
          <w:lang w:val="en-US"/>
        </w:rPr>
        <w:t xml:space="preserve">Gallbladder disease in Shetland Sheepdogs: 38 cases </w:t>
      </w:r>
      <w:r w:rsidRPr="00382DF1">
        <w:rPr>
          <w:lang w:val="en-US"/>
        </w:rPr>
        <w:t xml:space="preserve">(1995–2005)". </w:t>
      </w:r>
      <w:r w:rsidRPr="00382DF1">
        <w:rPr>
          <w:i/>
          <w:iCs/>
          <w:lang w:val="en-US"/>
        </w:rPr>
        <w:t>JAVMA</w:t>
      </w:r>
      <w:r w:rsidRPr="00382DF1">
        <w:rPr>
          <w:lang w:val="en-US"/>
        </w:rPr>
        <w:t>.</w:t>
      </w:r>
    </w:p>
    <w:p w14:paraId="00903D52" w14:textId="735F597E" w:rsidR="0079315E" w:rsidRPr="00382DF1" w:rsidRDefault="0079315E" w:rsidP="0079315E">
      <w:pPr>
        <w:jc w:val="both"/>
        <w:rPr>
          <w:lang w:val="en-US"/>
        </w:rPr>
      </w:pPr>
      <w:r w:rsidRPr="00382DF1">
        <w:rPr>
          <w:lang w:val="en-US"/>
        </w:rPr>
        <w:t>Cook, A. K. &amp; Simpson, K. W. (2015). "</w:t>
      </w:r>
      <w:r w:rsidRPr="00382DF1">
        <w:rPr>
          <w:i/>
          <w:iCs/>
          <w:lang w:val="en-US"/>
        </w:rPr>
        <w:t>Gallbladder Mucocele"</w:t>
      </w:r>
      <w:r w:rsidRPr="00382DF1">
        <w:rPr>
          <w:lang w:val="en-US"/>
        </w:rPr>
        <w:t xml:space="preserve">. </w:t>
      </w:r>
      <w:r w:rsidRPr="00382DF1">
        <w:rPr>
          <w:i/>
          <w:iCs/>
          <w:lang w:val="en-US"/>
        </w:rPr>
        <w:t>Veterinary Clinics: Small Animal Practice</w:t>
      </w:r>
      <w:r w:rsidRPr="00382DF1">
        <w:rPr>
          <w:lang w:val="en-US"/>
        </w:rPr>
        <w:t>.</w:t>
      </w:r>
    </w:p>
    <w:p w14:paraId="17B48AE4" w14:textId="2BF929CA" w:rsidR="0079315E" w:rsidRPr="00382DF1" w:rsidRDefault="0079315E" w:rsidP="0079315E">
      <w:pPr>
        <w:jc w:val="both"/>
        <w:rPr>
          <w:lang w:val="en-US"/>
        </w:rPr>
      </w:pPr>
      <w:r w:rsidRPr="00382DF1">
        <w:rPr>
          <w:lang w:val="fr-FR"/>
        </w:rPr>
        <w:t xml:space="preserve">Mesich, A. J., et al. </w:t>
      </w:r>
      <w:r w:rsidRPr="00382DF1">
        <w:rPr>
          <w:lang w:val="en-US"/>
        </w:rPr>
        <w:t>(2009). "</w:t>
      </w:r>
      <w:r w:rsidRPr="00382DF1">
        <w:rPr>
          <w:i/>
          <w:iCs/>
          <w:lang w:val="en-US"/>
        </w:rPr>
        <w:t>Gallbladder mucoceles and their association with hyperadrenocorticism in dogs: 30 cases</w:t>
      </w:r>
      <w:r w:rsidRPr="00382DF1">
        <w:rPr>
          <w:lang w:val="en-US"/>
        </w:rPr>
        <w:t xml:space="preserve"> (2006–2009)." </w:t>
      </w:r>
      <w:r w:rsidRPr="00382DF1">
        <w:rPr>
          <w:i/>
          <w:iCs/>
          <w:lang w:val="en-US"/>
        </w:rPr>
        <w:t>Journal of the American Animal Hospital Association</w:t>
      </w:r>
      <w:r w:rsidRPr="00382DF1">
        <w:rPr>
          <w:lang w:val="en-US"/>
        </w:rPr>
        <w:t>, 45(6), 274-278.</w:t>
      </w:r>
    </w:p>
    <w:p w14:paraId="4E7BAD93" w14:textId="10C4FD55" w:rsidR="0079315E" w:rsidRPr="00382DF1" w:rsidRDefault="0079315E" w:rsidP="0079315E">
      <w:pPr>
        <w:jc w:val="both"/>
        <w:rPr>
          <w:lang w:val="en-US"/>
        </w:rPr>
      </w:pPr>
      <w:r w:rsidRPr="00382DF1">
        <w:rPr>
          <w:lang w:val="en-US"/>
        </w:rPr>
        <w:t xml:space="preserve">Jaffey, J. A., et al. </w:t>
      </w:r>
      <w:r w:rsidRPr="0079315E">
        <w:t xml:space="preserve">(2019). </w:t>
      </w:r>
      <w:r w:rsidRPr="00382DF1">
        <w:rPr>
          <w:lang w:val="en-US"/>
        </w:rPr>
        <w:t>"</w:t>
      </w:r>
      <w:r w:rsidRPr="00382DF1">
        <w:rPr>
          <w:i/>
          <w:iCs/>
          <w:lang w:val="en-US"/>
        </w:rPr>
        <w:t>Factors associated with survival and development of septic peritonitis in dogs with gallbladder mucocele</w:t>
      </w:r>
      <w:r w:rsidRPr="00382DF1">
        <w:rPr>
          <w:lang w:val="en-US"/>
        </w:rPr>
        <w:t xml:space="preserve">." </w:t>
      </w:r>
      <w:r w:rsidRPr="00382DF1">
        <w:rPr>
          <w:i/>
          <w:iCs/>
          <w:lang w:val="en-US"/>
        </w:rPr>
        <w:t>Journal of the American Veterinary Medical Association</w:t>
      </w:r>
      <w:r w:rsidRPr="00382DF1">
        <w:rPr>
          <w:lang w:val="en-US"/>
        </w:rPr>
        <w:t>, 254(12), 1429-1435.</w:t>
      </w:r>
    </w:p>
    <w:p w14:paraId="2512AD2A" w14:textId="70375C46" w:rsidR="0079315E" w:rsidRPr="00CB3A31" w:rsidRDefault="0079315E" w:rsidP="0079315E">
      <w:pPr>
        <w:jc w:val="both"/>
      </w:pPr>
      <w:r w:rsidRPr="00382DF1">
        <w:rPr>
          <w:lang w:val="en-US"/>
        </w:rPr>
        <w:t xml:space="preserve">Malek, S., et al. </w:t>
      </w:r>
      <w:r w:rsidRPr="0079315E">
        <w:t xml:space="preserve">(2013). </w:t>
      </w:r>
      <w:r w:rsidRPr="00382DF1">
        <w:rPr>
          <w:lang w:val="en-US"/>
        </w:rPr>
        <w:t>"</w:t>
      </w:r>
      <w:r w:rsidRPr="00382DF1">
        <w:rPr>
          <w:i/>
          <w:iCs/>
          <w:lang w:val="en-US"/>
        </w:rPr>
        <w:t>Clinical findings and prognostic factors for dogs undergoing cholecystectomy for gall bladder mucocele</w:t>
      </w:r>
      <w:r w:rsidRPr="00382DF1">
        <w:rPr>
          <w:lang w:val="en-US"/>
        </w:rPr>
        <w:t xml:space="preserve">." </w:t>
      </w:r>
      <w:r w:rsidRPr="0079315E">
        <w:rPr>
          <w:i/>
          <w:iCs/>
        </w:rPr>
        <w:t>Veterinary</w:t>
      </w:r>
      <w:r w:rsidRPr="00CB3A31">
        <w:rPr>
          <w:i/>
          <w:iCs/>
        </w:rPr>
        <w:t xml:space="preserve"> </w:t>
      </w:r>
      <w:r w:rsidRPr="0079315E">
        <w:rPr>
          <w:i/>
          <w:iCs/>
        </w:rPr>
        <w:t>Surgery</w:t>
      </w:r>
      <w:r w:rsidRPr="00CB3A31">
        <w:t>, 42(4), 418-426.</w:t>
      </w:r>
    </w:p>
    <w:p w14:paraId="0CE10623" w14:textId="77777777" w:rsidR="0079315E" w:rsidRPr="00CB3A31" w:rsidRDefault="0079315E" w:rsidP="0079315E">
      <w:pPr>
        <w:jc w:val="both"/>
      </w:pPr>
    </w:p>
    <w:p w14:paraId="5889DCD4" w14:textId="77777777" w:rsidR="0079315E" w:rsidRPr="0079315E" w:rsidRDefault="0079315E" w:rsidP="0079315E">
      <w:pPr>
        <w:jc w:val="both"/>
      </w:pPr>
      <w:r w:rsidRPr="0079315E">
        <w:rPr>
          <w:b/>
          <w:bCs/>
        </w:rPr>
        <w:lastRenderedPageBreak/>
        <w:t>Πρωκτοπλαστική για αφαίρεση αδενικαρκινώματος περιπρωκτικού θυλάκου σε σκύλο.</w:t>
      </w:r>
    </w:p>
    <w:p w14:paraId="3BE9902D" w14:textId="77777777" w:rsidR="0079315E" w:rsidRPr="0079315E" w:rsidRDefault="0079315E" w:rsidP="0079315E">
      <w:pPr>
        <w:jc w:val="both"/>
      </w:pPr>
      <w:r w:rsidRPr="0079315E">
        <w:t>Ντάλλα Δανάη-Μαρία</w:t>
      </w:r>
      <w:r w:rsidRPr="0079315E">
        <w:rPr>
          <w:vertAlign w:val="superscript"/>
        </w:rPr>
        <w:t>1</w:t>
      </w:r>
      <w:r w:rsidRPr="0079315E">
        <w:t>, Παπάζογλου Λυσίμαχος</w:t>
      </w:r>
      <w:r w:rsidRPr="0079315E">
        <w:rPr>
          <w:vertAlign w:val="superscript"/>
        </w:rPr>
        <w:t>2</w:t>
      </w:r>
    </w:p>
    <w:p w14:paraId="0A4CDC0D" w14:textId="77777777" w:rsidR="0079315E" w:rsidRPr="0079315E" w:rsidRDefault="0079315E" w:rsidP="0079315E">
      <w:pPr>
        <w:numPr>
          <w:ilvl w:val="0"/>
          <w:numId w:val="17"/>
        </w:numPr>
        <w:jc w:val="both"/>
      </w:pPr>
      <w:r w:rsidRPr="0079315E">
        <w:t>Προπτυχιακή φοιτήτρια, Τμήμα Κτηνιατρικής, Σχολή Επιστημών Υγείας, Αριστοτέλειο Πανεπιστήμιο Θεσσαλονίκης. </w:t>
      </w:r>
    </w:p>
    <w:p w14:paraId="41A2A00F" w14:textId="77777777" w:rsidR="0079315E" w:rsidRPr="0079315E" w:rsidRDefault="0079315E" w:rsidP="0079315E">
      <w:pPr>
        <w:numPr>
          <w:ilvl w:val="0"/>
          <w:numId w:val="17"/>
        </w:numPr>
        <w:jc w:val="both"/>
      </w:pPr>
      <w:r w:rsidRPr="0079315E">
        <w:t>Καθηγητής Χειρουργικής Μαλακών Ιστών, Κλινική Ζώων Συντροφιάς, Τμήμα Κτηνιατρικής, Σχολής Επιστημών Υγείας, Αριστοτέλειο Πανεπιστήμιο Θεσσαλονίκης. </w:t>
      </w:r>
    </w:p>
    <w:p w14:paraId="16E34847" w14:textId="77777777" w:rsidR="0079315E" w:rsidRPr="0079315E" w:rsidRDefault="0079315E" w:rsidP="0079315E">
      <w:pPr>
        <w:jc w:val="both"/>
      </w:pPr>
    </w:p>
    <w:p w14:paraId="285883B1" w14:textId="77777777" w:rsidR="0079315E" w:rsidRPr="0079315E" w:rsidRDefault="0079315E" w:rsidP="0079315E">
      <w:pPr>
        <w:jc w:val="both"/>
      </w:pPr>
      <w:r w:rsidRPr="0079315E">
        <w:rPr>
          <w:b/>
          <w:bCs/>
        </w:rPr>
        <w:t>Περίληψη</w:t>
      </w:r>
    </w:p>
    <w:p w14:paraId="66C0E41B" w14:textId="77777777" w:rsidR="0079315E" w:rsidRPr="0079315E" w:rsidRDefault="0079315E" w:rsidP="0079315E">
      <w:pPr>
        <w:jc w:val="both"/>
      </w:pPr>
      <w:r w:rsidRPr="0079315E">
        <w:t>Η παρούσα εργασία επικεντρώνεται στην ανάλυση ενός κλινικού περιστατικού με περιπρωκτική μάζα συμβατή με αδενοκαρκίνωμα του περιπρωκτικού θυλάκου (AGASACA). Ειδικότερα, αρσενικός σκύλος επτά ετών, στειρωμένος και φυλής Labrador υποβλήθηκε σε χειρουργείο πρωκτοπλαστικής 360°, καθώς αρχικά διαπιστώθηκε με δακτυλική ψηλάφηση διόγκωση της περιπρωκτικής χώρας και στένωση του απευθυσμένου αριστερά. Ο σκύλος υποβλήθηκε προεγχειρητικά σε υπολογιστική τομογραφία θώρακος και κοιλίας χωρίς αξιόλογα ευρήματα. Η επιβεβαίωση της διάγνωσης έγινε ύστερα από ιστοπαθολογική εξέταση, τα ευρήματα της οποίας ήταν συμβατά με AGASACA. Λίγες ημέρες αργότερα εμφανίστηκαν οι πρώτες μετεγχειρητικές επιπλοκές. Σε αυτές περιλαμβάνονται η διάσπαση της τομής και η επιμόλυνση του χειρουργικού τραύματος όπου και αντιμετωπίστηκαν με διαχείριση του ανοικτού τραύματος και επούλωση κατά δεύτερο σκοπό. Το τραύμα επουλώθηκε μετά από 30 ημέρες. Σαράντα ημέρες μετά, ο σκύλος επαναπροσκομήστηκε λόγω στένωσης του ορθού για την αντιμετώπιση της οποίας πραγματοποιήθηκε μηχανική δακτυλική διάνοιξη σε τέσσερις συνεδρίες. Έξι μήνες μετεγχειρητικά ο σκύλος είναι απαλλαγμένος συμπτωμάτων. Η διάσπαση του τραύματος της περιπρωκτικής χώρας μετά από αφαίρεση μαζών παρατηρείται συχνά και η αντιμετώπιση της περιλαμβάνει την επούλωση κατά δεύτερο σκοπό. Τέλος, η στένωση του πρωκτού αποτελεί συχνή επιπλοκή της επούλωσης που αντιμετωπίζεται επιτυχώς με διαστολή διαμέσου δακτυλικής ψηλάφησης.</w:t>
      </w:r>
    </w:p>
    <w:p w14:paraId="10FBD29A" w14:textId="77777777" w:rsidR="0079315E" w:rsidRPr="0079315E" w:rsidRDefault="0079315E" w:rsidP="0079315E">
      <w:pPr>
        <w:jc w:val="both"/>
      </w:pPr>
    </w:p>
    <w:p w14:paraId="27CB1BEA" w14:textId="77777777" w:rsidR="0079315E" w:rsidRPr="00382DF1" w:rsidRDefault="0079315E" w:rsidP="0079315E">
      <w:pPr>
        <w:jc w:val="both"/>
        <w:rPr>
          <w:lang w:val="en-US"/>
        </w:rPr>
      </w:pPr>
      <w:r w:rsidRPr="0079315E">
        <w:rPr>
          <w:b/>
          <w:bCs/>
        </w:rPr>
        <w:t>Βιβλιογραφία</w:t>
      </w:r>
    </w:p>
    <w:p w14:paraId="6A37DF5C" w14:textId="2FB52A28" w:rsidR="0079315E" w:rsidRPr="00382DF1" w:rsidRDefault="0079315E" w:rsidP="0079315E">
      <w:pPr>
        <w:jc w:val="both"/>
        <w:rPr>
          <w:lang w:val="en-US"/>
        </w:rPr>
      </w:pPr>
      <w:r w:rsidRPr="00382DF1">
        <w:rPr>
          <w:lang w:val="en-US"/>
        </w:rPr>
        <w:t>Fossum, T.W. (2018) </w:t>
      </w:r>
      <w:r w:rsidRPr="00382DF1">
        <w:rPr>
          <w:i/>
          <w:iCs/>
          <w:lang w:val="en-US"/>
        </w:rPr>
        <w:t>Small animal surgery</w:t>
      </w:r>
      <w:r w:rsidRPr="00382DF1">
        <w:rPr>
          <w:lang w:val="en-US"/>
        </w:rPr>
        <w:t>. 5th ed., Philadelphia, PA: Elsevier.</w:t>
      </w:r>
    </w:p>
    <w:p w14:paraId="7495C387" w14:textId="541F1845" w:rsidR="0079315E" w:rsidRPr="00CB3A31" w:rsidRDefault="0079315E" w:rsidP="0079315E">
      <w:pPr>
        <w:jc w:val="both"/>
      </w:pPr>
      <w:r w:rsidRPr="0079315E">
        <w:t>Monnet, E. (2014) </w:t>
      </w:r>
      <w:r w:rsidRPr="0079315E">
        <w:rPr>
          <w:i/>
          <w:iCs/>
        </w:rPr>
        <w:t>Χειρουργική μαλακών ιστών των μικρών ζώων</w:t>
      </w:r>
      <w:r w:rsidRPr="0079315E">
        <w:t>. Επιμέλεια ελληνικής έκδοσης Λ.Γ. Παπάζογλου και Β.Γ. Τσιώλη. 2η έκδ. Θεσσαλονίκη: Εκδόσεις Ροτόντα.</w:t>
      </w:r>
    </w:p>
    <w:p w14:paraId="7947715C" w14:textId="47F303CE" w:rsidR="0079315E" w:rsidRPr="00382DF1" w:rsidRDefault="0079315E" w:rsidP="0079315E">
      <w:pPr>
        <w:jc w:val="both"/>
        <w:rPr>
          <w:lang w:val="en-US"/>
        </w:rPr>
      </w:pPr>
      <w:r w:rsidRPr="0079315E">
        <w:t>Davey</w:t>
      </w:r>
      <w:r w:rsidRPr="00CB3A31">
        <w:t xml:space="preserve">, </w:t>
      </w:r>
      <w:r w:rsidRPr="0079315E">
        <w:t>E</w:t>
      </w:r>
      <w:r w:rsidRPr="00CB3A31">
        <w:t>.</w:t>
      </w:r>
      <w:r w:rsidRPr="0079315E">
        <w:t>L</w:t>
      </w:r>
      <w:r w:rsidRPr="00CB3A31">
        <w:t xml:space="preserve">. </w:t>
      </w:r>
      <w:r w:rsidRPr="0079315E">
        <w:t>and</w:t>
      </w:r>
      <w:r w:rsidRPr="00CB3A31">
        <w:t xml:space="preserve"> </w:t>
      </w:r>
      <w:r w:rsidRPr="0079315E">
        <w:t>Prpich</w:t>
      </w:r>
      <w:r w:rsidRPr="00CB3A31">
        <w:t xml:space="preserve">, </w:t>
      </w:r>
      <w:r w:rsidRPr="0079315E">
        <w:t>C</w:t>
      </w:r>
      <w:r w:rsidRPr="00CB3A31">
        <w:t>.</w:t>
      </w:r>
      <w:r w:rsidRPr="0079315E">
        <w:t>Y</w:t>
      </w:r>
      <w:r w:rsidRPr="00CB3A31">
        <w:t xml:space="preserve">., 2024. </w:t>
      </w:r>
      <w:r w:rsidRPr="00382DF1">
        <w:rPr>
          <w:i/>
          <w:iCs/>
          <w:lang w:val="en-US"/>
        </w:rPr>
        <w:t>Outcomes of dogs with apocrine gland anal sac adenocarcinoma treated via modified closed anal sacculectomy</w:t>
      </w:r>
      <w:r w:rsidRPr="00382DF1">
        <w:rPr>
          <w:lang w:val="en-US"/>
        </w:rPr>
        <w:t xml:space="preserve"> (2015–2022). </w:t>
      </w:r>
      <w:r w:rsidRPr="00382DF1">
        <w:rPr>
          <w:i/>
          <w:iCs/>
          <w:lang w:val="en-US"/>
        </w:rPr>
        <w:t>Veterinary Surgery</w:t>
      </w:r>
      <w:r w:rsidRPr="00382DF1">
        <w:rPr>
          <w:lang w:val="en-US"/>
        </w:rPr>
        <w:t>, 53(6), pp.973–979.</w:t>
      </w:r>
    </w:p>
    <w:p w14:paraId="32603F49" w14:textId="50E5CF86" w:rsidR="0079315E" w:rsidRPr="00382DF1" w:rsidRDefault="0079315E" w:rsidP="0079315E">
      <w:pPr>
        <w:jc w:val="both"/>
        <w:rPr>
          <w:lang w:val="en-US"/>
        </w:rPr>
      </w:pPr>
      <w:r w:rsidRPr="00382DF1">
        <w:rPr>
          <w:lang w:val="en-US"/>
        </w:rPr>
        <w:t xml:space="preserve">VetSurg, n.d. </w:t>
      </w:r>
      <w:r w:rsidRPr="00382DF1">
        <w:rPr>
          <w:i/>
          <w:iCs/>
          <w:lang w:val="en-US"/>
        </w:rPr>
        <w:t>Anal sac adenocarcinoma</w:t>
      </w:r>
      <w:r w:rsidRPr="00382DF1">
        <w:rPr>
          <w:lang w:val="en-US"/>
        </w:rPr>
        <w:t>. </w:t>
      </w:r>
    </w:p>
    <w:p w14:paraId="3168B048" w14:textId="77777777" w:rsidR="0079315E" w:rsidRPr="00382DF1" w:rsidRDefault="0079315E" w:rsidP="0079315E">
      <w:pPr>
        <w:jc w:val="both"/>
        <w:rPr>
          <w:lang w:val="en-US"/>
        </w:rPr>
      </w:pPr>
      <w:r w:rsidRPr="00382DF1">
        <w:rPr>
          <w:lang w:val="en-US"/>
        </w:rPr>
        <w:t xml:space="preserve">Repasy, A.B., Selmic, L.E. and Kisseberth, W.C., 2022. </w:t>
      </w:r>
      <w:r w:rsidRPr="00382DF1">
        <w:rPr>
          <w:i/>
          <w:iCs/>
          <w:lang w:val="en-US"/>
        </w:rPr>
        <w:t>Canine apocrine gland anal sac adenocarcinoma: A review</w:t>
      </w:r>
      <w:r w:rsidRPr="00382DF1">
        <w:rPr>
          <w:lang w:val="en-US"/>
        </w:rPr>
        <w:t>. </w:t>
      </w:r>
      <w:r w:rsidRPr="00382DF1">
        <w:rPr>
          <w:i/>
          <w:iCs/>
          <w:lang w:val="en-US"/>
        </w:rPr>
        <w:t>Topics in Companion Animal Medicine</w:t>
      </w:r>
      <w:r w:rsidRPr="00382DF1">
        <w:rPr>
          <w:lang w:val="en-US"/>
        </w:rPr>
        <w:t>, 50, Article 100682.</w:t>
      </w:r>
    </w:p>
    <w:p w14:paraId="183F8F0E" w14:textId="77777777" w:rsidR="0079315E" w:rsidRPr="00382DF1" w:rsidRDefault="0079315E" w:rsidP="0079315E">
      <w:pPr>
        <w:jc w:val="both"/>
        <w:rPr>
          <w:lang w:val="en-US"/>
        </w:rPr>
      </w:pPr>
      <w:r w:rsidRPr="00382DF1">
        <w:rPr>
          <w:lang w:val="en-US"/>
        </w:rPr>
        <w:t xml:space="preserve">Liptak, J.M., n.d. </w:t>
      </w:r>
      <w:r w:rsidRPr="00382DF1">
        <w:rPr>
          <w:i/>
          <w:iCs/>
          <w:lang w:val="en-US"/>
        </w:rPr>
        <w:t>Skin tumors – Anal sac</w:t>
      </w:r>
      <w:r w:rsidRPr="00382DF1">
        <w:rPr>
          <w:lang w:val="en-US"/>
        </w:rPr>
        <w:t>. </w:t>
      </w:r>
    </w:p>
    <w:p w14:paraId="35E7D193" w14:textId="77777777" w:rsidR="0079315E" w:rsidRPr="00382DF1" w:rsidRDefault="0079315E" w:rsidP="0079315E">
      <w:pPr>
        <w:jc w:val="both"/>
        <w:rPr>
          <w:lang w:val="en-US"/>
        </w:rPr>
      </w:pPr>
      <w:r w:rsidRPr="00382DF1">
        <w:rPr>
          <w:lang w:val="en-US"/>
        </w:rPr>
        <w:t xml:space="preserve">Veterinary Cancer Group, n.d. </w:t>
      </w:r>
      <w:r w:rsidRPr="00382DF1">
        <w:rPr>
          <w:i/>
          <w:iCs/>
          <w:lang w:val="en-US"/>
        </w:rPr>
        <w:t>Anal gland adenocarcinoma</w:t>
      </w:r>
      <w:r w:rsidRPr="00382DF1">
        <w:rPr>
          <w:lang w:val="en-US"/>
        </w:rPr>
        <w:t>. </w:t>
      </w:r>
    </w:p>
    <w:p w14:paraId="108AAA34" w14:textId="195FC75A" w:rsidR="0079315E" w:rsidRPr="00382DF1" w:rsidRDefault="0079315E" w:rsidP="0079315E">
      <w:pPr>
        <w:jc w:val="both"/>
        <w:rPr>
          <w:lang w:val="en-US"/>
        </w:rPr>
      </w:pPr>
      <w:r w:rsidRPr="00382DF1">
        <w:rPr>
          <w:lang w:val="en-US"/>
        </w:rPr>
        <w:lastRenderedPageBreak/>
        <w:t xml:space="preserve">Cornell University College of Veterinary Medicine, n.d. </w:t>
      </w:r>
      <w:r w:rsidRPr="00382DF1">
        <w:rPr>
          <w:i/>
          <w:iCs/>
          <w:lang w:val="en-US"/>
        </w:rPr>
        <w:t>Anal sac adenocarcinoma</w:t>
      </w:r>
      <w:r w:rsidRPr="00382DF1">
        <w:rPr>
          <w:lang w:val="en-US"/>
        </w:rPr>
        <w:t>. </w:t>
      </w:r>
    </w:p>
    <w:p w14:paraId="32B03487" w14:textId="77777777" w:rsidR="0079315E" w:rsidRPr="00382DF1" w:rsidRDefault="0079315E" w:rsidP="0079315E">
      <w:pPr>
        <w:jc w:val="both"/>
        <w:rPr>
          <w:lang w:val="en-US"/>
        </w:rPr>
      </w:pPr>
      <w:r w:rsidRPr="00382DF1">
        <w:rPr>
          <w:lang w:val="en-US"/>
        </w:rPr>
        <w:t xml:space="preserve">Cino, M. and Martano, M., 2024. </w:t>
      </w:r>
      <w:r w:rsidRPr="00382DF1">
        <w:rPr>
          <w:i/>
          <w:iCs/>
          <w:lang w:val="en-US"/>
        </w:rPr>
        <w:t>Is there anything new in canine AGASACA</w:t>
      </w:r>
      <w:r w:rsidRPr="00382DF1">
        <w:rPr>
          <w:lang w:val="en-US"/>
        </w:rPr>
        <w:t xml:space="preserve"> </w:t>
      </w:r>
      <w:r w:rsidRPr="00382DF1">
        <w:rPr>
          <w:i/>
          <w:iCs/>
          <w:lang w:val="en-US"/>
        </w:rPr>
        <w:t>Veterinary Sciences</w:t>
      </w:r>
      <w:r w:rsidRPr="00382DF1">
        <w:rPr>
          <w:lang w:val="en-US"/>
        </w:rPr>
        <w:t>, 11(12), p.629.</w:t>
      </w:r>
    </w:p>
    <w:p w14:paraId="0E6921F5" w14:textId="0A6F7E19" w:rsidR="0079315E" w:rsidRPr="00382DF1" w:rsidRDefault="0079315E" w:rsidP="0079315E">
      <w:pPr>
        <w:jc w:val="both"/>
        <w:rPr>
          <w:lang w:val="en-US"/>
        </w:rPr>
      </w:pPr>
      <w:r w:rsidRPr="00382DF1">
        <w:rPr>
          <w:lang w:val="en-US"/>
        </w:rPr>
        <w:t xml:space="preserve">Griffin, M.A., Mayhew, P.D., Culp, W.T.N., Giuffrida, M.A., Telek, S., Singh, A., Oblak, M. and Swanton, E., 2023. </w:t>
      </w:r>
      <w:r w:rsidRPr="00382DF1">
        <w:rPr>
          <w:i/>
          <w:iCs/>
          <w:lang w:val="en-US"/>
        </w:rPr>
        <w:t>Short</w:t>
      </w:r>
      <w:r w:rsidRPr="00382DF1">
        <w:rPr>
          <w:i/>
          <w:iCs/>
          <w:lang w:val="en-US"/>
        </w:rPr>
        <w:noBreakHyphen/>
        <w:t xml:space="preserve"> and long</w:t>
      </w:r>
      <w:r w:rsidRPr="00382DF1">
        <w:rPr>
          <w:i/>
          <w:iCs/>
          <w:lang w:val="en-US"/>
        </w:rPr>
        <w:noBreakHyphen/>
        <w:t>term outcomes associated with anal sacculectomy in dogs with massive apocrine gland anal sac adenocarcinoma</w:t>
      </w:r>
      <w:r w:rsidRPr="00382DF1">
        <w:rPr>
          <w:lang w:val="en-US"/>
        </w:rPr>
        <w:t xml:space="preserve">. </w:t>
      </w:r>
      <w:r w:rsidRPr="00382DF1">
        <w:rPr>
          <w:i/>
          <w:iCs/>
          <w:lang w:val="en-US"/>
        </w:rPr>
        <w:t>Journal of the American Veterinary Medical Association</w:t>
      </w:r>
      <w:r w:rsidRPr="00382DF1">
        <w:rPr>
          <w:lang w:val="en-US"/>
        </w:rPr>
        <w:t>, 261(10), pp.1–8. </w:t>
      </w:r>
    </w:p>
    <w:p w14:paraId="5F99C123" w14:textId="7245339C" w:rsidR="0079315E" w:rsidRPr="00382DF1" w:rsidRDefault="0079315E" w:rsidP="0079315E">
      <w:pPr>
        <w:jc w:val="both"/>
        <w:rPr>
          <w:lang w:val="en-US"/>
        </w:rPr>
      </w:pPr>
      <w:r w:rsidRPr="00382DF1">
        <w:rPr>
          <w:lang w:val="en-US"/>
        </w:rPr>
        <w:t xml:space="preserve">American Veterinary Medical Association, 2022. </w:t>
      </w:r>
      <w:r w:rsidRPr="00382DF1">
        <w:rPr>
          <w:i/>
          <w:iCs/>
          <w:lang w:val="en-US"/>
        </w:rPr>
        <w:t>Surgical outcomes and treatment of canine anal sac adenocarcinoma</w:t>
      </w:r>
      <w:r w:rsidRPr="00382DF1">
        <w:rPr>
          <w:lang w:val="en-US"/>
        </w:rPr>
        <w:t xml:space="preserve">. </w:t>
      </w:r>
      <w:r w:rsidRPr="00382DF1">
        <w:rPr>
          <w:i/>
          <w:iCs/>
          <w:lang w:val="en-US"/>
        </w:rPr>
        <w:t>Journal of the American Veterinary Medical Association</w:t>
      </w:r>
      <w:r w:rsidRPr="00382DF1">
        <w:rPr>
          <w:lang w:val="en-US"/>
        </w:rPr>
        <w:t>, 261(10). </w:t>
      </w:r>
    </w:p>
    <w:p w14:paraId="289348E3" w14:textId="77777777" w:rsidR="0079315E" w:rsidRPr="00382DF1" w:rsidRDefault="0079315E" w:rsidP="0079315E">
      <w:pPr>
        <w:jc w:val="both"/>
        <w:rPr>
          <w:lang w:val="en-US"/>
        </w:rPr>
      </w:pPr>
      <w:r w:rsidRPr="00382DF1">
        <w:rPr>
          <w:lang w:val="en-US"/>
        </w:rPr>
        <w:t xml:space="preserve">Skorupski, K.A., Alarcón, C.N., de Lorimier, L.-P., LaDouceur, E.E.B., Rodriguez, C.O. and Rebhun, R.B., 2018. </w:t>
      </w:r>
      <w:r w:rsidRPr="00382DF1">
        <w:rPr>
          <w:i/>
          <w:iCs/>
          <w:lang w:val="en-US"/>
        </w:rPr>
        <w:t>Outcome and clinical, pathological, and immunohistochemical factors associated with prognosis for dogs with early</w:t>
      </w:r>
      <w:r w:rsidRPr="00382DF1">
        <w:rPr>
          <w:i/>
          <w:iCs/>
          <w:lang w:val="en-US"/>
        </w:rPr>
        <w:noBreakHyphen/>
        <w:t>stage anal sac adenocarcinoma treated with surgery alone: 34 cases</w:t>
      </w:r>
      <w:r w:rsidRPr="00382DF1">
        <w:rPr>
          <w:lang w:val="en-US"/>
        </w:rPr>
        <w:t xml:space="preserve"> (2002–2013). </w:t>
      </w:r>
      <w:r w:rsidRPr="00382DF1">
        <w:rPr>
          <w:i/>
          <w:iCs/>
          <w:lang w:val="en-US"/>
        </w:rPr>
        <w:t>Journal of the American Veterinary Medical Association</w:t>
      </w:r>
      <w:r w:rsidRPr="00382DF1">
        <w:rPr>
          <w:lang w:val="en-US"/>
        </w:rPr>
        <w:t>, 253(1), pp.84–91. </w:t>
      </w:r>
    </w:p>
    <w:p w14:paraId="38793B5E" w14:textId="77777777" w:rsidR="0079315E" w:rsidRPr="00382DF1" w:rsidRDefault="0079315E" w:rsidP="0079315E">
      <w:pPr>
        <w:jc w:val="both"/>
        <w:rPr>
          <w:lang w:val="en-US"/>
        </w:rPr>
      </w:pPr>
    </w:p>
    <w:p w14:paraId="50817E17" w14:textId="77777777" w:rsidR="0079315E" w:rsidRPr="00382DF1" w:rsidRDefault="0079315E" w:rsidP="0079315E">
      <w:pPr>
        <w:jc w:val="both"/>
        <w:rPr>
          <w:lang w:val="en-US"/>
        </w:rPr>
      </w:pPr>
    </w:p>
    <w:p w14:paraId="2D7B3405" w14:textId="77777777" w:rsidR="0079315E" w:rsidRPr="00382DF1" w:rsidRDefault="0079315E" w:rsidP="0079315E">
      <w:pPr>
        <w:jc w:val="both"/>
        <w:rPr>
          <w:lang w:val="en-US"/>
        </w:rPr>
      </w:pPr>
    </w:p>
    <w:p w14:paraId="660FBFB3" w14:textId="77777777" w:rsidR="0079315E" w:rsidRPr="00382DF1" w:rsidRDefault="0079315E" w:rsidP="0079315E">
      <w:pPr>
        <w:jc w:val="both"/>
        <w:rPr>
          <w:lang w:val="en-US"/>
        </w:rPr>
      </w:pPr>
    </w:p>
    <w:p w14:paraId="22624816" w14:textId="77777777" w:rsidR="0079315E" w:rsidRPr="00382DF1" w:rsidRDefault="0079315E" w:rsidP="0079315E">
      <w:pPr>
        <w:jc w:val="both"/>
        <w:rPr>
          <w:lang w:val="en-US"/>
        </w:rPr>
      </w:pPr>
    </w:p>
    <w:p w14:paraId="184B7F0D" w14:textId="77777777" w:rsidR="0079315E" w:rsidRPr="00382DF1" w:rsidRDefault="0079315E" w:rsidP="0079315E">
      <w:pPr>
        <w:jc w:val="both"/>
        <w:rPr>
          <w:lang w:val="en-US"/>
        </w:rPr>
      </w:pPr>
    </w:p>
    <w:p w14:paraId="2D50D87C" w14:textId="77777777" w:rsidR="0079315E" w:rsidRPr="00382DF1" w:rsidRDefault="0079315E" w:rsidP="0079315E">
      <w:pPr>
        <w:jc w:val="both"/>
        <w:rPr>
          <w:lang w:val="en-US"/>
        </w:rPr>
      </w:pPr>
    </w:p>
    <w:p w14:paraId="0A5595DC" w14:textId="77777777" w:rsidR="0079315E" w:rsidRPr="00382DF1" w:rsidRDefault="0079315E" w:rsidP="0079315E">
      <w:pPr>
        <w:jc w:val="both"/>
        <w:rPr>
          <w:lang w:val="en-US"/>
        </w:rPr>
      </w:pPr>
    </w:p>
    <w:p w14:paraId="37962A41" w14:textId="77777777" w:rsidR="0079315E" w:rsidRPr="00382DF1" w:rsidRDefault="0079315E" w:rsidP="0079315E">
      <w:pPr>
        <w:jc w:val="both"/>
        <w:rPr>
          <w:lang w:val="en-US"/>
        </w:rPr>
      </w:pPr>
    </w:p>
    <w:p w14:paraId="25D99AFA" w14:textId="77777777" w:rsidR="0079315E" w:rsidRPr="00382DF1" w:rsidRDefault="0079315E" w:rsidP="0079315E">
      <w:pPr>
        <w:jc w:val="both"/>
        <w:rPr>
          <w:lang w:val="en-US"/>
        </w:rPr>
      </w:pPr>
    </w:p>
    <w:p w14:paraId="35F0A090" w14:textId="77777777" w:rsidR="0079315E" w:rsidRPr="00382DF1" w:rsidRDefault="0079315E" w:rsidP="0079315E">
      <w:pPr>
        <w:jc w:val="both"/>
        <w:rPr>
          <w:lang w:val="en-US"/>
        </w:rPr>
      </w:pPr>
    </w:p>
    <w:p w14:paraId="71DF6C62" w14:textId="77777777" w:rsidR="0079315E" w:rsidRPr="00382DF1" w:rsidRDefault="0079315E" w:rsidP="0079315E">
      <w:pPr>
        <w:jc w:val="both"/>
        <w:rPr>
          <w:lang w:val="en-US"/>
        </w:rPr>
      </w:pPr>
    </w:p>
    <w:p w14:paraId="7BF7F6A3" w14:textId="77777777" w:rsidR="0079315E" w:rsidRPr="00382DF1" w:rsidRDefault="0079315E" w:rsidP="0079315E">
      <w:pPr>
        <w:jc w:val="both"/>
        <w:rPr>
          <w:lang w:val="en-US"/>
        </w:rPr>
      </w:pPr>
    </w:p>
    <w:p w14:paraId="73F59347" w14:textId="77777777" w:rsidR="0079315E" w:rsidRPr="00382DF1" w:rsidRDefault="0079315E" w:rsidP="0079315E">
      <w:pPr>
        <w:jc w:val="both"/>
        <w:rPr>
          <w:lang w:val="en-US"/>
        </w:rPr>
      </w:pPr>
    </w:p>
    <w:p w14:paraId="77AF5448" w14:textId="77777777" w:rsidR="0079315E" w:rsidRPr="00382DF1" w:rsidRDefault="0079315E" w:rsidP="0079315E">
      <w:pPr>
        <w:jc w:val="both"/>
        <w:rPr>
          <w:lang w:val="en-US"/>
        </w:rPr>
      </w:pPr>
    </w:p>
    <w:p w14:paraId="104292EE" w14:textId="77777777" w:rsidR="0079315E" w:rsidRPr="00382DF1" w:rsidRDefault="0079315E" w:rsidP="0079315E">
      <w:pPr>
        <w:jc w:val="both"/>
        <w:rPr>
          <w:lang w:val="en-US"/>
        </w:rPr>
      </w:pPr>
    </w:p>
    <w:p w14:paraId="002C648C" w14:textId="77777777" w:rsidR="0079315E" w:rsidRPr="00382DF1" w:rsidRDefault="0079315E" w:rsidP="0079315E">
      <w:pPr>
        <w:jc w:val="both"/>
        <w:rPr>
          <w:lang w:val="en-US"/>
        </w:rPr>
      </w:pPr>
    </w:p>
    <w:p w14:paraId="79F55921" w14:textId="77777777" w:rsidR="0079315E" w:rsidRPr="00382DF1" w:rsidRDefault="0079315E" w:rsidP="0079315E">
      <w:pPr>
        <w:jc w:val="both"/>
        <w:rPr>
          <w:lang w:val="en-US"/>
        </w:rPr>
      </w:pPr>
    </w:p>
    <w:p w14:paraId="64FF9E94" w14:textId="77777777" w:rsidR="0079315E" w:rsidRPr="00382DF1" w:rsidRDefault="0079315E" w:rsidP="0079315E">
      <w:pPr>
        <w:jc w:val="both"/>
        <w:rPr>
          <w:lang w:val="en-US"/>
        </w:rPr>
      </w:pPr>
    </w:p>
    <w:p w14:paraId="13D59BBA" w14:textId="77777777" w:rsidR="0079315E" w:rsidRPr="00382DF1" w:rsidRDefault="0079315E" w:rsidP="0079315E">
      <w:pPr>
        <w:jc w:val="both"/>
        <w:rPr>
          <w:lang w:val="en-US"/>
        </w:rPr>
      </w:pPr>
    </w:p>
    <w:p w14:paraId="355FF8E5" w14:textId="77777777" w:rsidR="0079315E" w:rsidRPr="00382DF1" w:rsidRDefault="0079315E" w:rsidP="0079315E">
      <w:pPr>
        <w:jc w:val="both"/>
        <w:rPr>
          <w:lang w:val="en-US"/>
        </w:rPr>
      </w:pPr>
      <w:r w:rsidRPr="0079315E">
        <w:rPr>
          <w:b/>
          <w:bCs/>
        </w:rPr>
        <w:lastRenderedPageBreak/>
        <w:t>Χειρουργική</w:t>
      </w:r>
      <w:r w:rsidRPr="00382DF1">
        <w:rPr>
          <w:b/>
          <w:bCs/>
          <w:lang w:val="en-US"/>
        </w:rPr>
        <w:t xml:space="preserve"> </w:t>
      </w:r>
      <w:r w:rsidRPr="0079315E">
        <w:rPr>
          <w:b/>
          <w:bCs/>
        </w:rPr>
        <w:t>Εξαίρεση</w:t>
      </w:r>
      <w:r w:rsidRPr="00382DF1">
        <w:rPr>
          <w:b/>
          <w:bCs/>
          <w:lang w:val="en-US"/>
        </w:rPr>
        <w:t xml:space="preserve"> </w:t>
      </w:r>
      <w:r w:rsidRPr="0079315E">
        <w:rPr>
          <w:b/>
          <w:bCs/>
        </w:rPr>
        <w:t>Οστεοσαρκώματος</w:t>
      </w:r>
      <w:r w:rsidRPr="00382DF1">
        <w:rPr>
          <w:b/>
          <w:bCs/>
          <w:lang w:val="en-US"/>
        </w:rPr>
        <w:t xml:space="preserve"> </w:t>
      </w:r>
      <w:r w:rsidRPr="0079315E">
        <w:rPr>
          <w:b/>
          <w:bCs/>
        </w:rPr>
        <w:t>των</w:t>
      </w:r>
      <w:r w:rsidRPr="00382DF1">
        <w:rPr>
          <w:b/>
          <w:bCs/>
          <w:lang w:val="en-US"/>
        </w:rPr>
        <w:t xml:space="preserve"> </w:t>
      </w:r>
      <w:r w:rsidRPr="0079315E">
        <w:rPr>
          <w:b/>
          <w:bCs/>
        </w:rPr>
        <w:t>Πλευρών</w:t>
      </w:r>
      <w:r w:rsidRPr="00382DF1">
        <w:rPr>
          <w:b/>
          <w:bCs/>
          <w:lang w:val="en-US"/>
        </w:rPr>
        <w:t xml:space="preserve"> </w:t>
      </w:r>
      <w:r w:rsidRPr="0079315E">
        <w:rPr>
          <w:b/>
          <w:bCs/>
        </w:rPr>
        <w:t>σε</w:t>
      </w:r>
      <w:r w:rsidRPr="00382DF1">
        <w:rPr>
          <w:b/>
          <w:bCs/>
          <w:lang w:val="en-US"/>
        </w:rPr>
        <w:t xml:space="preserve"> </w:t>
      </w:r>
      <w:r w:rsidRPr="0079315E">
        <w:rPr>
          <w:b/>
          <w:bCs/>
        </w:rPr>
        <w:t>Σκύλο</w:t>
      </w:r>
      <w:r w:rsidRPr="00382DF1">
        <w:rPr>
          <w:b/>
          <w:bCs/>
          <w:lang w:val="en-US"/>
        </w:rPr>
        <w:t xml:space="preserve">: </w:t>
      </w:r>
      <w:r w:rsidRPr="0079315E">
        <w:rPr>
          <w:b/>
          <w:bCs/>
        </w:rPr>
        <w:t>Χειρουργικές</w:t>
      </w:r>
      <w:r w:rsidRPr="00382DF1">
        <w:rPr>
          <w:b/>
          <w:bCs/>
          <w:lang w:val="en-US"/>
        </w:rPr>
        <w:t xml:space="preserve"> </w:t>
      </w:r>
      <w:r w:rsidRPr="0079315E">
        <w:rPr>
          <w:b/>
          <w:bCs/>
        </w:rPr>
        <w:t>Τεχνικές</w:t>
      </w:r>
      <w:r w:rsidRPr="00382DF1">
        <w:rPr>
          <w:b/>
          <w:bCs/>
          <w:lang w:val="en-US"/>
        </w:rPr>
        <w:t xml:space="preserve"> </w:t>
      </w:r>
      <w:r w:rsidRPr="0079315E">
        <w:rPr>
          <w:b/>
          <w:bCs/>
        </w:rPr>
        <w:t>και</w:t>
      </w:r>
      <w:r w:rsidRPr="00382DF1">
        <w:rPr>
          <w:b/>
          <w:bCs/>
          <w:lang w:val="en-US"/>
        </w:rPr>
        <w:t xml:space="preserve"> </w:t>
      </w:r>
      <w:r w:rsidRPr="0079315E">
        <w:rPr>
          <w:b/>
          <w:bCs/>
        </w:rPr>
        <w:t>Παρουσίαση</w:t>
      </w:r>
      <w:r w:rsidRPr="00382DF1">
        <w:rPr>
          <w:b/>
          <w:bCs/>
          <w:lang w:val="en-US"/>
        </w:rPr>
        <w:t xml:space="preserve"> </w:t>
      </w:r>
      <w:r w:rsidRPr="0079315E">
        <w:rPr>
          <w:b/>
          <w:bCs/>
        </w:rPr>
        <w:t>Περιστατικού</w:t>
      </w:r>
    </w:p>
    <w:p w14:paraId="3DDC2728" w14:textId="07F685F4" w:rsidR="0079315E" w:rsidRPr="0079315E" w:rsidRDefault="0079315E" w:rsidP="0079315E">
      <w:pPr>
        <w:jc w:val="both"/>
      </w:pPr>
      <w:r w:rsidRPr="0079315E">
        <w:t>Γούκος Βασίλειος</w:t>
      </w:r>
      <w:r w:rsidRPr="0079315E">
        <w:rPr>
          <w:vertAlign w:val="superscript"/>
        </w:rPr>
        <w:t>1</w:t>
      </w:r>
      <w:r w:rsidRPr="0079315E">
        <w:t>, Μάστακας Αθανάσιος</w:t>
      </w:r>
      <w:r w:rsidRPr="0079315E">
        <w:rPr>
          <w:vertAlign w:val="superscript"/>
        </w:rPr>
        <w:t>1</w:t>
      </w:r>
      <w:r w:rsidRPr="0079315E">
        <w:t>, Φτάκα Μαρία-Άννα</w:t>
      </w:r>
      <w:r w:rsidRPr="0079315E">
        <w:rPr>
          <w:vertAlign w:val="superscript"/>
        </w:rPr>
        <w:t>1</w:t>
      </w:r>
      <w:r w:rsidRPr="0079315E">
        <w:t>, Παπάζογλου Λυσίμαχος</w:t>
      </w:r>
      <w:r w:rsidRPr="0079315E">
        <w:rPr>
          <w:vertAlign w:val="superscript"/>
        </w:rPr>
        <w:t>2</w:t>
      </w:r>
    </w:p>
    <w:p w14:paraId="41D70BB0" w14:textId="77777777" w:rsidR="0079315E" w:rsidRPr="0079315E" w:rsidRDefault="0079315E" w:rsidP="0079315E">
      <w:pPr>
        <w:numPr>
          <w:ilvl w:val="0"/>
          <w:numId w:val="18"/>
        </w:numPr>
        <w:jc w:val="both"/>
      </w:pPr>
      <w:r w:rsidRPr="0079315E">
        <w:t>Προπτυχιακός/ή Φοιτητής/-τρια, Τμήμα Κτηνιατρικής, Σχολή Επιστημών Υγείας, Αριστοτέλειο Πανεπιστήμιο Θεσσαλονίκης</w:t>
      </w:r>
    </w:p>
    <w:p w14:paraId="71E836D3" w14:textId="77777777" w:rsidR="0079315E" w:rsidRPr="0079315E" w:rsidRDefault="0079315E" w:rsidP="0079315E">
      <w:pPr>
        <w:numPr>
          <w:ilvl w:val="0"/>
          <w:numId w:val="18"/>
        </w:numPr>
        <w:jc w:val="both"/>
      </w:pPr>
      <w:r w:rsidRPr="0079315E">
        <w:t>Καθηγητής Χειρουργικής Μαλακών Ιστών, Κλινική Ζώων Συντροφιάς, Τμήμα Κτηνιατρικής, Σχολή Επιστημών Υγείας, Αριστοτέλειο Πανεπιστήμιο Θεσσαλονίκης</w:t>
      </w:r>
    </w:p>
    <w:p w14:paraId="498EDD65" w14:textId="77777777" w:rsidR="0079315E" w:rsidRPr="0079315E" w:rsidRDefault="0079315E" w:rsidP="0079315E">
      <w:pPr>
        <w:ind w:left="720"/>
        <w:jc w:val="both"/>
      </w:pPr>
    </w:p>
    <w:p w14:paraId="748C3F53" w14:textId="77777777" w:rsidR="0079315E" w:rsidRPr="0079315E" w:rsidRDefault="0079315E" w:rsidP="0079315E">
      <w:pPr>
        <w:jc w:val="both"/>
      </w:pPr>
      <w:r w:rsidRPr="0079315E">
        <w:rPr>
          <w:b/>
          <w:bCs/>
        </w:rPr>
        <w:t>Περίληψη</w:t>
      </w:r>
    </w:p>
    <w:p w14:paraId="43664AF6" w14:textId="77777777" w:rsidR="0079315E" w:rsidRPr="0079315E" w:rsidRDefault="0079315E" w:rsidP="0079315E">
      <w:pPr>
        <w:jc w:val="both"/>
      </w:pPr>
      <w:r w:rsidRPr="0079315E">
        <w:t xml:space="preserve">Το οστεοσάρκωμα, μία κακοήθης νεοπλασία των οστεοβλαστών, αποτελεί τον πιο συχνό πρωτοπαθή όγκο των πλευρών καθώς αντιπροσωπεύει το 28-63% των περιστατικών. Εμφανίζεται κυρίως σε ηλικιωμένους σκύλους μεγαλόσωμων φυλών. Στόχος της εργασίας είναι η συνοπτική παρουσίαση των κυριότερων χειρουργικών τεχνικών με την αντίστοιχη πρόγνωση, και των μετεγχειρητικών επιπλοκών. Για τον σκοπό  αυτό, παρουσιάζεται ένα κλινικό περιστατικό οστεοσαρκώματος των πλευρών σε Dobermann ηλικίας 7.5 ετών, το οποίο υποβλήθηκε σε ολική πλευρεκτομή 5 πλευρών enblock, συμπεριλαμβανομένου του υπεζωκότα, στο δεξί θωρακικό τοίχωμα και τοποθέτηση πλέγματος.  </w:t>
      </w:r>
      <w:r w:rsidRPr="0079315E">
        <w:tab/>
      </w:r>
    </w:p>
    <w:p w14:paraId="4656AA4A" w14:textId="77777777" w:rsidR="0079315E" w:rsidRPr="0079315E" w:rsidRDefault="0079315E" w:rsidP="0079315E">
      <w:pPr>
        <w:jc w:val="both"/>
      </w:pPr>
      <w:r w:rsidRPr="0079315E">
        <w:t>Παρά την επιτυχημένη χειρουργική επέμβαση, η μετεγχειρητική πορεία παρουσίασε επιπλοκές, καθώς προέκυψαν 5 διαδοχικές διασπάσεις του χειρουργικού τραύματος και αποφασίστηκε τελικά η ευθανασία του ζώου.</w:t>
      </w:r>
    </w:p>
    <w:p w14:paraId="05CFBA71" w14:textId="77777777" w:rsidR="0079315E" w:rsidRPr="00CB3A31" w:rsidRDefault="0079315E" w:rsidP="0079315E">
      <w:pPr>
        <w:jc w:val="both"/>
      </w:pPr>
      <w:r w:rsidRPr="0079315E">
        <w:t>Το περιστατικό αυτό επισημαίνει την δυσκολία της αντιμετώπισης των οστεοσαρκωμάτων, ειδικά στο θωρακικό τοίχωμα. Παρά την επιτυχημένη διεξαγωγή του χειρουργείου, οι μετεγχειρητικές επιπλοκές όπως η αδυναμία σύγκλησης των τραυμάτων πρέπει πάντα να λαμβάνεται υπόψιν, πριν αποφασιστεί η εκάστοτε θεραπεία.</w:t>
      </w:r>
    </w:p>
    <w:p w14:paraId="3A5B74D1" w14:textId="77777777" w:rsidR="0079315E" w:rsidRPr="00CB3A31" w:rsidRDefault="0079315E" w:rsidP="0079315E">
      <w:pPr>
        <w:jc w:val="both"/>
      </w:pPr>
    </w:p>
    <w:p w14:paraId="0D304790" w14:textId="77777777" w:rsidR="0079315E" w:rsidRPr="00382DF1" w:rsidRDefault="0079315E" w:rsidP="0079315E">
      <w:pPr>
        <w:jc w:val="both"/>
        <w:rPr>
          <w:lang w:val="en-US"/>
        </w:rPr>
      </w:pPr>
      <w:r w:rsidRPr="0079315E">
        <w:rPr>
          <w:b/>
          <w:bCs/>
        </w:rPr>
        <w:t>Βιβλιογραφία</w:t>
      </w:r>
    </w:p>
    <w:p w14:paraId="050B861A" w14:textId="619D5BC0" w:rsidR="0079315E" w:rsidRPr="00382DF1" w:rsidRDefault="0079315E" w:rsidP="0079315E">
      <w:pPr>
        <w:jc w:val="both"/>
        <w:rPr>
          <w:lang w:val="en-US"/>
        </w:rPr>
      </w:pPr>
      <w:r w:rsidRPr="00382DF1">
        <w:rPr>
          <w:lang w:val="en-US"/>
        </w:rPr>
        <w:t xml:space="preserve">Simpson, S., Dunning, M. D., de Brot, S., Grau-Roma, L., Mongan, N. P., &amp; Rutland, C. S. (2017). </w:t>
      </w:r>
      <w:r w:rsidRPr="00382DF1">
        <w:rPr>
          <w:i/>
          <w:iCs/>
          <w:lang w:val="en-US"/>
        </w:rPr>
        <w:t>Comparative review of human and canine osteosarcoma: morphology, epidemiology, prognosis, treatment and genetics.</w:t>
      </w:r>
      <w:r w:rsidRPr="00382DF1">
        <w:rPr>
          <w:lang w:val="en-US"/>
        </w:rPr>
        <w:t xml:space="preserve"> </w:t>
      </w:r>
      <w:r w:rsidRPr="00382DF1">
        <w:rPr>
          <w:i/>
          <w:iCs/>
          <w:lang w:val="en-US"/>
        </w:rPr>
        <w:t>Acta veterinaria Scandinavica</w:t>
      </w:r>
      <w:r w:rsidRPr="00382DF1">
        <w:rPr>
          <w:lang w:val="en-US"/>
        </w:rPr>
        <w:t xml:space="preserve">, </w:t>
      </w:r>
      <w:r w:rsidRPr="00382DF1">
        <w:rPr>
          <w:i/>
          <w:iCs/>
          <w:lang w:val="en-US"/>
        </w:rPr>
        <w:t>59</w:t>
      </w:r>
      <w:r w:rsidRPr="00382DF1">
        <w:rPr>
          <w:lang w:val="en-US"/>
        </w:rPr>
        <w:t>(1), 71.</w:t>
      </w:r>
      <w:hyperlink r:id="rId15" w:history="1">
        <w:r w:rsidRPr="00382DF1">
          <w:rPr>
            <w:rStyle w:val="-"/>
            <w:lang w:val="en-US"/>
          </w:rPr>
          <w:t> </w:t>
        </w:r>
      </w:hyperlink>
    </w:p>
    <w:p w14:paraId="59C731A3" w14:textId="6CD5CF2E" w:rsidR="0079315E" w:rsidRPr="00382DF1" w:rsidRDefault="0079315E" w:rsidP="0079315E">
      <w:pPr>
        <w:jc w:val="both"/>
        <w:rPr>
          <w:lang w:val="en-US"/>
        </w:rPr>
      </w:pPr>
      <w:r w:rsidRPr="00382DF1">
        <w:rPr>
          <w:lang w:val="en-US"/>
        </w:rPr>
        <w:t xml:space="preserve">Liptak, J. M., Dernell, W. S., Rizzo, S. A., Monteith, G. J., Kamstock, D. A., &amp; Withrow, S. J. (2008). </w:t>
      </w:r>
      <w:r w:rsidRPr="00382DF1">
        <w:rPr>
          <w:i/>
          <w:iCs/>
          <w:lang w:val="en-US"/>
        </w:rPr>
        <w:t>Reconstruction of chest wall defects after rib tumor resection: a comparison of autogenous, prosthetic, and composite techniques in 44 dogs. Veterinary surgery : VS</w:t>
      </w:r>
      <w:r w:rsidRPr="00382DF1">
        <w:rPr>
          <w:lang w:val="en-US"/>
        </w:rPr>
        <w:t xml:space="preserve">, </w:t>
      </w:r>
      <w:r w:rsidRPr="00382DF1">
        <w:rPr>
          <w:i/>
          <w:iCs/>
          <w:lang w:val="en-US"/>
        </w:rPr>
        <w:t>37</w:t>
      </w:r>
      <w:r w:rsidRPr="00382DF1">
        <w:rPr>
          <w:lang w:val="en-US"/>
        </w:rPr>
        <w:t>(5), 479–487.</w:t>
      </w:r>
      <w:hyperlink r:id="rId16" w:history="1">
        <w:r w:rsidRPr="00382DF1">
          <w:rPr>
            <w:rStyle w:val="-"/>
            <w:lang w:val="en-US"/>
          </w:rPr>
          <w:t> </w:t>
        </w:r>
      </w:hyperlink>
    </w:p>
    <w:p w14:paraId="49C81C39" w14:textId="77777777" w:rsidR="0079315E" w:rsidRPr="00382DF1" w:rsidRDefault="0079315E" w:rsidP="0079315E">
      <w:pPr>
        <w:jc w:val="both"/>
        <w:rPr>
          <w:lang w:val="en-US"/>
        </w:rPr>
      </w:pPr>
      <w:r w:rsidRPr="00382DF1">
        <w:rPr>
          <w:lang w:val="en-US"/>
        </w:rPr>
        <w:t xml:space="preserve">Jung, W.-J., Kwak, H.-H., Kim, J., &amp; Woo, H.-M. (2024). </w:t>
      </w:r>
      <w:r w:rsidRPr="00382DF1">
        <w:rPr>
          <w:i/>
          <w:iCs/>
          <w:lang w:val="en-US"/>
        </w:rPr>
        <w:t>Chest Wall Reconstruction Using Titanium Mesh in a Dog with Huge Thoracic Extraskeletal Osteosarcoma</w:t>
      </w:r>
      <w:r w:rsidRPr="00382DF1">
        <w:rPr>
          <w:lang w:val="en-US"/>
        </w:rPr>
        <w:t xml:space="preserve">. </w:t>
      </w:r>
      <w:r w:rsidRPr="00382DF1">
        <w:rPr>
          <w:i/>
          <w:iCs/>
          <w:lang w:val="en-US"/>
        </w:rPr>
        <w:t>Animals</w:t>
      </w:r>
      <w:r w:rsidRPr="00382DF1">
        <w:rPr>
          <w:lang w:val="en-US"/>
        </w:rPr>
        <w:t xml:space="preserve">, </w:t>
      </w:r>
      <w:r w:rsidRPr="00382DF1">
        <w:rPr>
          <w:i/>
          <w:iCs/>
          <w:lang w:val="en-US"/>
        </w:rPr>
        <w:t>14</w:t>
      </w:r>
      <w:r w:rsidRPr="00382DF1">
        <w:rPr>
          <w:lang w:val="en-US"/>
        </w:rPr>
        <w:t>(18), 2635.</w:t>
      </w:r>
    </w:p>
    <w:p w14:paraId="1CEF80AA" w14:textId="77777777" w:rsidR="0079315E" w:rsidRPr="00382DF1" w:rsidRDefault="0079315E" w:rsidP="0079315E">
      <w:pPr>
        <w:jc w:val="both"/>
        <w:rPr>
          <w:lang w:val="en-US"/>
        </w:rPr>
      </w:pPr>
      <w:r w:rsidRPr="00382DF1">
        <w:rPr>
          <w:lang w:val="en-US"/>
        </w:rPr>
        <w:t xml:space="preserve">Monnet, E. (2023) </w:t>
      </w:r>
      <w:r w:rsidRPr="00382DF1">
        <w:rPr>
          <w:i/>
          <w:iCs/>
          <w:lang w:val="en-US"/>
        </w:rPr>
        <w:t>Small animal soft tissue surgery</w:t>
      </w:r>
      <w:r w:rsidRPr="00382DF1">
        <w:rPr>
          <w:lang w:val="en-US"/>
        </w:rPr>
        <w:t>. Hoboken, NJ: Wiley-Blackwell. </w:t>
      </w:r>
    </w:p>
    <w:p w14:paraId="22CF0AF3" w14:textId="77777777" w:rsidR="0079315E" w:rsidRDefault="0079315E" w:rsidP="0079315E">
      <w:pPr>
        <w:jc w:val="both"/>
        <w:rPr>
          <w:b/>
          <w:bCs/>
          <w:lang w:val="en-GB"/>
        </w:rPr>
      </w:pPr>
    </w:p>
    <w:p w14:paraId="6BFAF860" w14:textId="77777777" w:rsidR="0079315E" w:rsidRDefault="0079315E" w:rsidP="0079315E">
      <w:pPr>
        <w:jc w:val="both"/>
        <w:rPr>
          <w:b/>
          <w:bCs/>
          <w:lang w:val="en-GB"/>
        </w:rPr>
      </w:pPr>
    </w:p>
    <w:p w14:paraId="1DE4FF7F" w14:textId="77777777" w:rsidR="0079315E" w:rsidRDefault="0079315E" w:rsidP="0079315E">
      <w:pPr>
        <w:jc w:val="both"/>
        <w:rPr>
          <w:b/>
          <w:bCs/>
          <w:lang w:val="en-GB"/>
        </w:rPr>
      </w:pPr>
    </w:p>
    <w:p w14:paraId="2DC8B5FA" w14:textId="752A7B02" w:rsidR="0079315E" w:rsidRPr="00CB3A31" w:rsidRDefault="0079315E" w:rsidP="0079315E">
      <w:pPr>
        <w:jc w:val="both"/>
      </w:pPr>
      <w:r w:rsidRPr="0079315E">
        <w:rPr>
          <w:b/>
          <w:bCs/>
        </w:rPr>
        <w:lastRenderedPageBreak/>
        <w:t>Αποκλίνων εξόφθαλμος και καταρράκτης σε σκύλο.</w:t>
      </w:r>
    </w:p>
    <w:p w14:paraId="07FA035A" w14:textId="77777777" w:rsidR="0079315E" w:rsidRPr="0079315E" w:rsidRDefault="0079315E" w:rsidP="0079315E">
      <w:pPr>
        <w:jc w:val="both"/>
      </w:pPr>
      <w:r w:rsidRPr="0079315E">
        <w:t>Παραλής Ευστράτιος</w:t>
      </w:r>
      <w:r w:rsidRPr="0079315E">
        <w:rPr>
          <w:vertAlign w:val="superscript"/>
        </w:rPr>
        <w:t>1</w:t>
      </w:r>
      <w:r w:rsidRPr="0079315E">
        <w:t>, Μπαρμπαγιάννη  Μαριάνα</w:t>
      </w:r>
      <w:r w:rsidRPr="0079315E">
        <w:rPr>
          <w:vertAlign w:val="superscript"/>
        </w:rPr>
        <w:t xml:space="preserve">2 </w:t>
      </w:r>
      <w:r w:rsidRPr="0079315E">
        <w:t>, Γαλάτος Δ. Απόστολος</w:t>
      </w:r>
      <w:r w:rsidRPr="0079315E">
        <w:rPr>
          <w:vertAlign w:val="superscript"/>
        </w:rPr>
        <w:t>3</w:t>
      </w:r>
    </w:p>
    <w:p w14:paraId="1D5F4AC5" w14:textId="77777777" w:rsidR="0079315E" w:rsidRPr="0079315E" w:rsidRDefault="0079315E" w:rsidP="0079315E">
      <w:pPr>
        <w:numPr>
          <w:ilvl w:val="0"/>
          <w:numId w:val="19"/>
        </w:numPr>
        <w:jc w:val="both"/>
      </w:pPr>
      <w:r w:rsidRPr="0079315E">
        <w:t>Προπτυχιακός φοιτητής, Τμήμα Κτηνιατρικής, Σχολή Επιστημών Υγείας,                        Πανεπιστήμιο Θεσσαλίας.</w:t>
      </w:r>
    </w:p>
    <w:p w14:paraId="6BC42E72" w14:textId="77777777" w:rsidR="0079315E" w:rsidRPr="0079315E" w:rsidRDefault="0079315E" w:rsidP="0079315E">
      <w:pPr>
        <w:numPr>
          <w:ilvl w:val="0"/>
          <w:numId w:val="19"/>
        </w:numPr>
        <w:jc w:val="both"/>
      </w:pPr>
      <w:r w:rsidRPr="0079315E">
        <w:t>Αναπληρώτρια καθηγήτρια Απεικονιστικής Διαγνωστικής, Χειρουργική Κλινική, Τμήμα Κτηνιατρικής, Σχολή Επιστημών Υγείας, Πανεπιστήμιο Θεσσαλίας </w:t>
      </w:r>
    </w:p>
    <w:p w14:paraId="30370945" w14:textId="2E5E6262" w:rsidR="0079315E" w:rsidRPr="0079315E" w:rsidRDefault="0079315E" w:rsidP="0079315E">
      <w:pPr>
        <w:numPr>
          <w:ilvl w:val="0"/>
          <w:numId w:val="19"/>
        </w:numPr>
        <w:jc w:val="both"/>
      </w:pPr>
      <w:r w:rsidRPr="0079315E">
        <w:t>Καθηγητής Χειρουργικής και Αναισθησιολογίας των Ζώων, Τμήμα Κτηνιατρικής, Σχολή Επιστημών Υγείας, Πανεπιστήμιο Θεσσαλίας</w:t>
      </w:r>
    </w:p>
    <w:p w14:paraId="3D76A868" w14:textId="77777777" w:rsidR="0079315E" w:rsidRPr="0079315E" w:rsidRDefault="0079315E" w:rsidP="0079315E">
      <w:pPr>
        <w:ind w:left="720"/>
        <w:jc w:val="both"/>
      </w:pPr>
    </w:p>
    <w:p w14:paraId="4A6B5F34" w14:textId="77777777" w:rsidR="0079315E" w:rsidRPr="00CB3A31" w:rsidRDefault="0079315E" w:rsidP="0079315E">
      <w:pPr>
        <w:jc w:val="both"/>
      </w:pPr>
      <w:r w:rsidRPr="00CB3A31">
        <w:rPr>
          <w:b/>
          <w:bCs/>
        </w:rPr>
        <w:t>Περίληψη</w:t>
      </w:r>
    </w:p>
    <w:p w14:paraId="14301E24" w14:textId="77777777" w:rsidR="0079315E" w:rsidRPr="0079315E" w:rsidRDefault="0079315E" w:rsidP="0079315E">
      <w:pPr>
        <w:jc w:val="both"/>
      </w:pPr>
      <w:r w:rsidRPr="0079315E">
        <w:t>     Στειρωμένος θηλυκός σκύλος, φυλής Pointer και ηλικίας 4,5 ετών, προσκομίσθηκε τον Μάρτιο του 2023 στη Χειρουργική Κλινική του Τμήματος Κτηνιατρικής του Πανεπιστημίου Θεσσαλίας με ιστορικό διόγκωσης και θόλωσης του αριστερού οφθαλμού μετά από κυνηγετική δραστηριότητα. Η κλινική οφθαλμολογική εξέταση ανέδειξε αφενός καταρράκτη και αφετέρου αποκλίνοντα προς τα έξω εξόφθαλμο, υποδηλώνοντας την παρουσία μάζας εντοπισμένης στην οπίσθια και ρινική μοίρα του οφθαλμικού κόγχου. Βάσει των ευρημάτων, ζητήθηκε υπερηχοτομογραφική εξέταση του οφθαλμικού κόγχου, η οποία επιβεβαίωσε την παρουσία οπισθοβολβικής μάζας, συμβατής με νεοπλασματική εξεργασία, στην αναμενόμενη θέση. Παρά τις συστάσεις για περαιτέρω διαγνωστική διερεύνηση, όσον αφορά τον τύπο του νεοπλάσματος και ριζική θεραπευτική αντιμετώπιση, το ζώο αποχώρησε από την κλινική χωρίς να πραγματοποιηθεί ούτε θεραπευτική ούτε περαιτέρω διαγνωστική διαχείριση. Στην εργασία τονίζεται η σημασία της προσεκτικής κλινικής εξέτασης, παρουσιάζονται και αναλύονται τα υπερηχοτομογραφικά ευρήματα, πραγματοποιείται συγκριτική αξιολόγηση μεταξύ φυσιολογικής και παθολογικής οφθαλμικής υπερηχοτομογραφικής εικόνας και συζητούνται οι πιθανές διαγνωστικές και θεραπευτικές προσεγγίσεις σε παρόμοια περιστατικά.</w:t>
      </w:r>
    </w:p>
    <w:p w14:paraId="15011329" w14:textId="77777777" w:rsidR="0079315E" w:rsidRPr="0079315E" w:rsidRDefault="0079315E" w:rsidP="0079315E">
      <w:pPr>
        <w:jc w:val="both"/>
      </w:pPr>
    </w:p>
    <w:p w14:paraId="3721004D" w14:textId="0C2771C8" w:rsidR="0079315E" w:rsidRPr="0079315E" w:rsidRDefault="0079315E" w:rsidP="0079315E">
      <w:pPr>
        <w:jc w:val="both"/>
      </w:pPr>
      <w:r w:rsidRPr="0079315E">
        <w:rPr>
          <w:b/>
          <w:bCs/>
        </w:rPr>
        <w:t>Βιβλιογραφία</w:t>
      </w:r>
    </w:p>
    <w:p w14:paraId="34169D1A" w14:textId="6044AA85" w:rsidR="0079315E" w:rsidRPr="00382DF1" w:rsidRDefault="0079315E" w:rsidP="0079315E">
      <w:pPr>
        <w:jc w:val="both"/>
        <w:rPr>
          <w:lang w:val="en-US"/>
        </w:rPr>
      </w:pPr>
      <w:r w:rsidRPr="0079315E">
        <w:t xml:space="preserve">Attali-Soussay, K., Jegou, J. P., &amp; Clerc, B. (2001). </w:t>
      </w:r>
      <w:r w:rsidRPr="00382DF1">
        <w:rPr>
          <w:i/>
          <w:iCs/>
          <w:lang w:val="en-US"/>
        </w:rPr>
        <w:t>Retrobulbar tumors in dogs and cats: 25 cases.</w:t>
      </w:r>
      <w:r w:rsidRPr="00382DF1">
        <w:rPr>
          <w:lang w:val="en-US"/>
        </w:rPr>
        <w:t xml:space="preserve"> </w:t>
      </w:r>
      <w:r w:rsidRPr="00382DF1">
        <w:rPr>
          <w:i/>
          <w:iCs/>
          <w:lang w:val="en-US"/>
        </w:rPr>
        <w:t>Veterinary Ophthalmology, 4</w:t>
      </w:r>
      <w:r w:rsidRPr="00382DF1">
        <w:rPr>
          <w:lang w:val="en-US"/>
        </w:rPr>
        <w:t>(1), 19–27. </w:t>
      </w:r>
    </w:p>
    <w:p w14:paraId="26CFAE97" w14:textId="454E983E" w:rsidR="0079315E" w:rsidRPr="00382DF1" w:rsidRDefault="0079315E" w:rsidP="0079315E">
      <w:pPr>
        <w:jc w:val="both"/>
        <w:rPr>
          <w:lang w:val="en-US"/>
        </w:rPr>
      </w:pPr>
      <w:r w:rsidRPr="00382DF1">
        <w:rPr>
          <w:lang w:val="en-US"/>
        </w:rPr>
        <w:t xml:space="preserve">Gelatt, K. N., Gilger, B. C., &amp; Kern, T. J. (2013). </w:t>
      </w:r>
      <w:r w:rsidRPr="00382DF1">
        <w:rPr>
          <w:i/>
          <w:iCs/>
          <w:lang w:val="en-US"/>
        </w:rPr>
        <w:t>Veterinary ophthalmology</w:t>
      </w:r>
      <w:r w:rsidRPr="00382DF1">
        <w:rPr>
          <w:lang w:val="en-US"/>
        </w:rPr>
        <w:t xml:space="preserve"> (5th ed.). Wiley-Blackwell. </w:t>
      </w:r>
    </w:p>
    <w:p w14:paraId="579B8621" w14:textId="733359E3" w:rsidR="0079315E" w:rsidRPr="00382DF1" w:rsidRDefault="0079315E" w:rsidP="0079315E">
      <w:pPr>
        <w:jc w:val="both"/>
        <w:rPr>
          <w:lang w:val="en-US"/>
        </w:rPr>
      </w:pPr>
      <w:r w:rsidRPr="00382DF1">
        <w:rPr>
          <w:lang w:val="en-US"/>
        </w:rPr>
        <w:t xml:space="preserve">Lim, C. C., Bakker, S. C., Waldner, C. L., Sandmeyer, L. S., &amp; Grahn, B. H. (2011). Cataracts in 44 dogs (77 eyes): </w:t>
      </w:r>
      <w:r w:rsidRPr="00382DF1">
        <w:rPr>
          <w:i/>
          <w:iCs/>
          <w:lang w:val="en-US"/>
        </w:rPr>
        <w:t>A comparison of outcomes for no treatment, topical medical management, or phacoemulsification with intraocular lens implantation.</w:t>
      </w:r>
      <w:r w:rsidRPr="00382DF1">
        <w:rPr>
          <w:lang w:val="en-US"/>
        </w:rPr>
        <w:t xml:space="preserve"> </w:t>
      </w:r>
      <w:r w:rsidRPr="00382DF1">
        <w:rPr>
          <w:i/>
          <w:iCs/>
          <w:lang w:val="en-US"/>
        </w:rPr>
        <w:t>Canadian Veterinary Journal, 52</w:t>
      </w:r>
      <w:r w:rsidRPr="00382DF1">
        <w:rPr>
          <w:lang w:val="en-US"/>
        </w:rPr>
        <w:t>(3), 283–288. </w:t>
      </w:r>
    </w:p>
    <w:p w14:paraId="2E2519C5" w14:textId="140C51BA" w:rsidR="0079315E" w:rsidRPr="00382DF1" w:rsidRDefault="0079315E" w:rsidP="0079315E">
      <w:pPr>
        <w:jc w:val="both"/>
        <w:rPr>
          <w:lang w:val="en-US"/>
        </w:rPr>
      </w:pPr>
      <w:r w:rsidRPr="00382DF1">
        <w:rPr>
          <w:lang w:val="en-US"/>
        </w:rPr>
        <w:t xml:space="preserve">Maggs, D. J., Miller, P. E., &amp; Ofri, R. (2013). </w:t>
      </w:r>
      <w:r w:rsidRPr="00382DF1">
        <w:rPr>
          <w:i/>
          <w:iCs/>
          <w:lang w:val="en-US"/>
        </w:rPr>
        <w:t>Slatter’s fundamentals of veterinary ophthalmology</w:t>
      </w:r>
      <w:r w:rsidRPr="00382DF1">
        <w:rPr>
          <w:lang w:val="en-US"/>
        </w:rPr>
        <w:t xml:space="preserve"> (5th ed.). Elsevier. </w:t>
      </w:r>
    </w:p>
    <w:p w14:paraId="06732B03" w14:textId="6827AF99" w:rsidR="0079315E" w:rsidRPr="00382DF1" w:rsidRDefault="0079315E" w:rsidP="0079315E">
      <w:pPr>
        <w:jc w:val="both"/>
        <w:rPr>
          <w:lang w:val="en-US"/>
        </w:rPr>
      </w:pPr>
      <w:r w:rsidRPr="00382DF1">
        <w:rPr>
          <w:lang w:val="en-US"/>
        </w:rPr>
        <w:t xml:space="preserve">Ralić, M., Vasić, J., Jovanović, M., &amp; Cameron, B. (2014). </w:t>
      </w:r>
      <w:r w:rsidRPr="00382DF1">
        <w:rPr>
          <w:i/>
          <w:iCs/>
          <w:lang w:val="en-US"/>
        </w:rPr>
        <w:t>Retrobulbar chondrosarcoma in a dog.</w:t>
      </w:r>
      <w:r w:rsidRPr="00382DF1">
        <w:rPr>
          <w:lang w:val="en-US"/>
        </w:rPr>
        <w:t xml:space="preserve"> </w:t>
      </w:r>
      <w:r w:rsidRPr="00382DF1">
        <w:rPr>
          <w:i/>
          <w:iCs/>
          <w:lang w:val="en-US"/>
        </w:rPr>
        <w:t>Open Veterinary Journal, 4</w:t>
      </w:r>
      <w:r w:rsidRPr="00382DF1">
        <w:rPr>
          <w:lang w:val="en-US"/>
        </w:rPr>
        <w:t>(1), 51–55.</w:t>
      </w:r>
    </w:p>
    <w:p w14:paraId="0B45CD36" w14:textId="77777777" w:rsidR="0079315E" w:rsidRPr="00CB3A31" w:rsidRDefault="0079315E" w:rsidP="0079315E">
      <w:pPr>
        <w:jc w:val="both"/>
      </w:pPr>
      <w:r w:rsidRPr="00382DF1">
        <w:rPr>
          <w:lang w:val="en-US"/>
        </w:rPr>
        <w:lastRenderedPageBreak/>
        <w:t>Winer, J. N., Verstraete, F. J. M., Cissell, D. D., Le, C., Vapniarsky, N., Good, K. L., Gutierrez, C. J., &amp; Arzi, B. (2018).</w:t>
      </w:r>
      <w:r w:rsidRPr="00382DF1">
        <w:rPr>
          <w:i/>
          <w:iCs/>
          <w:lang w:val="en-US"/>
        </w:rPr>
        <w:t xml:space="preserve"> Clinical features and computed tomography findings utilized to characterize retrobulbar disease in dogs. </w:t>
      </w:r>
      <w:r w:rsidRPr="0079315E">
        <w:rPr>
          <w:i/>
          <w:iCs/>
        </w:rPr>
        <w:t>Frontiers</w:t>
      </w:r>
      <w:r w:rsidRPr="00CB3A31">
        <w:rPr>
          <w:i/>
          <w:iCs/>
        </w:rPr>
        <w:t xml:space="preserve"> </w:t>
      </w:r>
      <w:r w:rsidRPr="0079315E">
        <w:rPr>
          <w:i/>
          <w:iCs/>
        </w:rPr>
        <w:t>in</w:t>
      </w:r>
      <w:r w:rsidRPr="00CB3A31">
        <w:rPr>
          <w:i/>
          <w:iCs/>
        </w:rPr>
        <w:t xml:space="preserve"> </w:t>
      </w:r>
      <w:r w:rsidRPr="0079315E">
        <w:rPr>
          <w:i/>
          <w:iCs/>
        </w:rPr>
        <w:t>Veterinary</w:t>
      </w:r>
      <w:r w:rsidRPr="00CB3A31">
        <w:rPr>
          <w:i/>
          <w:iCs/>
        </w:rPr>
        <w:t xml:space="preserve"> </w:t>
      </w:r>
      <w:r w:rsidRPr="0079315E">
        <w:rPr>
          <w:i/>
          <w:iCs/>
        </w:rPr>
        <w:t>Science</w:t>
      </w:r>
      <w:r w:rsidRPr="00CB3A31">
        <w:rPr>
          <w:i/>
          <w:iCs/>
        </w:rPr>
        <w:t>, 5</w:t>
      </w:r>
      <w:r w:rsidRPr="00CB3A31">
        <w:t>, 186</w:t>
      </w:r>
    </w:p>
    <w:p w14:paraId="2ADD8043" w14:textId="55886C7A" w:rsidR="0079315E" w:rsidRDefault="0079315E">
      <w:r>
        <w:br w:type="page"/>
      </w:r>
    </w:p>
    <w:p w14:paraId="521B77AA" w14:textId="77777777" w:rsidR="0079315E" w:rsidRPr="0079315E" w:rsidRDefault="0079315E" w:rsidP="0079315E">
      <w:pPr>
        <w:jc w:val="both"/>
      </w:pPr>
      <w:r w:rsidRPr="0079315E">
        <w:rPr>
          <w:b/>
          <w:bCs/>
        </w:rPr>
        <w:lastRenderedPageBreak/>
        <w:t>Η Νευροεπιστήμη του Καρκίνου: Ένα Αναδυόμενο Ερευνητικό Πεδίο</w:t>
      </w:r>
    </w:p>
    <w:p w14:paraId="02CAA647" w14:textId="1FC6103A" w:rsidR="0079315E" w:rsidRPr="0079315E" w:rsidRDefault="0079315E" w:rsidP="0079315E">
      <w:pPr>
        <w:jc w:val="both"/>
      </w:pPr>
      <w:r w:rsidRPr="0079315E">
        <w:t>Γαβριηλίδου Μαρία-Μαγδαληνή</w:t>
      </w:r>
      <w:r w:rsidRPr="0079315E">
        <w:rPr>
          <w:vertAlign w:val="superscript"/>
        </w:rPr>
        <w:t>1</w:t>
      </w:r>
      <w:r w:rsidRPr="0079315E">
        <w:t>, Τσιγκοτζίδου Αναστασία</w:t>
      </w:r>
      <w:r w:rsidRPr="0079315E">
        <w:rPr>
          <w:vertAlign w:val="superscript"/>
        </w:rPr>
        <w:t>2 </w:t>
      </w:r>
    </w:p>
    <w:p w14:paraId="3359AC63" w14:textId="77777777" w:rsidR="0079315E" w:rsidRPr="0079315E" w:rsidRDefault="0079315E" w:rsidP="0079315E">
      <w:pPr>
        <w:numPr>
          <w:ilvl w:val="0"/>
          <w:numId w:val="20"/>
        </w:numPr>
        <w:jc w:val="both"/>
      </w:pPr>
      <w:r w:rsidRPr="0079315E">
        <w:t>Προπτυχιακή Φοιτήτρια, Τμήμα Κτηνιατρικής, Σχολή Επιστημών Υγείας, Αριστοτέλειο Πανεπιστήμιο Θεσσαλονίκης</w:t>
      </w:r>
    </w:p>
    <w:p w14:paraId="12372D75" w14:textId="77777777" w:rsidR="0079315E" w:rsidRPr="0079315E" w:rsidRDefault="0079315E" w:rsidP="0079315E">
      <w:pPr>
        <w:numPr>
          <w:ilvl w:val="0"/>
          <w:numId w:val="20"/>
        </w:numPr>
        <w:jc w:val="both"/>
      </w:pPr>
      <w:r w:rsidRPr="0079315E">
        <w:t>Καθηγήτρια, Εργαστήριο Ανατομικής, Ιστολογίας και Εμβρυολογίας, Τμήμα Κτηνιατρικής, Σχολή Επιστημών Υγείας, Αριστοτέλειο Πανεπιστήμιο Θεσσαλονίκης</w:t>
      </w:r>
    </w:p>
    <w:p w14:paraId="69D7A3AA" w14:textId="77777777" w:rsidR="0079315E" w:rsidRPr="0079315E" w:rsidRDefault="0079315E" w:rsidP="0079315E">
      <w:pPr>
        <w:jc w:val="both"/>
      </w:pPr>
    </w:p>
    <w:p w14:paraId="1543E785" w14:textId="0C694170" w:rsidR="0079315E" w:rsidRPr="00CB3A31" w:rsidRDefault="0079315E" w:rsidP="0079315E">
      <w:pPr>
        <w:jc w:val="both"/>
      </w:pPr>
      <w:r w:rsidRPr="0079315E">
        <w:rPr>
          <w:b/>
          <w:bCs/>
        </w:rPr>
        <w:t>Περίληψη</w:t>
      </w:r>
    </w:p>
    <w:p w14:paraId="6915A43E" w14:textId="77777777" w:rsidR="0079315E" w:rsidRPr="0079315E" w:rsidRDefault="0079315E" w:rsidP="0079315E">
      <w:pPr>
        <w:jc w:val="both"/>
      </w:pPr>
      <w:r w:rsidRPr="0079315E">
        <w:t xml:space="preserve">Την τελευταία δεκαετία τέθηκε το ερώτημα από την επιστημονική κοινότητα σχετικά με την συμβολή των νεύρων στην παθογένεια του καρκίνου , καθώς αυτά εντοπίζονται στο μικροπεριβάλλον του. Έτσι, γεννήθηκε ένας νέος κλάδος στην έρευνα το “Cancer Neuroscience”, που στόχος του είναι να μελετήσει την αλληλεπίδραση των προαναφερθέντων και να δημιουργηθούν νέες και πολλά υποσχόμενες διαγνωστικές προσεγγίσεις και θεραπείες. Ο καρκίνος του μαστού, πιο συχνά, και του προστάτη, πιο σπάνια, παρατηρούνται στα ζώα συντροφιάς και είναι δύο είδη καρκίνου που τα νεύρα φαίνεται να συμμετέχουν ενεργά στην εξέλιξη τους. Ωστόσο, λόγω της σχετικά πρόσφατης εμφάνισης του τομέα αυτού, τα διαθέσιμα δεδομένα προέρχονται κυρίως από </w:t>
      </w:r>
      <w:r w:rsidRPr="0079315E">
        <w:rPr>
          <w:i/>
          <w:iCs/>
        </w:rPr>
        <w:t>in vitro</w:t>
      </w:r>
      <w:r w:rsidRPr="0079315E">
        <w:t xml:space="preserve"> μελέτες και πειράματα σε ζωικά πρότυπα, ενώ τα κλινικά δεδομένα παραμένουν περιορισμένα στον άνθρωπο και σχεδόν ανύπαρκτα στα ζώα συντροφιάς και για αυτό θα δοθεί έμφαση κυρίως στους υποκείμενους μηχανισμούς, που πιθανόν να μπορούν να αξιοποιηθούν στην κλινική πράξη. </w:t>
      </w:r>
    </w:p>
    <w:p w14:paraId="7E4AD0EF" w14:textId="77777777" w:rsidR="0079315E" w:rsidRPr="0079315E" w:rsidRDefault="0079315E" w:rsidP="0079315E">
      <w:pPr>
        <w:jc w:val="both"/>
      </w:pPr>
    </w:p>
    <w:p w14:paraId="5136A32E" w14:textId="3D001A4A" w:rsidR="0079315E" w:rsidRPr="00CB3A31" w:rsidRDefault="0079315E" w:rsidP="0079315E">
      <w:pPr>
        <w:jc w:val="both"/>
      </w:pPr>
      <w:r w:rsidRPr="0079315E">
        <w:rPr>
          <w:b/>
          <w:bCs/>
        </w:rPr>
        <w:t>Βιβλιογραφία</w:t>
      </w:r>
    </w:p>
    <w:p w14:paraId="5BF28535" w14:textId="6B78047C" w:rsidR="007A2D0C" w:rsidRPr="00382DF1" w:rsidRDefault="0079315E" w:rsidP="0079315E">
      <w:pPr>
        <w:jc w:val="both"/>
        <w:rPr>
          <w:lang w:val="en-US"/>
        </w:rPr>
      </w:pPr>
      <w:r w:rsidRPr="0079315E">
        <w:t>Demir</w:t>
      </w:r>
      <w:r w:rsidRPr="00CB3A31">
        <w:t xml:space="preserve">, </w:t>
      </w:r>
      <w:r w:rsidRPr="0079315E">
        <w:t>I</w:t>
      </w:r>
      <w:r w:rsidRPr="00CB3A31">
        <w:t xml:space="preserve">. </w:t>
      </w:r>
      <w:r w:rsidRPr="0079315E">
        <w:t>E</w:t>
      </w:r>
      <w:r w:rsidRPr="00CB3A31">
        <w:t xml:space="preserve">., </w:t>
      </w:r>
      <w:r w:rsidRPr="0079315E">
        <w:t>Mota</w:t>
      </w:r>
      <w:r w:rsidRPr="00CB3A31">
        <w:t xml:space="preserve"> </w:t>
      </w:r>
      <w:r w:rsidRPr="0079315E">
        <w:t>Reyes</w:t>
      </w:r>
      <w:r w:rsidRPr="00CB3A31">
        <w:t xml:space="preserve">, </w:t>
      </w:r>
      <w:r w:rsidRPr="0079315E">
        <w:t>C</w:t>
      </w:r>
      <w:r w:rsidRPr="00CB3A31">
        <w:t xml:space="preserve">., </w:t>
      </w:r>
      <w:r w:rsidRPr="0079315E">
        <w:t>Alrawashdeh</w:t>
      </w:r>
      <w:r w:rsidRPr="00CB3A31">
        <w:t xml:space="preserve">, </w:t>
      </w:r>
      <w:r w:rsidRPr="0079315E">
        <w:t>W</w:t>
      </w:r>
      <w:r w:rsidRPr="00CB3A31">
        <w:t xml:space="preserve">., </w:t>
      </w:r>
      <w:r w:rsidRPr="0079315E">
        <w:t>Ceyhan</w:t>
      </w:r>
      <w:r w:rsidRPr="00CB3A31">
        <w:t xml:space="preserve">, </w:t>
      </w:r>
      <w:r w:rsidRPr="0079315E">
        <w:t>G</w:t>
      </w:r>
      <w:r w:rsidRPr="00CB3A31">
        <w:t xml:space="preserve">. </w:t>
      </w:r>
      <w:r w:rsidRPr="0079315E">
        <w:t>O</w:t>
      </w:r>
      <w:r w:rsidRPr="00CB3A31">
        <w:t xml:space="preserve">., </w:t>
      </w:r>
      <w:r w:rsidRPr="0079315E">
        <w:t>Deborde</w:t>
      </w:r>
      <w:r w:rsidRPr="00CB3A31">
        <w:t xml:space="preserve">, </w:t>
      </w:r>
      <w:r w:rsidRPr="0079315E">
        <w:t>S</w:t>
      </w:r>
      <w:r w:rsidRPr="00CB3A31">
        <w:t xml:space="preserve">., </w:t>
      </w:r>
      <w:r w:rsidRPr="0079315E">
        <w:t>Friess</w:t>
      </w:r>
      <w:r w:rsidRPr="00CB3A31">
        <w:t xml:space="preserve">, </w:t>
      </w:r>
      <w:r w:rsidRPr="0079315E">
        <w:t>H</w:t>
      </w:r>
      <w:r w:rsidRPr="00CB3A31">
        <w:t xml:space="preserve">., </w:t>
      </w:r>
      <w:r w:rsidRPr="0079315E">
        <w:t>G</w:t>
      </w:r>
      <w:r w:rsidRPr="00CB3A31">
        <w:t>ö</w:t>
      </w:r>
      <w:r w:rsidRPr="0079315E">
        <w:t>rg</w:t>
      </w:r>
      <w:r w:rsidRPr="00CB3A31">
        <w:t>ü</w:t>
      </w:r>
      <w:r w:rsidRPr="0079315E">
        <w:t>l</w:t>
      </w:r>
      <w:r w:rsidRPr="00CB3A31">
        <w:t xml:space="preserve">ü, </w:t>
      </w:r>
      <w:r w:rsidRPr="0079315E">
        <w:t>K</w:t>
      </w:r>
      <w:r w:rsidRPr="00CB3A31">
        <w:t xml:space="preserve">., </w:t>
      </w:r>
      <w:r w:rsidRPr="0079315E">
        <w:t>Istvanffy</w:t>
      </w:r>
      <w:r w:rsidRPr="00CB3A31">
        <w:t xml:space="preserve">, </w:t>
      </w:r>
      <w:r w:rsidRPr="0079315E">
        <w:t>R</w:t>
      </w:r>
      <w:r w:rsidRPr="00CB3A31">
        <w:t xml:space="preserve">., </w:t>
      </w:r>
      <w:r w:rsidRPr="0079315E">
        <w:t>Jungwirth</w:t>
      </w:r>
      <w:r w:rsidRPr="00CB3A31">
        <w:t xml:space="preserve">, </w:t>
      </w:r>
      <w:r w:rsidRPr="0079315E">
        <w:t>D</w:t>
      </w:r>
      <w:r w:rsidRPr="00CB3A31">
        <w:t xml:space="preserve">., </w:t>
      </w:r>
      <w:r w:rsidRPr="0079315E">
        <w:t>Kuner</w:t>
      </w:r>
      <w:r w:rsidRPr="00CB3A31">
        <w:t xml:space="preserve">, </w:t>
      </w:r>
      <w:r w:rsidRPr="0079315E">
        <w:t>R</w:t>
      </w:r>
      <w:r w:rsidRPr="00CB3A31">
        <w:t xml:space="preserve">., </w:t>
      </w:r>
      <w:r w:rsidRPr="0079315E">
        <w:t>Maryanovic</w:t>
      </w:r>
      <w:r w:rsidRPr="00CB3A31">
        <w:t xml:space="preserve">, </w:t>
      </w:r>
      <w:r w:rsidRPr="0079315E">
        <w:t>Na</w:t>
      </w:r>
      <w:r w:rsidRPr="00CB3A31">
        <w:t>’</w:t>
      </w:r>
      <w:r w:rsidRPr="0079315E">
        <w:t>ara</w:t>
      </w:r>
      <w:r w:rsidRPr="00CB3A31">
        <w:t xml:space="preserve">, </w:t>
      </w:r>
      <w:r w:rsidRPr="0079315E">
        <w:t>S</w:t>
      </w:r>
      <w:r w:rsidRPr="00CB3A31">
        <w:t xml:space="preserve">., </w:t>
      </w:r>
      <w:r w:rsidRPr="0079315E">
        <w:t>Renders</w:t>
      </w:r>
      <w:r w:rsidRPr="00CB3A31">
        <w:t xml:space="preserve">, </w:t>
      </w:r>
      <w:r w:rsidRPr="0079315E">
        <w:t>S</w:t>
      </w:r>
      <w:r w:rsidRPr="00CB3A31">
        <w:t xml:space="preserve">., </w:t>
      </w:r>
      <w:r w:rsidRPr="0079315E">
        <w:t>Saloman</w:t>
      </w:r>
      <w:r w:rsidRPr="00CB3A31">
        <w:t xml:space="preserve">, </w:t>
      </w:r>
      <w:r w:rsidRPr="0079315E">
        <w:t>J</w:t>
      </w:r>
      <w:r w:rsidRPr="00CB3A31">
        <w:t xml:space="preserve">. </w:t>
      </w:r>
      <w:r w:rsidRPr="0079315E">
        <w:t>L</w:t>
      </w:r>
      <w:r w:rsidRPr="00CB3A31">
        <w:t xml:space="preserve">., </w:t>
      </w:r>
      <w:r w:rsidRPr="0079315E">
        <w:t>Scheff</w:t>
      </w:r>
      <w:r w:rsidRPr="00CB3A31">
        <w:t xml:space="preserve">, </w:t>
      </w:r>
      <w:r w:rsidRPr="0079315E">
        <w:t>N</w:t>
      </w:r>
      <w:r w:rsidRPr="00CB3A31">
        <w:t xml:space="preserve">. </w:t>
      </w:r>
      <w:r w:rsidRPr="0079315E">
        <w:t>N</w:t>
      </w:r>
      <w:r w:rsidRPr="00CB3A31">
        <w:t xml:space="preserve">., </w:t>
      </w:r>
      <w:r w:rsidRPr="0079315E">
        <w:t>Steenfadt</w:t>
      </w:r>
      <w:r w:rsidRPr="00CB3A31">
        <w:t xml:space="preserve">, </w:t>
      </w:r>
      <w:r w:rsidRPr="0079315E">
        <w:t>H</w:t>
      </w:r>
      <w:r w:rsidRPr="00CB3A31">
        <w:t xml:space="preserve">., </w:t>
      </w:r>
      <w:r w:rsidRPr="0079315E">
        <w:t>Stupakov</w:t>
      </w:r>
      <w:r w:rsidRPr="00CB3A31">
        <w:t xml:space="preserve">, </w:t>
      </w:r>
      <w:r w:rsidRPr="0079315E">
        <w:t>P</w:t>
      </w:r>
      <w:r w:rsidRPr="00CB3A31">
        <w:t xml:space="preserve">., </w:t>
      </w:r>
      <w:r w:rsidRPr="0079315E">
        <w:t>Thiel</w:t>
      </w:r>
      <w:r w:rsidRPr="00CB3A31">
        <w:t xml:space="preserve">, </w:t>
      </w:r>
      <w:r w:rsidRPr="0079315E">
        <w:t>V</w:t>
      </w:r>
      <w:r w:rsidRPr="00CB3A31">
        <w:t xml:space="preserve">., </w:t>
      </w:r>
      <w:r w:rsidRPr="0079315E">
        <w:t>Verma</w:t>
      </w:r>
      <w:r w:rsidRPr="00CB3A31">
        <w:t xml:space="preserve">, </w:t>
      </w:r>
      <w:r w:rsidRPr="0079315E">
        <w:t>D</w:t>
      </w:r>
      <w:r w:rsidRPr="00CB3A31">
        <w:t xml:space="preserve">., </w:t>
      </w:r>
      <w:r w:rsidRPr="0079315E">
        <w:t>Davis</w:t>
      </w:r>
      <w:r w:rsidRPr="00CB3A31">
        <w:t xml:space="preserve">, </w:t>
      </w:r>
      <w:r w:rsidRPr="0079315E">
        <w:t>B</w:t>
      </w:r>
      <w:r w:rsidRPr="00CB3A31">
        <w:t xml:space="preserve">. </w:t>
      </w:r>
      <w:r w:rsidRPr="0079315E">
        <w:t>M</w:t>
      </w:r>
      <w:r w:rsidRPr="00CB3A31">
        <w:t xml:space="preserve">. (2020). </w:t>
      </w:r>
      <w:r w:rsidRPr="00382DF1">
        <w:rPr>
          <w:lang w:val="en-US"/>
        </w:rPr>
        <w:t xml:space="preserve">Future directions in preclinical and translational cancer neuroscience research. </w:t>
      </w:r>
      <w:r w:rsidRPr="00382DF1">
        <w:rPr>
          <w:i/>
          <w:iCs/>
          <w:lang w:val="en-US"/>
        </w:rPr>
        <w:t>Nature Cancer, 1</w:t>
      </w:r>
      <w:r w:rsidRPr="00382DF1">
        <w:rPr>
          <w:lang w:val="en-US"/>
        </w:rPr>
        <w:t>, 1027–1031.</w:t>
      </w:r>
    </w:p>
    <w:p w14:paraId="5DC148D2" w14:textId="7650F6A8" w:rsidR="0079315E" w:rsidRPr="00382DF1" w:rsidRDefault="0079315E" w:rsidP="0079315E">
      <w:pPr>
        <w:jc w:val="both"/>
        <w:rPr>
          <w:lang w:val="en-US"/>
        </w:rPr>
      </w:pPr>
      <w:r w:rsidRPr="00382DF1">
        <w:rPr>
          <w:lang w:val="en-US"/>
        </w:rPr>
        <w:t xml:space="preserve">Di Donato, M., Giovannelli, P., Migliaccio, A., &amp; Castoria, G. (2023). The nerve growth factor-delivered signals in prostate cancer and its associated microenvironment: When the dialogue replaces the monologue. </w:t>
      </w:r>
      <w:r w:rsidRPr="00382DF1">
        <w:rPr>
          <w:i/>
          <w:iCs/>
          <w:lang w:val="en-US"/>
        </w:rPr>
        <w:t>Cell &amp; Bioscience, 13</w:t>
      </w:r>
      <w:r w:rsidRPr="00382DF1">
        <w:rPr>
          <w:lang w:val="en-US"/>
        </w:rPr>
        <w:t>(60).</w:t>
      </w:r>
    </w:p>
    <w:p w14:paraId="155814A1" w14:textId="1B13720F" w:rsidR="0079315E" w:rsidRPr="00382DF1" w:rsidRDefault="0079315E" w:rsidP="0079315E">
      <w:pPr>
        <w:jc w:val="both"/>
        <w:rPr>
          <w:lang w:val="en-US"/>
        </w:rPr>
      </w:pPr>
      <w:r w:rsidRPr="00382DF1">
        <w:rPr>
          <w:lang w:val="en-US"/>
        </w:rPr>
        <w:t xml:space="preserve">Huang, Q., Hu, B., Zhang, P., Yuan, Y., Yue, S., Chen, X., Liang, J., Tang, Z., &amp; Zhang, B. (2025). Neuroscience of cancer: Unravelling the complex interplay between the nervous system, the tumour and the tumour immune microenvironment. </w:t>
      </w:r>
      <w:r w:rsidRPr="00382DF1">
        <w:rPr>
          <w:i/>
          <w:iCs/>
          <w:lang w:val="en-US"/>
        </w:rPr>
        <w:t>Molecular Cancer, 24</w:t>
      </w:r>
      <w:r w:rsidRPr="00382DF1">
        <w:rPr>
          <w:lang w:val="en-US"/>
        </w:rPr>
        <w:t>(24).</w:t>
      </w:r>
    </w:p>
    <w:p w14:paraId="248DE7DE" w14:textId="540B79FF" w:rsidR="0079315E" w:rsidRPr="00382DF1" w:rsidRDefault="0079315E" w:rsidP="0079315E">
      <w:pPr>
        <w:jc w:val="both"/>
        <w:rPr>
          <w:lang w:val="en-US"/>
        </w:rPr>
      </w:pPr>
      <w:r w:rsidRPr="00382DF1">
        <w:rPr>
          <w:lang w:val="en-US"/>
        </w:rPr>
        <w:t xml:space="preserve">Huang, S., Zhu, J., Yu, L., Huang, Y., &amp; Hu, Y. (2025). Cancer-nervous system crosstalk: From biological mechanism to therapeutic opportunities. </w:t>
      </w:r>
      <w:r w:rsidRPr="00382DF1">
        <w:rPr>
          <w:i/>
          <w:iCs/>
          <w:lang w:val="en-US"/>
        </w:rPr>
        <w:t>Molecular Cancer, 23</w:t>
      </w:r>
      <w:r w:rsidRPr="00382DF1">
        <w:rPr>
          <w:lang w:val="en-US"/>
        </w:rPr>
        <w:t>(133).</w:t>
      </w:r>
    </w:p>
    <w:p w14:paraId="73050597" w14:textId="4EE6F988" w:rsidR="0079315E" w:rsidRPr="00382DF1" w:rsidRDefault="0079315E" w:rsidP="0079315E">
      <w:pPr>
        <w:jc w:val="both"/>
        <w:rPr>
          <w:lang w:val="en-US"/>
        </w:rPr>
      </w:pPr>
      <w:r w:rsidRPr="00382DF1">
        <w:rPr>
          <w:lang w:val="en-US"/>
        </w:rPr>
        <w:t xml:space="preserve">Hu, J., Chen, W., Shen, L., Chen, Z., &amp; Huang, J. (2022). Crosstalk between the peripheral nervous system and breast cancer influences tumour progression. </w:t>
      </w:r>
      <w:r w:rsidRPr="00382DF1">
        <w:rPr>
          <w:i/>
          <w:iCs/>
          <w:lang w:val="en-US"/>
        </w:rPr>
        <w:t>BBA - Reviews on Cancer, 1877</w:t>
      </w:r>
      <w:r w:rsidRPr="00382DF1">
        <w:rPr>
          <w:lang w:val="en-US"/>
        </w:rPr>
        <w:t>(6).</w:t>
      </w:r>
    </w:p>
    <w:p w14:paraId="7BBFC6DA" w14:textId="1532701E" w:rsidR="0079315E" w:rsidRPr="00382DF1" w:rsidRDefault="0079315E" w:rsidP="0079315E">
      <w:pPr>
        <w:jc w:val="both"/>
        <w:rPr>
          <w:lang w:val="en-US"/>
        </w:rPr>
      </w:pPr>
      <w:r w:rsidRPr="00382DF1">
        <w:rPr>
          <w:lang w:val="en-US"/>
        </w:rPr>
        <w:t xml:space="preserve">Le, T. T., &amp; Oudin, M. J. (2023). Understanding and modeling nerve–cancer interactions. </w:t>
      </w:r>
      <w:r w:rsidRPr="00382DF1">
        <w:rPr>
          <w:i/>
          <w:iCs/>
          <w:lang w:val="en-US"/>
        </w:rPr>
        <w:t>Disease Models &amp; Mechanisms, 16</w:t>
      </w:r>
      <w:r w:rsidRPr="00382DF1">
        <w:rPr>
          <w:lang w:val="en-US"/>
        </w:rPr>
        <w:t>(1)</w:t>
      </w:r>
      <w:r w:rsidR="007A2D0C" w:rsidRPr="00382DF1">
        <w:rPr>
          <w:lang w:val="en-US"/>
        </w:rPr>
        <w:t>.</w:t>
      </w:r>
    </w:p>
    <w:p w14:paraId="38436D7E" w14:textId="4DC97708" w:rsidR="0079315E" w:rsidRPr="00382DF1" w:rsidRDefault="0079315E" w:rsidP="0079315E">
      <w:pPr>
        <w:jc w:val="both"/>
        <w:rPr>
          <w:lang w:val="en-US"/>
        </w:rPr>
      </w:pPr>
      <w:r w:rsidRPr="00382DF1">
        <w:rPr>
          <w:lang w:val="en-US"/>
        </w:rPr>
        <w:lastRenderedPageBreak/>
        <w:t xml:space="preserve">Liu, Z., Peng, Q., Wang, Y., Chiu, P. K.-F., Teoh, J. Y.-C., Wang, R., Liu, X., Wu, D., &amp; Ng, C.-F. (2025). Neuroscience in prostate cancer. </w:t>
      </w:r>
      <w:r w:rsidRPr="00382DF1">
        <w:rPr>
          <w:i/>
          <w:iCs/>
          <w:lang w:val="en-US"/>
        </w:rPr>
        <w:t>Prostate Cancer and Prostatic Diseases</w:t>
      </w:r>
      <w:r w:rsidRPr="00382DF1">
        <w:rPr>
          <w:lang w:val="en-US"/>
        </w:rPr>
        <w:t>.</w:t>
      </w:r>
    </w:p>
    <w:p w14:paraId="0DCC52BE" w14:textId="200F254D" w:rsidR="0079315E" w:rsidRPr="00382DF1" w:rsidRDefault="0079315E" w:rsidP="0079315E">
      <w:pPr>
        <w:jc w:val="both"/>
        <w:rPr>
          <w:lang w:val="en-US"/>
        </w:rPr>
      </w:pPr>
      <w:r w:rsidRPr="00382DF1">
        <w:rPr>
          <w:lang w:val="en-US"/>
        </w:rPr>
        <w:t xml:space="preserve">Mancusi, R., &amp; Monje, M. (2023). The neuroscience of cancer. </w:t>
      </w:r>
      <w:r w:rsidRPr="00382DF1">
        <w:rPr>
          <w:i/>
          <w:iCs/>
          <w:lang w:val="en-US"/>
        </w:rPr>
        <w:t>Nature, 618</w:t>
      </w:r>
      <w:r w:rsidRPr="00382DF1">
        <w:rPr>
          <w:lang w:val="en-US"/>
        </w:rPr>
        <w:t>, 467–479.</w:t>
      </w:r>
    </w:p>
    <w:p w14:paraId="728EFFF0" w14:textId="01A7FE06" w:rsidR="0079315E" w:rsidRPr="00382DF1" w:rsidRDefault="0079315E" w:rsidP="0079315E">
      <w:pPr>
        <w:jc w:val="both"/>
        <w:rPr>
          <w:lang w:val="en-US"/>
        </w:rPr>
      </w:pPr>
      <w:r w:rsidRPr="00382DF1">
        <w:rPr>
          <w:lang w:val="en-US"/>
        </w:rPr>
        <w:t xml:space="preserve">Monje, M., &amp; Winkler, F. (2025). Cancer research needs neuroscience and neuroscientists. </w:t>
      </w:r>
      <w:r w:rsidRPr="00382DF1">
        <w:rPr>
          <w:i/>
          <w:iCs/>
          <w:lang w:val="en-US"/>
        </w:rPr>
        <w:t>Nature Neuroscience, 28</w:t>
      </w:r>
      <w:r w:rsidRPr="00382DF1">
        <w:rPr>
          <w:lang w:val="en-US"/>
        </w:rPr>
        <w:t>, 915–917.</w:t>
      </w:r>
    </w:p>
    <w:p w14:paraId="0438B59A" w14:textId="24C8CB94" w:rsidR="0079315E" w:rsidRPr="00382DF1" w:rsidRDefault="0079315E" w:rsidP="0079315E">
      <w:pPr>
        <w:jc w:val="both"/>
        <w:rPr>
          <w:lang w:val="en-US"/>
        </w:rPr>
      </w:pPr>
      <w:r w:rsidRPr="00382DF1">
        <w:rPr>
          <w:lang w:val="en-US"/>
        </w:rPr>
        <w:t xml:space="preserve">Sigorski, D., Kasprzyk-Pawelec, A., Michalak, M., Sosnowski, R., Hryciuk, M. M., Sejda, A., Gulczynski, J., Kitlinska, J., Nawrocki, S., &amp; Izycka-Swieszewska, E. (2026). The nervous system in prostate cancer: A basic science and clinical perspective. </w:t>
      </w:r>
      <w:r w:rsidRPr="00382DF1">
        <w:rPr>
          <w:i/>
          <w:iCs/>
          <w:lang w:val="en-US"/>
        </w:rPr>
        <w:t>Seminars in Oncology, 53</w:t>
      </w:r>
      <w:r w:rsidRPr="00382DF1">
        <w:rPr>
          <w:lang w:val="en-US"/>
        </w:rPr>
        <w:t>(1).</w:t>
      </w:r>
    </w:p>
    <w:p w14:paraId="7F65ED8F" w14:textId="4636B204" w:rsidR="0079315E" w:rsidRPr="00382DF1" w:rsidRDefault="0079315E" w:rsidP="0079315E">
      <w:pPr>
        <w:jc w:val="both"/>
        <w:rPr>
          <w:lang w:val="en-US"/>
        </w:rPr>
      </w:pPr>
      <w:r w:rsidRPr="00382DF1">
        <w:rPr>
          <w:lang w:val="en-US"/>
        </w:rPr>
        <w:t xml:space="preserve">Vasilatis, D. M., Lucchesi, C. A., &amp; Ghosh, P. M. (2023). </w:t>
      </w:r>
      <w:r w:rsidRPr="00382DF1">
        <w:rPr>
          <w:i/>
          <w:iCs/>
          <w:lang w:val="en-US"/>
        </w:rPr>
        <w:t>Biomedicines, 11</w:t>
      </w:r>
      <w:r w:rsidRPr="00382DF1">
        <w:rPr>
          <w:lang w:val="en-US"/>
        </w:rPr>
        <w:t>.</w:t>
      </w:r>
    </w:p>
    <w:p w14:paraId="2C13FE7D" w14:textId="3B582A08" w:rsidR="0079315E" w:rsidRPr="00382DF1" w:rsidRDefault="0079315E" w:rsidP="0079315E">
      <w:pPr>
        <w:jc w:val="both"/>
        <w:rPr>
          <w:lang w:val="en-US"/>
        </w:rPr>
      </w:pPr>
      <w:r w:rsidRPr="00382DF1">
        <w:rPr>
          <w:lang w:val="en-US"/>
        </w:rPr>
        <w:t xml:space="preserve">Wang, H., Zheng, Q., Lu, Z., Wang, L., Ding, L., Xia, L., Zhang, H., Wang, M., Chen, Y., &amp; Li, G. (2021). Role of the nervous system in cancers: A review. </w:t>
      </w:r>
      <w:r w:rsidRPr="00382DF1">
        <w:rPr>
          <w:i/>
          <w:iCs/>
          <w:lang w:val="en-US"/>
        </w:rPr>
        <w:t>Cell Death Discovery, 7</w:t>
      </w:r>
      <w:r w:rsidRPr="00382DF1">
        <w:rPr>
          <w:lang w:val="en-US"/>
        </w:rPr>
        <w:t>, Article 76.</w:t>
      </w:r>
    </w:p>
    <w:p w14:paraId="00D59241" w14:textId="405141EF" w:rsidR="0079315E" w:rsidRPr="00382DF1" w:rsidRDefault="0079315E" w:rsidP="0079315E">
      <w:pPr>
        <w:jc w:val="both"/>
        <w:rPr>
          <w:lang w:val="en-US"/>
        </w:rPr>
      </w:pPr>
      <w:r w:rsidRPr="00382DF1">
        <w:rPr>
          <w:lang w:val="en-US"/>
        </w:rPr>
        <w:t xml:space="preserve">Wang, J.-F., Wang, M.-C., Jiang, L.-L., &amp; Lin, N.-M. (2025). </w:t>
      </w:r>
      <w:r w:rsidRPr="00382DF1">
        <w:rPr>
          <w:i/>
          <w:iCs/>
          <w:lang w:val="en-US"/>
        </w:rPr>
        <w:t>The neuroscience in breast cancer: Current insights and clinical opportunities.</w:t>
      </w:r>
      <w:r w:rsidRPr="00382DF1">
        <w:rPr>
          <w:lang w:val="en-US"/>
        </w:rPr>
        <w:t xml:space="preserve"> </w:t>
      </w:r>
      <w:r w:rsidRPr="00382DF1">
        <w:rPr>
          <w:i/>
          <w:iCs/>
          <w:lang w:val="en-US"/>
        </w:rPr>
        <w:t>Heliyon, 11</w:t>
      </w:r>
      <w:r w:rsidRPr="00382DF1">
        <w:rPr>
          <w:lang w:val="en-US"/>
        </w:rPr>
        <w:t>(3).</w:t>
      </w:r>
    </w:p>
    <w:p w14:paraId="06383868" w14:textId="44BC6AA8" w:rsidR="0079315E" w:rsidRPr="00382DF1" w:rsidRDefault="0079315E" w:rsidP="0079315E">
      <w:pPr>
        <w:jc w:val="both"/>
        <w:rPr>
          <w:lang w:val="en-US"/>
        </w:rPr>
      </w:pPr>
      <w:r w:rsidRPr="00382DF1">
        <w:rPr>
          <w:lang w:val="en-US"/>
        </w:rPr>
        <w:t xml:space="preserve">Wang, L., Qi, T., Tang, L., Wang, Y., ChenLiu, Z., Wang, D., &amp; Tang, D. (2025). </w:t>
      </w:r>
      <w:r w:rsidRPr="00382DF1">
        <w:rPr>
          <w:i/>
          <w:iCs/>
          <w:lang w:val="en-US"/>
        </w:rPr>
        <w:t>Peripheral nerves-cancer cross-talk: The next frontier in cancer treatment. Molecular and Cellular Biochemistry, 480</w:t>
      </w:r>
      <w:r w:rsidRPr="00382DF1">
        <w:rPr>
          <w:lang w:val="en-US"/>
        </w:rPr>
        <w:t>, 4533–4547.</w:t>
      </w:r>
    </w:p>
    <w:p w14:paraId="35D8AE09" w14:textId="77777777" w:rsidR="0079315E" w:rsidRPr="00CB3A31" w:rsidRDefault="0079315E" w:rsidP="007A2D0C">
      <w:pPr>
        <w:jc w:val="both"/>
      </w:pPr>
      <w:r w:rsidRPr="00382DF1">
        <w:rPr>
          <w:lang w:val="en-US"/>
        </w:rPr>
        <w:t xml:space="preserve">Wang, X., Fan, Y., Wang, Q., Shu, X., Lin, J., Guo, J., Li, Z., &amp; Xu, J. (2025). </w:t>
      </w:r>
      <w:r w:rsidRPr="00382DF1">
        <w:rPr>
          <w:i/>
          <w:iCs/>
          <w:lang w:val="en-US"/>
        </w:rPr>
        <w:t>Tumor-infiltrating nerves: Unravelling the role of cancer neuroscience in tumorigenesis, disease progression, and emerging therapies.</w:t>
      </w:r>
      <w:r w:rsidRPr="00382DF1">
        <w:rPr>
          <w:lang w:val="en-US"/>
        </w:rPr>
        <w:t xml:space="preserve"> </w:t>
      </w:r>
      <w:r w:rsidRPr="0079315E">
        <w:rPr>
          <w:i/>
          <w:iCs/>
        </w:rPr>
        <w:t>Discover Oncology</w:t>
      </w:r>
      <w:r w:rsidRPr="0079315E">
        <w:t>.</w:t>
      </w:r>
      <w:r w:rsidRPr="0079315E">
        <w:br/>
      </w:r>
      <w:r w:rsidRPr="0079315E">
        <w:br/>
      </w:r>
    </w:p>
    <w:p w14:paraId="46F96ED4" w14:textId="77777777" w:rsidR="007A2D0C" w:rsidRPr="00CB3A31" w:rsidRDefault="007A2D0C" w:rsidP="0079315E">
      <w:pPr>
        <w:jc w:val="both"/>
      </w:pPr>
    </w:p>
    <w:p w14:paraId="0AF0123A" w14:textId="77777777" w:rsidR="007A2D0C" w:rsidRPr="00CB3A31" w:rsidRDefault="007A2D0C" w:rsidP="0079315E">
      <w:pPr>
        <w:jc w:val="both"/>
      </w:pPr>
    </w:p>
    <w:p w14:paraId="61369AA4" w14:textId="77777777" w:rsidR="007A2D0C" w:rsidRPr="00CB3A31" w:rsidRDefault="007A2D0C" w:rsidP="0079315E">
      <w:pPr>
        <w:jc w:val="both"/>
      </w:pPr>
    </w:p>
    <w:p w14:paraId="11F560B5" w14:textId="77777777" w:rsidR="007A2D0C" w:rsidRPr="00CB3A31" w:rsidRDefault="007A2D0C" w:rsidP="0079315E">
      <w:pPr>
        <w:jc w:val="both"/>
      </w:pPr>
    </w:p>
    <w:p w14:paraId="54994C99" w14:textId="77777777" w:rsidR="0079315E" w:rsidRPr="00CB3A31" w:rsidRDefault="0079315E" w:rsidP="0079315E">
      <w:pPr>
        <w:jc w:val="both"/>
      </w:pPr>
    </w:p>
    <w:p w14:paraId="545946B5" w14:textId="77777777" w:rsidR="007A2D0C" w:rsidRPr="00CB3A31" w:rsidRDefault="007A2D0C" w:rsidP="0079315E">
      <w:pPr>
        <w:jc w:val="both"/>
      </w:pPr>
    </w:p>
    <w:p w14:paraId="4328D21E" w14:textId="77777777" w:rsidR="007A2D0C" w:rsidRPr="00CB3A31" w:rsidRDefault="007A2D0C" w:rsidP="0079315E">
      <w:pPr>
        <w:jc w:val="both"/>
      </w:pPr>
    </w:p>
    <w:p w14:paraId="0E7D8B45" w14:textId="77777777" w:rsidR="007A2D0C" w:rsidRPr="00CB3A31" w:rsidRDefault="007A2D0C" w:rsidP="0079315E">
      <w:pPr>
        <w:jc w:val="both"/>
      </w:pPr>
    </w:p>
    <w:p w14:paraId="21A0BD04" w14:textId="77777777" w:rsidR="007A2D0C" w:rsidRPr="00CB3A31" w:rsidRDefault="007A2D0C" w:rsidP="0079315E">
      <w:pPr>
        <w:jc w:val="both"/>
      </w:pPr>
    </w:p>
    <w:p w14:paraId="02B652D7" w14:textId="77777777" w:rsidR="007A2D0C" w:rsidRPr="00CB3A31" w:rsidRDefault="007A2D0C" w:rsidP="0079315E">
      <w:pPr>
        <w:jc w:val="both"/>
      </w:pPr>
    </w:p>
    <w:p w14:paraId="0D33CBD2" w14:textId="77777777" w:rsidR="007A2D0C" w:rsidRPr="00CB3A31" w:rsidRDefault="007A2D0C" w:rsidP="0079315E">
      <w:pPr>
        <w:jc w:val="both"/>
      </w:pPr>
    </w:p>
    <w:p w14:paraId="1B41BEDC" w14:textId="77777777" w:rsidR="007A2D0C" w:rsidRPr="00CB3A31" w:rsidRDefault="007A2D0C" w:rsidP="0079315E">
      <w:pPr>
        <w:jc w:val="both"/>
      </w:pPr>
    </w:p>
    <w:p w14:paraId="774231E5" w14:textId="77777777" w:rsidR="007A2D0C" w:rsidRPr="00CB3A31" w:rsidRDefault="007A2D0C" w:rsidP="0079315E">
      <w:pPr>
        <w:jc w:val="both"/>
      </w:pPr>
    </w:p>
    <w:p w14:paraId="11DC75FD" w14:textId="77777777" w:rsidR="007A2D0C" w:rsidRPr="00CB3A31" w:rsidRDefault="007A2D0C" w:rsidP="0079315E">
      <w:pPr>
        <w:jc w:val="both"/>
      </w:pPr>
    </w:p>
    <w:p w14:paraId="181C6A18" w14:textId="77777777" w:rsidR="0079315E" w:rsidRPr="0079315E" w:rsidRDefault="0079315E" w:rsidP="0079315E">
      <w:pPr>
        <w:jc w:val="both"/>
      </w:pPr>
      <w:r w:rsidRPr="0079315E">
        <w:rPr>
          <w:b/>
          <w:bCs/>
        </w:rPr>
        <w:lastRenderedPageBreak/>
        <w:t>Ο Κόνικλος ως Ζωικό Πρότυπο, το Εντερικό του Μικροβίωμα και η Σημασία του στην Ορθή Έκβαση των Πειραμάτων</w:t>
      </w:r>
    </w:p>
    <w:p w14:paraId="151ECC66" w14:textId="77777777" w:rsidR="0079315E" w:rsidRPr="0079315E" w:rsidRDefault="0079315E" w:rsidP="0079315E">
      <w:pPr>
        <w:jc w:val="both"/>
      </w:pPr>
      <w:r w:rsidRPr="0079315E">
        <w:t>Τσεκούρας Χρήστος</w:t>
      </w:r>
      <w:r w:rsidRPr="0079315E">
        <w:rPr>
          <w:vertAlign w:val="superscript"/>
        </w:rPr>
        <w:t>1</w:t>
      </w:r>
      <w:r w:rsidRPr="0079315E">
        <w:t>, Μαμώλος Παναγιώτης</w:t>
      </w:r>
      <w:r w:rsidRPr="0079315E">
        <w:rPr>
          <w:vertAlign w:val="superscript"/>
        </w:rPr>
        <w:t>1</w:t>
      </w:r>
      <w:r w:rsidRPr="0079315E">
        <w:t>, Μαργαρίτης Ιωάννης</w:t>
      </w:r>
      <w:r w:rsidRPr="0079315E">
        <w:rPr>
          <w:vertAlign w:val="superscript"/>
        </w:rPr>
        <w:t>2</w:t>
      </w:r>
    </w:p>
    <w:p w14:paraId="599428F0" w14:textId="77777777" w:rsidR="0079315E" w:rsidRPr="0079315E" w:rsidRDefault="0079315E" w:rsidP="0079315E">
      <w:pPr>
        <w:numPr>
          <w:ilvl w:val="0"/>
          <w:numId w:val="21"/>
        </w:numPr>
        <w:jc w:val="both"/>
      </w:pPr>
      <w:r w:rsidRPr="0079315E">
        <w:t>Προπτυχιακός Φοιτητής, Τμήμα Κτηνιατρικής, Σχολή Επιστημών Υγείας, Αριστοτέλειο Πανεπιστήμιο Θεσσαλονίκης</w:t>
      </w:r>
    </w:p>
    <w:p w14:paraId="23F36EC2" w14:textId="77777777" w:rsidR="0079315E" w:rsidRPr="007A2D0C" w:rsidRDefault="0079315E" w:rsidP="0079315E">
      <w:pPr>
        <w:numPr>
          <w:ilvl w:val="0"/>
          <w:numId w:val="21"/>
        </w:numPr>
        <w:jc w:val="both"/>
      </w:pPr>
      <w:r w:rsidRPr="0079315E">
        <w:t>Λέκτορας, Εργαστήριο Φυσιολογίας,  Τομέας Δομής και Λειτουργίας Ζωικών Οργανισμών, Τμήμα Κτηνιατρικής, Σχολή Επιστημών Υγείας, Αριστοτέλειο Πανεπιστήμιο Θεσσαλονίκης</w:t>
      </w:r>
    </w:p>
    <w:p w14:paraId="16AC8674" w14:textId="77777777" w:rsidR="007A2D0C" w:rsidRPr="0079315E" w:rsidRDefault="007A2D0C" w:rsidP="007A2D0C">
      <w:pPr>
        <w:ind w:left="720"/>
        <w:jc w:val="both"/>
      </w:pPr>
    </w:p>
    <w:p w14:paraId="4CECCDB6" w14:textId="77777777" w:rsidR="0079315E" w:rsidRPr="0079315E" w:rsidRDefault="0079315E" w:rsidP="0079315E">
      <w:pPr>
        <w:jc w:val="both"/>
      </w:pPr>
      <w:r w:rsidRPr="0079315E">
        <w:rPr>
          <w:b/>
          <w:bCs/>
        </w:rPr>
        <w:t>Περίληψη</w:t>
      </w:r>
    </w:p>
    <w:p w14:paraId="339C92AA" w14:textId="77777777" w:rsidR="0079315E" w:rsidRPr="0079315E" w:rsidRDefault="0079315E" w:rsidP="0079315E">
      <w:pPr>
        <w:jc w:val="both"/>
      </w:pPr>
      <w:r w:rsidRPr="0079315E">
        <w:t>Ο κόνικλος (</w:t>
      </w:r>
      <w:r w:rsidRPr="0079315E">
        <w:rPr>
          <w:i/>
          <w:iCs/>
        </w:rPr>
        <w:t>Oryctolagus cuniculus</w:t>
      </w:r>
      <w:r w:rsidRPr="0079315E">
        <w:t xml:space="preserve">) αποτελεί σημαντικό ζωικό πρότυπο στη βιοϊατρική έρευνα, με το εντερικό μικροβίωμα του τυφλού εντέρου να διαδραματίζει καθοριστικό ρόλο στη φυσιολογία και στην πειραματική αξιοπιστία των αποτελεσμάτων. Το μικροβίωμα συμβάλλει στη ζυμωτική πέψη των κυτταρινών και στην παραγωγή πτητικών λιπαρών οξέων (VFA), στη βιοσύνθεση βιταμινών και αμινοξέων, καθώς και στη διατήρηση της ακεραιότητας του εντερικού βλεννογόνου και της εντερικής κινητικότητας. Επιπλέον, συμμετέχει στην ωρίμανση του εντερικού λεμφικού ιστού και στη ρύθμιση της ανοσολογικής απόκρισης μέσω αντιμικροβιακών πεπτιδίων και αλληλεπιδράσεων με τον ξενιστή. Η διαμόρφωση του μικροβιώματος επηρεάζεται από πολλαπλούς παράγοντες, όπως το άμεσο περιβάλλον τοκετού, η κοπροφαγία (κατάποση κοπράνων της μητέρας), το σύστημα εκτροφής (SPF ή συμβατικό), η ηλικία και κυρίως η διατροφή. Η μείωση μη πεπτών ινών οδηγεί σε μεταβολές στη ζύμωση και στη μείωση της κυτταρινολυτικής δραστηριότητας, ενώ η ποιότητα των ινών και το επίπεδο πρωτεΐνης επηρεάζουν τη μικροβιακή σύνθεση και την παρουσία παθογόνων όπως </w:t>
      </w:r>
      <w:r w:rsidRPr="0079315E">
        <w:rPr>
          <w:i/>
          <w:iCs/>
        </w:rPr>
        <w:t>Clostridium spp.</w:t>
      </w:r>
      <w:r w:rsidRPr="0079315E">
        <w:t xml:space="preserve"> και </w:t>
      </w:r>
      <w:r w:rsidRPr="0079315E">
        <w:rPr>
          <w:i/>
          <w:iCs/>
        </w:rPr>
        <w:t>Helicobacter spp.</w:t>
      </w:r>
      <w:r w:rsidRPr="0079315E">
        <w:t xml:space="preserve"> Παρεμβάσεις με πρεβιοτικά (FOS, MOS) και προβιοτικά (</w:t>
      </w:r>
      <w:r w:rsidRPr="0079315E">
        <w:rPr>
          <w:i/>
          <w:iCs/>
        </w:rPr>
        <w:t>Lactobacillus</w:t>
      </w:r>
      <w:r w:rsidRPr="0079315E">
        <w:t>,</w:t>
      </w:r>
      <w:r w:rsidRPr="0079315E">
        <w:rPr>
          <w:i/>
          <w:iCs/>
        </w:rPr>
        <w:t xml:space="preserve"> Bacillus</w:t>
      </w:r>
      <w:r w:rsidRPr="0079315E">
        <w:t>,</w:t>
      </w:r>
      <w:r w:rsidRPr="0079315E">
        <w:rPr>
          <w:i/>
          <w:iCs/>
        </w:rPr>
        <w:t xml:space="preserve"> Saccharomyces</w:t>
      </w:r>
      <w:r w:rsidRPr="0079315E">
        <w:t>) τροποποιούν τη μικροβιακή ισορροπία, ενώ η χρήση αντιβιοτικών μειώνει τη μικροβιακή ποικιλότητα και μπορεί να επηρεάσει το ανοσολογικό προφίλ. Συνεπώς, το εντερικό μικροβίωμα αποτελεί κρίσιμο παράγοντα για την αναπαραγωγιμότητα των πειραμάτων.</w:t>
      </w:r>
    </w:p>
    <w:p w14:paraId="18B34B8B" w14:textId="77777777" w:rsidR="0079315E" w:rsidRPr="0079315E" w:rsidRDefault="0079315E" w:rsidP="0079315E">
      <w:pPr>
        <w:jc w:val="both"/>
      </w:pPr>
    </w:p>
    <w:p w14:paraId="3165C76C" w14:textId="77777777" w:rsidR="0079315E" w:rsidRPr="0079315E" w:rsidRDefault="0079315E" w:rsidP="0079315E">
      <w:pPr>
        <w:jc w:val="both"/>
      </w:pPr>
      <w:r w:rsidRPr="0079315E">
        <w:rPr>
          <w:b/>
          <w:bCs/>
        </w:rPr>
        <w:t>Βιβλιογραφία </w:t>
      </w:r>
    </w:p>
    <w:p w14:paraId="28A04F5B" w14:textId="77777777" w:rsidR="0079315E" w:rsidRPr="00382DF1" w:rsidRDefault="0079315E" w:rsidP="0079315E">
      <w:pPr>
        <w:jc w:val="both"/>
        <w:rPr>
          <w:lang w:val="en-US"/>
        </w:rPr>
      </w:pPr>
      <w:r w:rsidRPr="0079315E">
        <w:t xml:space="preserve">Abecia, L., Fondevila, M., Balcells, J., &amp; McEwan, N. (2007a). </w:t>
      </w:r>
      <w:r w:rsidRPr="00382DF1">
        <w:rPr>
          <w:lang w:val="en-US"/>
        </w:rPr>
        <w:t xml:space="preserve">The effect of lactating rabbit does on the development of the caecal microbial community in the pups they nurture. </w:t>
      </w:r>
      <w:r w:rsidRPr="00382DF1">
        <w:rPr>
          <w:i/>
          <w:iCs/>
          <w:lang w:val="en-US"/>
        </w:rPr>
        <w:t>Journal of Applied Microbiology</w:t>
      </w:r>
      <w:r w:rsidRPr="00382DF1">
        <w:rPr>
          <w:lang w:val="en-US"/>
        </w:rPr>
        <w:t xml:space="preserve">, </w:t>
      </w:r>
      <w:r w:rsidRPr="00382DF1">
        <w:rPr>
          <w:i/>
          <w:iCs/>
          <w:lang w:val="en-US"/>
        </w:rPr>
        <w:t>103</w:t>
      </w:r>
      <w:r w:rsidRPr="00382DF1">
        <w:rPr>
          <w:lang w:val="en-US"/>
        </w:rPr>
        <w:t>(3), 557–564.</w:t>
      </w:r>
    </w:p>
    <w:p w14:paraId="291116B9" w14:textId="77777777" w:rsidR="0079315E" w:rsidRPr="00382DF1" w:rsidRDefault="0079315E" w:rsidP="0079315E">
      <w:pPr>
        <w:jc w:val="both"/>
        <w:rPr>
          <w:lang w:val="en-US"/>
        </w:rPr>
      </w:pPr>
      <w:r w:rsidRPr="00382DF1">
        <w:rPr>
          <w:lang w:val="en-US"/>
        </w:rPr>
        <w:t xml:space="preserve">Abecia, L., Fondevila, M., Balcells, J., Lobley, G., &amp; McEwan, N. (2007b). The effect of medicated diets and level of feeding on caecal microbiota of lactating rabbit does. </w:t>
      </w:r>
      <w:r w:rsidRPr="00382DF1">
        <w:rPr>
          <w:i/>
          <w:iCs/>
          <w:lang w:val="en-US"/>
        </w:rPr>
        <w:t>Journal of Applied Microbiology</w:t>
      </w:r>
      <w:r w:rsidRPr="00382DF1">
        <w:rPr>
          <w:lang w:val="en-US"/>
        </w:rPr>
        <w:t xml:space="preserve">, </w:t>
      </w:r>
      <w:r w:rsidRPr="00382DF1">
        <w:rPr>
          <w:i/>
          <w:iCs/>
          <w:lang w:val="en-US"/>
        </w:rPr>
        <w:t>103</w:t>
      </w:r>
      <w:r w:rsidRPr="00382DF1">
        <w:rPr>
          <w:lang w:val="en-US"/>
        </w:rPr>
        <w:t>, 787–793.</w:t>
      </w:r>
    </w:p>
    <w:p w14:paraId="0FA187AF" w14:textId="77777777" w:rsidR="0079315E" w:rsidRPr="00382DF1" w:rsidRDefault="0079315E" w:rsidP="0079315E">
      <w:pPr>
        <w:jc w:val="both"/>
        <w:rPr>
          <w:lang w:val="en-US"/>
        </w:rPr>
      </w:pPr>
      <w:r w:rsidRPr="00382DF1">
        <w:rPr>
          <w:lang w:val="en-US"/>
        </w:rPr>
        <w:t xml:space="preserve">Abecia, L., Fondevila, M., Balcells, J., Edwards, J., Newbold, C., &amp; McEwan, N. (2007c). Effect of antibiotics on the bacterial population of the rabbit caecum. </w:t>
      </w:r>
      <w:r w:rsidRPr="00382DF1">
        <w:rPr>
          <w:i/>
          <w:iCs/>
          <w:lang w:val="en-US"/>
        </w:rPr>
        <w:t>FEMS Microbiology Letters</w:t>
      </w:r>
      <w:r w:rsidRPr="00382DF1">
        <w:rPr>
          <w:lang w:val="en-US"/>
        </w:rPr>
        <w:t xml:space="preserve">, </w:t>
      </w:r>
      <w:r w:rsidRPr="00382DF1">
        <w:rPr>
          <w:i/>
          <w:iCs/>
          <w:lang w:val="en-US"/>
        </w:rPr>
        <w:t>272</w:t>
      </w:r>
      <w:r w:rsidRPr="00382DF1">
        <w:rPr>
          <w:lang w:val="en-US"/>
        </w:rPr>
        <w:t>, 144–153.</w:t>
      </w:r>
    </w:p>
    <w:p w14:paraId="42DEFB32" w14:textId="77777777" w:rsidR="0079315E" w:rsidRPr="00382DF1" w:rsidRDefault="0079315E" w:rsidP="0079315E">
      <w:pPr>
        <w:jc w:val="both"/>
        <w:rPr>
          <w:lang w:val="en-US"/>
        </w:rPr>
      </w:pPr>
      <w:r w:rsidRPr="00382DF1">
        <w:rPr>
          <w:lang w:val="en-US"/>
        </w:rPr>
        <w:t>Abi-Rached, L., Dorighi, K., Norman, P. J., Yawata, M., &amp; Parham, P. (2007). Episodes of natural selection shaped the interactions of IgA-Fc with Fc</w:t>
      </w:r>
      <w:r w:rsidRPr="0079315E">
        <w:t>α</w:t>
      </w:r>
      <w:r w:rsidRPr="00382DF1">
        <w:rPr>
          <w:lang w:val="en-US"/>
        </w:rPr>
        <w:t xml:space="preserve">RI and bacterial decoy proteins. </w:t>
      </w:r>
      <w:r w:rsidRPr="00382DF1">
        <w:rPr>
          <w:i/>
          <w:iCs/>
          <w:lang w:val="en-US"/>
        </w:rPr>
        <w:t>The Journal of Immunology</w:t>
      </w:r>
      <w:r w:rsidRPr="00382DF1">
        <w:rPr>
          <w:lang w:val="en-US"/>
        </w:rPr>
        <w:t xml:space="preserve">, </w:t>
      </w:r>
      <w:r w:rsidRPr="00382DF1">
        <w:rPr>
          <w:i/>
          <w:iCs/>
          <w:lang w:val="en-US"/>
        </w:rPr>
        <w:t>178</w:t>
      </w:r>
      <w:r w:rsidRPr="00382DF1">
        <w:rPr>
          <w:lang w:val="en-US"/>
        </w:rPr>
        <w:t>(12), 7943–7954.</w:t>
      </w:r>
    </w:p>
    <w:p w14:paraId="7F5796F6" w14:textId="77777777" w:rsidR="0079315E" w:rsidRPr="00382DF1" w:rsidRDefault="0079315E" w:rsidP="0079315E">
      <w:pPr>
        <w:jc w:val="both"/>
        <w:rPr>
          <w:lang w:val="en-US"/>
        </w:rPr>
      </w:pPr>
      <w:r w:rsidRPr="00382DF1">
        <w:rPr>
          <w:lang w:val="en-US"/>
        </w:rPr>
        <w:lastRenderedPageBreak/>
        <w:t xml:space="preserve">Al-Asmakh, &amp; Zadjali, F. (2015). Use of germ-free animal models in microbiota-related research. </w:t>
      </w:r>
      <w:r w:rsidRPr="00382DF1">
        <w:rPr>
          <w:i/>
          <w:iCs/>
          <w:lang w:val="en-US"/>
        </w:rPr>
        <w:t>Journal of Microbiology and Biotechnology</w:t>
      </w:r>
      <w:r w:rsidRPr="00382DF1">
        <w:rPr>
          <w:lang w:val="en-US"/>
        </w:rPr>
        <w:t xml:space="preserve">, </w:t>
      </w:r>
      <w:r w:rsidRPr="00382DF1">
        <w:rPr>
          <w:i/>
          <w:iCs/>
          <w:lang w:val="en-US"/>
        </w:rPr>
        <w:t>25</w:t>
      </w:r>
      <w:r w:rsidRPr="00382DF1">
        <w:rPr>
          <w:lang w:val="en-US"/>
        </w:rPr>
        <w:t>, 1583–1588.</w:t>
      </w:r>
    </w:p>
    <w:p w14:paraId="5E47477D" w14:textId="77777777" w:rsidR="0079315E" w:rsidRPr="00382DF1" w:rsidRDefault="0079315E" w:rsidP="0079315E">
      <w:pPr>
        <w:jc w:val="both"/>
        <w:rPr>
          <w:lang w:val="en-US"/>
        </w:rPr>
      </w:pPr>
      <w:r w:rsidRPr="00382DF1">
        <w:rPr>
          <w:lang w:val="en-US"/>
        </w:rPr>
        <w:t xml:space="preserve">Alves, P., Ferrand, N., &amp; Hackländer, K. (2008). </w:t>
      </w:r>
      <w:r w:rsidRPr="00382DF1">
        <w:rPr>
          <w:i/>
          <w:iCs/>
          <w:lang w:val="en-US"/>
        </w:rPr>
        <w:t>Lagomorph biology: Evolution, ecology and conservation</w:t>
      </w:r>
      <w:r w:rsidRPr="00382DF1">
        <w:rPr>
          <w:lang w:val="en-US"/>
        </w:rPr>
        <w:t>. Springer.</w:t>
      </w:r>
    </w:p>
    <w:p w14:paraId="6F8E6471" w14:textId="77777777" w:rsidR="0079315E" w:rsidRPr="00382DF1" w:rsidRDefault="0079315E" w:rsidP="0079315E">
      <w:pPr>
        <w:jc w:val="both"/>
        <w:rPr>
          <w:lang w:val="en-US"/>
        </w:rPr>
      </w:pPr>
      <w:r w:rsidRPr="00382DF1">
        <w:rPr>
          <w:lang w:val="en-US"/>
        </w:rPr>
        <w:t xml:space="preserve">Amber, K. (2004). Effect of feeding diets containing yucca extract or probiotic on growth, digestibility, nitrogen balance and caecal microbial activity of growing New Zealand white rabbits. </w:t>
      </w:r>
      <w:r w:rsidRPr="00382DF1">
        <w:rPr>
          <w:i/>
          <w:iCs/>
          <w:lang w:val="en-US"/>
        </w:rPr>
        <w:t>8th World Rabbit Congress</w:t>
      </w:r>
      <w:r w:rsidRPr="00382DF1">
        <w:rPr>
          <w:lang w:val="en-US"/>
        </w:rPr>
        <w:t>, Puebla, Mexico.</w:t>
      </w:r>
    </w:p>
    <w:p w14:paraId="44B041AE" w14:textId="77777777" w:rsidR="0079315E" w:rsidRPr="00382DF1" w:rsidRDefault="0079315E" w:rsidP="0079315E">
      <w:pPr>
        <w:jc w:val="both"/>
        <w:rPr>
          <w:lang w:val="en-US"/>
        </w:rPr>
      </w:pPr>
      <w:r w:rsidRPr="00382DF1">
        <w:rPr>
          <w:lang w:val="en-US"/>
        </w:rPr>
        <w:t xml:space="preserve">Antunes, L. C., Jun Han, R. B., Lolić, P., Borchers, C. H., &amp; Finlay, B. B. (2011). Effect of antibiotic treatment on the intestinal metabolome. </w:t>
      </w:r>
      <w:r w:rsidRPr="00382DF1">
        <w:rPr>
          <w:i/>
          <w:iCs/>
          <w:lang w:val="en-US"/>
        </w:rPr>
        <w:t>Antimicrobial Agents and Chemotherapy</w:t>
      </w:r>
      <w:r w:rsidRPr="00382DF1">
        <w:rPr>
          <w:lang w:val="en-US"/>
        </w:rPr>
        <w:t xml:space="preserve">, </w:t>
      </w:r>
      <w:r w:rsidRPr="00382DF1">
        <w:rPr>
          <w:i/>
          <w:iCs/>
          <w:lang w:val="en-US"/>
        </w:rPr>
        <w:t>55</w:t>
      </w:r>
      <w:r w:rsidRPr="00382DF1">
        <w:rPr>
          <w:lang w:val="en-US"/>
        </w:rPr>
        <w:t>, 1494–1503.</w:t>
      </w:r>
    </w:p>
    <w:p w14:paraId="38D48927" w14:textId="77777777" w:rsidR="0079315E" w:rsidRPr="00382DF1" w:rsidRDefault="0079315E" w:rsidP="0079315E">
      <w:pPr>
        <w:jc w:val="both"/>
        <w:rPr>
          <w:lang w:val="en-US"/>
        </w:rPr>
      </w:pPr>
      <w:r w:rsidRPr="00382DF1">
        <w:rPr>
          <w:lang w:val="fr-FR"/>
        </w:rPr>
        <w:t xml:space="preserve">Bennegadi, N., Fonty, G., Millet, L., Gidenne, T., &amp; Licois, D. (2003). </w:t>
      </w:r>
      <w:r w:rsidRPr="00382DF1">
        <w:rPr>
          <w:lang w:val="en-US"/>
        </w:rPr>
        <w:t xml:space="preserve">Effects of age and dietary fibre level on caecal microbial communities of conventional and specific pathogen-free rabbits. </w:t>
      </w:r>
      <w:r w:rsidRPr="00382DF1">
        <w:rPr>
          <w:i/>
          <w:iCs/>
          <w:lang w:val="en-US"/>
        </w:rPr>
        <w:t>Microbial Ecology in Health and Disease</w:t>
      </w:r>
      <w:r w:rsidRPr="00382DF1">
        <w:rPr>
          <w:lang w:val="en-US"/>
        </w:rPr>
        <w:t xml:space="preserve">, </w:t>
      </w:r>
      <w:r w:rsidRPr="00382DF1">
        <w:rPr>
          <w:i/>
          <w:iCs/>
          <w:lang w:val="en-US"/>
        </w:rPr>
        <w:t>15</w:t>
      </w:r>
      <w:r w:rsidRPr="00382DF1">
        <w:rPr>
          <w:lang w:val="en-US"/>
        </w:rPr>
        <w:t>, 23–32.</w:t>
      </w:r>
    </w:p>
    <w:p w14:paraId="4C9E67F2" w14:textId="77777777" w:rsidR="0079315E" w:rsidRPr="00382DF1" w:rsidRDefault="0079315E" w:rsidP="0079315E">
      <w:pPr>
        <w:jc w:val="both"/>
        <w:rPr>
          <w:lang w:val="en-US"/>
        </w:rPr>
      </w:pPr>
      <w:r w:rsidRPr="00382DF1">
        <w:rPr>
          <w:lang w:val="en-US"/>
        </w:rPr>
        <w:t xml:space="preserve">Berg, R. D. (2014). The indigenous gastrointestinal microflora. </w:t>
      </w:r>
      <w:r w:rsidRPr="00382DF1">
        <w:rPr>
          <w:i/>
          <w:iCs/>
          <w:lang w:val="en-US"/>
        </w:rPr>
        <w:t>Trends in Microbiology</w:t>
      </w:r>
      <w:r w:rsidRPr="00382DF1">
        <w:rPr>
          <w:lang w:val="en-US"/>
        </w:rPr>
        <w:t xml:space="preserve">, </w:t>
      </w:r>
      <w:r w:rsidRPr="00382DF1">
        <w:rPr>
          <w:i/>
          <w:iCs/>
          <w:lang w:val="en-US"/>
        </w:rPr>
        <w:t>4</w:t>
      </w:r>
      <w:r w:rsidRPr="00382DF1">
        <w:rPr>
          <w:lang w:val="en-US"/>
        </w:rPr>
        <w:t>, 430–435.</w:t>
      </w:r>
    </w:p>
    <w:p w14:paraId="74069364" w14:textId="77777777" w:rsidR="0079315E" w:rsidRPr="00382DF1" w:rsidRDefault="0079315E" w:rsidP="0079315E">
      <w:pPr>
        <w:jc w:val="both"/>
        <w:rPr>
          <w:lang w:val="en-US"/>
        </w:rPr>
      </w:pPr>
      <w:r w:rsidRPr="00382DF1">
        <w:rPr>
          <w:lang w:val="en-US"/>
        </w:rPr>
        <w:t xml:space="preserve">Bhattari, Y., &amp; Kashyap, P. (2016). Germ-free mice model for studying host-microbial interactions. </w:t>
      </w:r>
      <w:r w:rsidRPr="00382DF1">
        <w:rPr>
          <w:i/>
          <w:iCs/>
          <w:lang w:val="en-US"/>
        </w:rPr>
        <w:t>Methods in Molecular Biology</w:t>
      </w:r>
      <w:r w:rsidRPr="00382DF1">
        <w:rPr>
          <w:lang w:val="en-US"/>
        </w:rPr>
        <w:t xml:space="preserve">, </w:t>
      </w:r>
      <w:r w:rsidRPr="00382DF1">
        <w:rPr>
          <w:i/>
          <w:iCs/>
          <w:lang w:val="en-US"/>
        </w:rPr>
        <w:t>1438</w:t>
      </w:r>
      <w:r w:rsidRPr="00382DF1">
        <w:rPr>
          <w:lang w:val="en-US"/>
        </w:rPr>
        <w:t>, 125–135.</w:t>
      </w:r>
    </w:p>
    <w:p w14:paraId="3B51536C" w14:textId="77777777" w:rsidR="0079315E" w:rsidRPr="00382DF1" w:rsidRDefault="0079315E" w:rsidP="0079315E">
      <w:pPr>
        <w:jc w:val="both"/>
        <w:rPr>
          <w:lang w:val="en-US"/>
        </w:rPr>
      </w:pPr>
      <w:r w:rsidRPr="00382DF1">
        <w:rPr>
          <w:lang w:val="en-US"/>
        </w:rPr>
        <w:t>Bónai, A., Dalle Zotte, A., Kametler, L., Vántus, V., Morsy, W., Matics, Z., &amp; Kovács, M. (2012). Dietary supplementation of Spirulina (</w:t>
      </w:r>
      <w:r w:rsidRPr="00382DF1">
        <w:rPr>
          <w:i/>
          <w:iCs/>
          <w:lang w:val="en-US"/>
        </w:rPr>
        <w:t>Arthrospira platensis</w:t>
      </w:r>
      <w:r w:rsidRPr="00382DF1">
        <w:rPr>
          <w:lang w:val="en-US"/>
        </w:rPr>
        <w:t>) and thyme (</w:t>
      </w:r>
      <w:r w:rsidRPr="00382DF1">
        <w:rPr>
          <w:i/>
          <w:iCs/>
          <w:lang w:val="en-US"/>
        </w:rPr>
        <w:t>Thymus vulgaris</w:t>
      </w:r>
      <w:r w:rsidRPr="00382DF1">
        <w:rPr>
          <w:lang w:val="en-US"/>
        </w:rPr>
        <w:t xml:space="preserve">). Part 2 – effect on gastrointestinal growth, caecal microbiota and fermentation in rabbits. </w:t>
      </w:r>
      <w:r w:rsidRPr="00382DF1">
        <w:rPr>
          <w:i/>
          <w:iCs/>
          <w:lang w:val="en-US"/>
        </w:rPr>
        <w:t>10th World Rabbit Congress</w:t>
      </w:r>
      <w:r w:rsidRPr="00382DF1">
        <w:rPr>
          <w:lang w:val="en-US"/>
        </w:rPr>
        <w:t>, Sharm El-Sheikh, Egypt, 707–711.</w:t>
      </w:r>
    </w:p>
    <w:p w14:paraId="39FA25E2" w14:textId="77777777" w:rsidR="0079315E" w:rsidRPr="00382DF1" w:rsidRDefault="0079315E" w:rsidP="0079315E">
      <w:pPr>
        <w:jc w:val="both"/>
        <w:rPr>
          <w:lang w:val="en-US"/>
        </w:rPr>
      </w:pPr>
      <w:r w:rsidRPr="00382DF1">
        <w:rPr>
          <w:lang w:val="en-US"/>
        </w:rPr>
        <w:t xml:space="preserve">Bónai, A., Szendrő, Z., Matics, Z., Febel, H., Kametler, L., Tornyos, G., &amp; Kovács, M. (2010). Effect of inulin supplementation and age on growth performance and digestive physiological parameters in weaned rabbits. </w:t>
      </w:r>
      <w:r w:rsidRPr="00382DF1">
        <w:rPr>
          <w:i/>
          <w:iCs/>
          <w:lang w:val="en-US"/>
        </w:rPr>
        <w:t>World Rabbit Science</w:t>
      </w:r>
      <w:r w:rsidRPr="00382DF1">
        <w:rPr>
          <w:lang w:val="en-US"/>
        </w:rPr>
        <w:t xml:space="preserve">, </w:t>
      </w:r>
      <w:r w:rsidRPr="00382DF1">
        <w:rPr>
          <w:i/>
          <w:iCs/>
          <w:lang w:val="en-US"/>
        </w:rPr>
        <w:t>18</w:t>
      </w:r>
      <w:r w:rsidRPr="00382DF1">
        <w:rPr>
          <w:lang w:val="en-US"/>
        </w:rPr>
        <w:t>, 121–129.</w:t>
      </w:r>
    </w:p>
    <w:p w14:paraId="4C8C2C29" w14:textId="77777777" w:rsidR="0079315E" w:rsidRPr="00382DF1" w:rsidRDefault="0079315E" w:rsidP="0079315E">
      <w:pPr>
        <w:jc w:val="both"/>
        <w:rPr>
          <w:lang w:val="en-US"/>
        </w:rPr>
      </w:pPr>
      <w:r w:rsidRPr="00382DF1">
        <w:rPr>
          <w:lang w:val="en-US"/>
        </w:rPr>
        <w:t xml:space="preserve">Bonai, A., Szendro, Z., Matics, Z., Febel, H., Posa, R., Tornyos, G., &amp; Kovacs, M. (2008). Effect of </w:t>
      </w:r>
      <w:r w:rsidRPr="00382DF1">
        <w:rPr>
          <w:i/>
          <w:iCs/>
          <w:lang w:val="en-US"/>
        </w:rPr>
        <w:t>Bacillus cereus</w:t>
      </w:r>
      <w:r w:rsidRPr="00382DF1">
        <w:rPr>
          <w:lang w:val="en-US"/>
        </w:rPr>
        <w:t xml:space="preserve"> var. </w:t>
      </w:r>
      <w:r w:rsidRPr="00382DF1">
        <w:rPr>
          <w:i/>
          <w:iCs/>
          <w:lang w:val="en-US"/>
        </w:rPr>
        <w:t>toyoi</w:t>
      </w:r>
      <w:r w:rsidRPr="00382DF1">
        <w:rPr>
          <w:lang w:val="en-US"/>
        </w:rPr>
        <w:t xml:space="preserve"> on caecal microflora and fermentation in rabbits. </w:t>
      </w:r>
      <w:r w:rsidRPr="00382DF1">
        <w:rPr>
          <w:i/>
          <w:iCs/>
          <w:lang w:val="en-US"/>
        </w:rPr>
        <w:t>9th World Rabbit Congress</w:t>
      </w:r>
      <w:r w:rsidRPr="00382DF1">
        <w:rPr>
          <w:lang w:val="en-US"/>
        </w:rPr>
        <w:t>, Verona, Italy, 561–566.</w:t>
      </w:r>
    </w:p>
    <w:p w14:paraId="388711AA" w14:textId="77777777" w:rsidR="0079315E" w:rsidRPr="00382DF1" w:rsidRDefault="0079315E" w:rsidP="0079315E">
      <w:pPr>
        <w:jc w:val="both"/>
        <w:rPr>
          <w:lang w:val="en-US"/>
        </w:rPr>
      </w:pPr>
      <w:r w:rsidRPr="00382DF1">
        <w:rPr>
          <w:lang w:val="en-US"/>
        </w:rPr>
        <w:t xml:space="preserve">Burnett, R., Hanly, W., Zhai, S., &amp; Knight, K. (1989). The IgA heavy-chain gene family in rabbit: cloning and sequence analysis of 13 C alpha genes. </w:t>
      </w:r>
      <w:r w:rsidRPr="00382DF1">
        <w:rPr>
          <w:i/>
          <w:iCs/>
          <w:lang w:val="en-US"/>
        </w:rPr>
        <w:t>EMBO Journal</w:t>
      </w:r>
      <w:r w:rsidRPr="00382DF1">
        <w:rPr>
          <w:lang w:val="en-US"/>
        </w:rPr>
        <w:t xml:space="preserve">, </w:t>
      </w:r>
      <w:r w:rsidRPr="00382DF1">
        <w:rPr>
          <w:i/>
          <w:iCs/>
          <w:lang w:val="en-US"/>
        </w:rPr>
        <w:t>8</w:t>
      </w:r>
      <w:r w:rsidRPr="00382DF1">
        <w:rPr>
          <w:lang w:val="en-US"/>
        </w:rPr>
        <w:t>, 4041–4047.</w:t>
      </w:r>
    </w:p>
    <w:p w14:paraId="30BD6865" w14:textId="77777777" w:rsidR="0079315E" w:rsidRPr="00382DF1" w:rsidRDefault="0079315E" w:rsidP="0079315E">
      <w:pPr>
        <w:jc w:val="both"/>
        <w:rPr>
          <w:lang w:val="en-US"/>
        </w:rPr>
      </w:pPr>
      <w:r w:rsidRPr="00382DF1">
        <w:rPr>
          <w:lang w:val="en-US"/>
        </w:rPr>
        <w:t xml:space="preserve">Carabaño, R., Piquer, J., Menoyo, D., &amp; Badiola, I. (2010). The digestive system of the rabbit. In </w:t>
      </w:r>
      <w:r w:rsidRPr="00382DF1">
        <w:rPr>
          <w:i/>
          <w:iCs/>
          <w:lang w:val="en-US"/>
        </w:rPr>
        <w:t>Nutrition of the rabbit</w:t>
      </w:r>
      <w:r w:rsidRPr="00382DF1">
        <w:rPr>
          <w:lang w:val="en-US"/>
        </w:rPr>
        <w:t xml:space="preserve"> (pp. 1–18). CABI.</w:t>
      </w:r>
    </w:p>
    <w:p w14:paraId="6D5AC906" w14:textId="77777777" w:rsidR="0079315E" w:rsidRPr="00382DF1" w:rsidRDefault="0079315E" w:rsidP="0079315E">
      <w:pPr>
        <w:jc w:val="both"/>
        <w:rPr>
          <w:lang w:val="en-US"/>
        </w:rPr>
      </w:pPr>
      <w:r w:rsidRPr="00382DF1">
        <w:rPr>
          <w:lang w:val="en-US"/>
        </w:rPr>
        <w:t xml:space="preserve">Carabaño, R., Villamide, M., Garcia, J., Nicodemus, N., Llorente, A., Chamorro, S., &amp; Blas, J. D. (2009). New concepts and objectives for protein-amino acid nutrition in rabbits: A review. </w:t>
      </w:r>
      <w:r w:rsidRPr="00382DF1">
        <w:rPr>
          <w:i/>
          <w:iCs/>
          <w:lang w:val="en-US"/>
        </w:rPr>
        <w:t>World Rabbit Science</w:t>
      </w:r>
      <w:r w:rsidRPr="00382DF1">
        <w:rPr>
          <w:lang w:val="en-US"/>
        </w:rPr>
        <w:t xml:space="preserve">, </w:t>
      </w:r>
      <w:r w:rsidRPr="00382DF1">
        <w:rPr>
          <w:i/>
          <w:iCs/>
          <w:lang w:val="en-US"/>
        </w:rPr>
        <w:t>17</w:t>
      </w:r>
      <w:r w:rsidRPr="00382DF1">
        <w:rPr>
          <w:lang w:val="en-US"/>
        </w:rPr>
        <w:t>, 1–14.</w:t>
      </w:r>
    </w:p>
    <w:p w14:paraId="4EDEDF51" w14:textId="77777777" w:rsidR="0079315E" w:rsidRPr="00382DF1" w:rsidRDefault="0079315E" w:rsidP="0079315E">
      <w:pPr>
        <w:jc w:val="both"/>
        <w:rPr>
          <w:lang w:val="en-US"/>
        </w:rPr>
      </w:pPr>
      <w:r w:rsidRPr="00382DF1">
        <w:rPr>
          <w:lang w:val="en-US"/>
        </w:rPr>
        <w:t xml:space="preserve">Chamorro, S., Blas, C. de, Grant, G., Badiola, I., Menoyo, D., &amp; Carabaño, R. (2010). Effect of dietary supplementation with glutamine and a combination of glutamine-arginine on intestinal health in twenty-five-day-old weaned rabbits. </w:t>
      </w:r>
      <w:r w:rsidRPr="00382DF1">
        <w:rPr>
          <w:i/>
          <w:iCs/>
          <w:lang w:val="en-US"/>
        </w:rPr>
        <w:t>Journal of Animal Science</w:t>
      </w:r>
      <w:r w:rsidRPr="00382DF1">
        <w:rPr>
          <w:lang w:val="en-US"/>
        </w:rPr>
        <w:t xml:space="preserve">, </w:t>
      </w:r>
      <w:r w:rsidRPr="00382DF1">
        <w:rPr>
          <w:i/>
          <w:iCs/>
          <w:lang w:val="en-US"/>
        </w:rPr>
        <w:t>88</w:t>
      </w:r>
      <w:r w:rsidRPr="00382DF1">
        <w:rPr>
          <w:lang w:val="en-US"/>
        </w:rPr>
        <w:t>, 170–180.</w:t>
      </w:r>
    </w:p>
    <w:p w14:paraId="572A153E" w14:textId="77777777" w:rsidR="0079315E" w:rsidRPr="00382DF1" w:rsidRDefault="0079315E" w:rsidP="0079315E">
      <w:pPr>
        <w:jc w:val="both"/>
        <w:rPr>
          <w:lang w:val="en-US"/>
        </w:rPr>
      </w:pPr>
      <w:r w:rsidRPr="00382DF1">
        <w:rPr>
          <w:lang w:val="en-US"/>
        </w:rPr>
        <w:t xml:space="preserve">Chamorro, S., Gomez-Conde, M., Rozas, A. P., Carabaño, R., &amp; Blas, J. D. (2007). Effect on digestion and performance of dietary protein content and of increased substitution of lucerne hay with soya-bean protein concentrate in starter diets for young rabbits. </w:t>
      </w:r>
      <w:r w:rsidRPr="00382DF1">
        <w:rPr>
          <w:i/>
          <w:iCs/>
          <w:lang w:val="en-US"/>
        </w:rPr>
        <w:t>Animal</w:t>
      </w:r>
      <w:r w:rsidRPr="00382DF1">
        <w:rPr>
          <w:lang w:val="en-US"/>
        </w:rPr>
        <w:t xml:space="preserve">, </w:t>
      </w:r>
      <w:r w:rsidRPr="00382DF1">
        <w:rPr>
          <w:i/>
          <w:iCs/>
          <w:lang w:val="en-US"/>
        </w:rPr>
        <w:t>1</w:t>
      </w:r>
      <w:r w:rsidRPr="00382DF1">
        <w:rPr>
          <w:lang w:val="en-US"/>
        </w:rPr>
        <w:t>, 651–659.</w:t>
      </w:r>
    </w:p>
    <w:p w14:paraId="047DDE2B" w14:textId="77777777" w:rsidR="0079315E" w:rsidRPr="00382DF1" w:rsidRDefault="0079315E" w:rsidP="0079315E">
      <w:pPr>
        <w:jc w:val="both"/>
        <w:rPr>
          <w:lang w:val="en-US"/>
        </w:rPr>
      </w:pPr>
      <w:r w:rsidRPr="00382DF1">
        <w:rPr>
          <w:lang w:val="en-US"/>
        </w:rPr>
        <w:lastRenderedPageBreak/>
        <w:t xml:space="preserve">Charles River. (2010). </w:t>
      </w:r>
      <w:r w:rsidRPr="00382DF1">
        <w:rPr>
          <w:i/>
          <w:iCs/>
          <w:lang w:val="en-US"/>
        </w:rPr>
        <w:t>Handbook of clinical signs in rodents</w:t>
      </w:r>
      <w:r w:rsidRPr="00382DF1">
        <w:rPr>
          <w:lang w:val="en-US"/>
        </w:rPr>
        <w:t xml:space="preserve"> (2nd ed.).</w:t>
      </w:r>
    </w:p>
    <w:p w14:paraId="6BC0C7A6" w14:textId="77777777" w:rsidR="0079315E" w:rsidRPr="00382DF1" w:rsidRDefault="0079315E" w:rsidP="0079315E">
      <w:pPr>
        <w:jc w:val="both"/>
        <w:rPr>
          <w:lang w:val="fr-FR"/>
        </w:rPr>
      </w:pPr>
      <w:r w:rsidRPr="00382DF1">
        <w:rPr>
          <w:lang w:val="fr-FR"/>
        </w:rPr>
        <w:t xml:space="preserve">Chevance, A., &amp; Moulin, G. (2012). </w:t>
      </w:r>
      <w:r w:rsidRPr="00382DF1">
        <w:rPr>
          <w:i/>
          <w:iCs/>
          <w:lang w:val="fr-FR"/>
        </w:rPr>
        <w:t>Suivi des ventes de médicaments vétérinaires contenant des antibiotiques en France en 2011</w:t>
      </w:r>
      <w:r w:rsidRPr="00382DF1">
        <w:rPr>
          <w:lang w:val="fr-FR"/>
        </w:rPr>
        <w:t>. Ministère de l'Agriculture de l'Alimentation de la Pêche et des Affaires Rurales.</w:t>
      </w:r>
    </w:p>
    <w:p w14:paraId="5DB815B4" w14:textId="77777777" w:rsidR="0079315E" w:rsidRPr="00382DF1" w:rsidRDefault="0079315E" w:rsidP="0079315E">
      <w:pPr>
        <w:jc w:val="both"/>
        <w:rPr>
          <w:lang w:val="en-US"/>
        </w:rPr>
      </w:pPr>
      <w:r w:rsidRPr="00382DF1">
        <w:rPr>
          <w:lang w:val="en-US"/>
        </w:rPr>
        <w:t xml:space="preserve">Clarke, G., Stilling, R. M., Kennedy, P. J., Stanton, C., Cryan, J. F., &amp; Dinan, T. G. (2014). Minireview: Gut microbiota: The neglected endocrine organ. </w:t>
      </w:r>
      <w:r w:rsidRPr="00382DF1">
        <w:rPr>
          <w:i/>
          <w:iCs/>
          <w:lang w:val="en-US"/>
        </w:rPr>
        <w:t>Molecular Endocrinology</w:t>
      </w:r>
      <w:r w:rsidRPr="00382DF1">
        <w:rPr>
          <w:lang w:val="en-US"/>
        </w:rPr>
        <w:t xml:space="preserve">, </w:t>
      </w:r>
      <w:r w:rsidRPr="00382DF1">
        <w:rPr>
          <w:i/>
          <w:iCs/>
          <w:lang w:val="en-US"/>
        </w:rPr>
        <w:t>28</w:t>
      </w:r>
      <w:r w:rsidRPr="00382DF1">
        <w:rPr>
          <w:lang w:val="en-US"/>
        </w:rPr>
        <w:t>(8), 1221–1238.</w:t>
      </w:r>
    </w:p>
    <w:p w14:paraId="7A257187" w14:textId="77777777" w:rsidR="0079315E" w:rsidRPr="00382DF1" w:rsidRDefault="0079315E" w:rsidP="0079315E">
      <w:pPr>
        <w:jc w:val="both"/>
        <w:rPr>
          <w:lang w:val="en-US"/>
        </w:rPr>
      </w:pPr>
      <w:r w:rsidRPr="00382DF1">
        <w:rPr>
          <w:lang w:val="en-US"/>
        </w:rPr>
        <w:t xml:space="preserve">Cochetière, M. F., Durand, T. L., Bourreille, A., Galmiche, J. P., &amp; Doré, J. (2005). Resilience of the dominant human fecal microbiota upon short-course antibiotic challenge. </w:t>
      </w:r>
      <w:r w:rsidRPr="00382DF1">
        <w:rPr>
          <w:i/>
          <w:iCs/>
          <w:lang w:val="en-US"/>
        </w:rPr>
        <w:t>Journal of Clinical Microbiology</w:t>
      </w:r>
      <w:r w:rsidRPr="00382DF1">
        <w:rPr>
          <w:lang w:val="en-US"/>
        </w:rPr>
        <w:t xml:space="preserve">, </w:t>
      </w:r>
      <w:r w:rsidRPr="00382DF1">
        <w:rPr>
          <w:i/>
          <w:iCs/>
          <w:lang w:val="en-US"/>
        </w:rPr>
        <w:t>43</w:t>
      </w:r>
      <w:r w:rsidRPr="00382DF1">
        <w:rPr>
          <w:lang w:val="en-US"/>
        </w:rPr>
        <w:t>, 5588–5592.</w:t>
      </w:r>
    </w:p>
    <w:p w14:paraId="098151C4" w14:textId="77777777" w:rsidR="0079315E" w:rsidRPr="00382DF1" w:rsidRDefault="0079315E" w:rsidP="0079315E">
      <w:pPr>
        <w:jc w:val="both"/>
        <w:rPr>
          <w:lang w:val="en-US"/>
        </w:rPr>
      </w:pPr>
      <w:r w:rsidRPr="00382DF1">
        <w:rPr>
          <w:lang w:val="en-US"/>
        </w:rPr>
        <w:t xml:space="preserve">Combes, S., Fortun-Lamothe, L., Cauquil, L., &amp; Gidenne, T. (2013). Engineering the rabbit digestive ecosystem to improve digestive health and efficacy. </w:t>
      </w:r>
      <w:r w:rsidRPr="00382DF1">
        <w:rPr>
          <w:i/>
          <w:iCs/>
          <w:lang w:val="en-US"/>
        </w:rPr>
        <w:t>Animal</w:t>
      </w:r>
      <w:r w:rsidRPr="00382DF1">
        <w:rPr>
          <w:lang w:val="en-US"/>
        </w:rPr>
        <w:t xml:space="preserve">, </w:t>
      </w:r>
      <w:r w:rsidRPr="00382DF1">
        <w:rPr>
          <w:i/>
          <w:iCs/>
          <w:lang w:val="en-US"/>
        </w:rPr>
        <w:t>7</w:t>
      </w:r>
      <w:r w:rsidRPr="00382DF1">
        <w:rPr>
          <w:lang w:val="en-US"/>
        </w:rPr>
        <w:t>(9), 1429–1439.</w:t>
      </w:r>
    </w:p>
    <w:p w14:paraId="412A7A49" w14:textId="77777777" w:rsidR="0079315E" w:rsidRPr="00382DF1" w:rsidRDefault="0079315E" w:rsidP="0079315E">
      <w:pPr>
        <w:jc w:val="both"/>
        <w:rPr>
          <w:lang w:val="en-US"/>
        </w:rPr>
      </w:pPr>
      <w:r w:rsidRPr="00382DF1">
        <w:rPr>
          <w:lang w:val="en-US"/>
        </w:rPr>
        <w:t xml:space="preserve">Delibes-Mateos, M., Rödel, H. G., Rouco, C., Alves, P. C., Carneiro, M., &amp; Villafuerte, R. (2023). European rabbit </w:t>
      </w:r>
      <w:r w:rsidRPr="00382DF1">
        <w:rPr>
          <w:i/>
          <w:iCs/>
          <w:lang w:val="en-US"/>
        </w:rPr>
        <w:t>Oryctolagus cuniculus</w:t>
      </w:r>
      <w:r w:rsidRPr="00382DF1">
        <w:rPr>
          <w:lang w:val="en-US"/>
        </w:rPr>
        <w:t xml:space="preserve"> (Linnaeus, 1758). In K. Hackländer &amp; P. C. Alves (Eds.), </w:t>
      </w:r>
      <w:r w:rsidRPr="00382DF1">
        <w:rPr>
          <w:i/>
          <w:iCs/>
          <w:lang w:val="en-US"/>
        </w:rPr>
        <w:t>Handbook of the mammals of Europe: Primates and Lagomorpha</w:t>
      </w:r>
      <w:r w:rsidRPr="00382DF1">
        <w:rPr>
          <w:lang w:val="en-US"/>
        </w:rPr>
        <w:t>. Springer.</w:t>
      </w:r>
    </w:p>
    <w:p w14:paraId="15A21132" w14:textId="77777777" w:rsidR="0079315E" w:rsidRPr="00382DF1" w:rsidRDefault="0079315E" w:rsidP="0079315E">
      <w:pPr>
        <w:jc w:val="both"/>
        <w:rPr>
          <w:lang w:val="en-US"/>
        </w:rPr>
      </w:pPr>
      <w:r w:rsidRPr="00382DF1">
        <w:rPr>
          <w:lang w:val="en-US"/>
        </w:rPr>
        <w:t xml:space="preserve">Ericsson, A. C., &amp; Franklin, C. L. (2015a). Manipulating the gut microbiota: Methods and challenges. </w:t>
      </w:r>
      <w:r w:rsidRPr="00382DF1">
        <w:rPr>
          <w:i/>
          <w:iCs/>
          <w:lang w:val="en-US"/>
        </w:rPr>
        <w:t>ILAR Journal</w:t>
      </w:r>
      <w:r w:rsidRPr="00382DF1">
        <w:rPr>
          <w:lang w:val="en-US"/>
        </w:rPr>
        <w:t xml:space="preserve">, </w:t>
      </w:r>
      <w:r w:rsidRPr="00382DF1">
        <w:rPr>
          <w:i/>
          <w:iCs/>
          <w:lang w:val="en-US"/>
        </w:rPr>
        <w:t>56</w:t>
      </w:r>
      <w:r w:rsidRPr="00382DF1">
        <w:rPr>
          <w:lang w:val="en-US"/>
        </w:rPr>
        <w:t>, 205–217.</w:t>
      </w:r>
    </w:p>
    <w:p w14:paraId="057A7A5E" w14:textId="77777777" w:rsidR="0079315E" w:rsidRPr="00382DF1" w:rsidRDefault="0079315E" w:rsidP="0079315E">
      <w:pPr>
        <w:jc w:val="both"/>
        <w:rPr>
          <w:lang w:val="en-US"/>
        </w:rPr>
      </w:pPr>
      <w:r w:rsidRPr="00382DF1">
        <w:rPr>
          <w:lang w:val="en-US"/>
        </w:rPr>
        <w:t xml:space="preserve">Ericsson, A. C., Davis, J. W., Spollen, W., Bivens, N., Givan, S., Hagan, C. E., &amp; Franklin, C. L. (2015b). Effects of vendor and genetic background on the composition of the fecal microbiota of inbred mice. </w:t>
      </w:r>
      <w:r w:rsidRPr="00382DF1">
        <w:rPr>
          <w:i/>
          <w:iCs/>
          <w:lang w:val="en-US"/>
        </w:rPr>
        <w:t>PLoS ONE</w:t>
      </w:r>
      <w:r w:rsidRPr="00382DF1">
        <w:rPr>
          <w:lang w:val="en-US"/>
        </w:rPr>
        <w:t xml:space="preserve">, </w:t>
      </w:r>
      <w:r w:rsidRPr="00382DF1">
        <w:rPr>
          <w:i/>
          <w:iCs/>
          <w:lang w:val="en-US"/>
        </w:rPr>
        <w:t>10</w:t>
      </w:r>
      <w:r w:rsidRPr="00382DF1">
        <w:rPr>
          <w:lang w:val="en-US"/>
        </w:rPr>
        <w:t>, e0116704.</w:t>
      </w:r>
    </w:p>
    <w:p w14:paraId="46B51B66" w14:textId="77777777" w:rsidR="0079315E" w:rsidRPr="00382DF1" w:rsidRDefault="0079315E" w:rsidP="0079315E">
      <w:pPr>
        <w:jc w:val="both"/>
        <w:rPr>
          <w:lang w:val="en-US"/>
        </w:rPr>
      </w:pPr>
      <w:r w:rsidRPr="00382DF1">
        <w:rPr>
          <w:lang w:val="en-US"/>
        </w:rPr>
        <w:t xml:space="preserve">Esteves, P. J., Abrantes, J., Baldauf, H.-M., BenMohamed, L., Chen, Y., Christensen, N., &amp; Lanning, D. K. (2018). The wide utility of rabbits as models of human diseases. </w:t>
      </w:r>
      <w:r w:rsidRPr="00382DF1">
        <w:rPr>
          <w:i/>
          <w:iCs/>
          <w:lang w:val="en-US"/>
        </w:rPr>
        <w:t>Experimental &amp; Molecular Medicine</w:t>
      </w:r>
      <w:r w:rsidRPr="00382DF1">
        <w:rPr>
          <w:lang w:val="en-US"/>
        </w:rPr>
        <w:t xml:space="preserve">, </w:t>
      </w:r>
      <w:r w:rsidRPr="00382DF1">
        <w:rPr>
          <w:i/>
          <w:iCs/>
          <w:lang w:val="en-US"/>
        </w:rPr>
        <w:t>50</w:t>
      </w:r>
      <w:r w:rsidRPr="00382DF1">
        <w:rPr>
          <w:lang w:val="en-US"/>
        </w:rPr>
        <w:t>(5), 66.</w:t>
      </w:r>
    </w:p>
    <w:p w14:paraId="2CE8FB30" w14:textId="77777777" w:rsidR="0079315E" w:rsidRPr="00382DF1" w:rsidRDefault="0079315E" w:rsidP="0079315E">
      <w:pPr>
        <w:jc w:val="both"/>
        <w:rPr>
          <w:lang w:val="en-US"/>
        </w:rPr>
      </w:pPr>
      <w:r w:rsidRPr="00382DF1">
        <w:rPr>
          <w:lang w:val="en-US"/>
        </w:rPr>
        <w:t xml:space="preserve">F. W. Rogers Brambell. (1944). The reproduction of the wild rabbit </w:t>
      </w:r>
      <w:r w:rsidRPr="00382DF1">
        <w:rPr>
          <w:i/>
          <w:iCs/>
          <w:lang w:val="en-US"/>
        </w:rPr>
        <w:t>Oryctolagus cuniculus</w:t>
      </w:r>
      <w:r w:rsidRPr="00382DF1">
        <w:rPr>
          <w:lang w:val="en-US"/>
        </w:rPr>
        <w:t xml:space="preserve"> (L.). </w:t>
      </w:r>
      <w:r w:rsidRPr="00382DF1">
        <w:rPr>
          <w:i/>
          <w:iCs/>
          <w:lang w:val="en-US"/>
        </w:rPr>
        <w:t>Proceedings of the Zoological Society of London</w:t>
      </w:r>
      <w:r w:rsidRPr="00382DF1">
        <w:rPr>
          <w:lang w:val="en-US"/>
        </w:rPr>
        <w:t xml:space="preserve">, </w:t>
      </w:r>
      <w:r w:rsidRPr="00382DF1">
        <w:rPr>
          <w:i/>
          <w:iCs/>
          <w:lang w:val="en-US"/>
        </w:rPr>
        <w:t>114</w:t>
      </w:r>
      <w:r w:rsidRPr="00382DF1">
        <w:rPr>
          <w:lang w:val="en-US"/>
        </w:rPr>
        <w:t>(1–2), 1–45.</w:t>
      </w:r>
    </w:p>
    <w:p w14:paraId="00F91FD5" w14:textId="77777777" w:rsidR="0079315E" w:rsidRPr="00382DF1" w:rsidRDefault="0079315E" w:rsidP="0079315E">
      <w:pPr>
        <w:jc w:val="both"/>
        <w:rPr>
          <w:lang w:val="fr-FR"/>
        </w:rPr>
      </w:pPr>
      <w:r w:rsidRPr="00382DF1">
        <w:rPr>
          <w:lang w:val="en-US"/>
        </w:rPr>
        <w:t xml:space="preserve">Falcao-e-Cunha, L., Castro-Solla, L., Maertens, L., Marounek, M., Pinheiro, V., Freire, J., &amp; Mourao, J. (2007). Alternatives to antibiotic growth promoters in rabbit feeding: A review. </w:t>
      </w:r>
      <w:r w:rsidRPr="00382DF1">
        <w:rPr>
          <w:i/>
          <w:iCs/>
          <w:lang w:val="fr-FR"/>
        </w:rPr>
        <w:t>World Rabbit Science</w:t>
      </w:r>
      <w:r w:rsidRPr="00382DF1">
        <w:rPr>
          <w:lang w:val="fr-FR"/>
        </w:rPr>
        <w:t xml:space="preserve">, </w:t>
      </w:r>
      <w:r w:rsidRPr="00382DF1">
        <w:rPr>
          <w:i/>
          <w:iCs/>
          <w:lang w:val="fr-FR"/>
        </w:rPr>
        <w:t>15</w:t>
      </w:r>
      <w:r w:rsidRPr="00382DF1">
        <w:rPr>
          <w:lang w:val="fr-FR"/>
        </w:rPr>
        <w:t>, 127–140.</w:t>
      </w:r>
    </w:p>
    <w:p w14:paraId="7046D51D" w14:textId="77777777" w:rsidR="0079315E" w:rsidRPr="0079315E" w:rsidRDefault="0079315E" w:rsidP="0079315E">
      <w:pPr>
        <w:jc w:val="both"/>
      </w:pPr>
      <w:r w:rsidRPr="00382DF1">
        <w:rPr>
          <w:lang w:val="fr-FR"/>
        </w:rPr>
        <w:t xml:space="preserve">Fonty, J.-F., Chaucheyras-Durand, P., &amp; Larpent, J.-P. (2007). </w:t>
      </w:r>
      <w:r w:rsidRPr="00382DF1">
        <w:rPr>
          <w:i/>
          <w:iCs/>
          <w:lang w:val="fr-FR"/>
        </w:rPr>
        <w:t>Les écosystèmes digestifs</w:t>
      </w:r>
      <w:r w:rsidRPr="00382DF1">
        <w:rPr>
          <w:lang w:val="fr-FR"/>
        </w:rPr>
        <w:t xml:space="preserve">. </w:t>
      </w:r>
      <w:r w:rsidRPr="0079315E">
        <w:t>Tec &amp; Doc.</w:t>
      </w:r>
    </w:p>
    <w:p w14:paraId="151A18FA" w14:textId="77777777" w:rsidR="007A2D0C" w:rsidRDefault="007A2D0C" w:rsidP="0079315E">
      <w:pPr>
        <w:jc w:val="both"/>
      </w:pPr>
    </w:p>
    <w:p w14:paraId="2AB9DB2E" w14:textId="77777777" w:rsidR="007A2D0C" w:rsidRDefault="007A2D0C" w:rsidP="0079315E">
      <w:pPr>
        <w:jc w:val="both"/>
      </w:pPr>
    </w:p>
    <w:p w14:paraId="0660346F" w14:textId="77777777" w:rsidR="007A2D0C" w:rsidRDefault="007A2D0C" w:rsidP="0079315E">
      <w:pPr>
        <w:jc w:val="both"/>
      </w:pPr>
    </w:p>
    <w:p w14:paraId="23D139F9" w14:textId="77777777" w:rsidR="007A2D0C" w:rsidRDefault="007A2D0C" w:rsidP="0079315E">
      <w:pPr>
        <w:jc w:val="both"/>
      </w:pPr>
    </w:p>
    <w:p w14:paraId="0A220CB8" w14:textId="77777777" w:rsidR="007A2D0C" w:rsidRDefault="007A2D0C" w:rsidP="0079315E">
      <w:pPr>
        <w:jc w:val="both"/>
      </w:pPr>
    </w:p>
    <w:p w14:paraId="7E7C780B" w14:textId="77777777" w:rsidR="007A2D0C" w:rsidRDefault="007A2D0C" w:rsidP="0079315E">
      <w:pPr>
        <w:jc w:val="both"/>
      </w:pPr>
    </w:p>
    <w:p w14:paraId="686AB637" w14:textId="574EA0D2" w:rsidR="0079315E" w:rsidRPr="0079315E" w:rsidRDefault="0079315E" w:rsidP="0079315E">
      <w:pPr>
        <w:jc w:val="both"/>
      </w:pPr>
      <w:r w:rsidRPr="0079315E">
        <w:br/>
      </w:r>
    </w:p>
    <w:p w14:paraId="60DD4AF3" w14:textId="77777777" w:rsidR="0079315E" w:rsidRPr="0079315E" w:rsidRDefault="0079315E" w:rsidP="0079315E">
      <w:pPr>
        <w:jc w:val="both"/>
      </w:pPr>
      <w:r w:rsidRPr="0079315E">
        <w:rPr>
          <w:b/>
          <w:bCs/>
        </w:rPr>
        <w:lastRenderedPageBreak/>
        <w:t>Επίδραση του Φύλου των Ζώων Εργαστηρίου στην Έκβαση του Πειράματος</w:t>
      </w:r>
    </w:p>
    <w:p w14:paraId="2491267E" w14:textId="77777777" w:rsidR="0079315E" w:rsidRPr="0079315E" w:rsidRDefault="0079315E" w:rsidP="0079315E">
      <w:pPr>
        <w:jc w:val="both"/>
      </w:pPr>
      <w:r w:rsidRPr="0079315E">
        <w:t>Μαμώλος Παναγιώτης</w:t>
      </w:r>
      <w:r w:rsidRPr="0079315E">
        <w:rPr>
          <w:vertAlign w:val="superscript"/>
        </w:rPr>
        <w:t>1</w:t>
      </w:r>
      <w:r w:rsidRPr="0079315E">
        <w:t>, Τσεκούρας Χρήστος</w:t>
      </w:r>
      <w:r w:rsidRPr="0079315E">
        <w:rPr>
          <w:vertAlign w:val="superscript"/>
        </w:rPr>
        <w:t>1</w:t>
      </w:r>
      <w:r w:rsidRPr="0079315E">
        <w:t>, Μαργαρίτης Ιωάννης</w:t>
      </w:r>
      <w:r w:rsidRPr="0079315E">
        <w:rPr>
          <w:vertAlign w:val="superscript"/>
        </w:rPr>
        <w:t>2</w:t>
      </w:r>
    </w:p>
    <w:p w14:paraId="6F7E7DEC" w14:textId="77777777" w:rsidR="0079315E" w:rsidRPr="0079315E" w:rsidRDefault="0079315E" w:rsidP="0079315E">
      <w:pPr>
        <w:numPr>
          <w:ilvl w:val="0"/>
          <w:numId w:val="22"/>
        </w:numPr>
        <w:jc w:val="both"/>
      </w:pPr>
      <w:r w:rsidRPr="0079315E">
        <w:t>Προπτυχιακός Φοιτητής, Τμήμα Κτηνιατρικής, Σχολή Επιστημών Υγείας, Αριστοτέλειο Πανεπιστήμιο Θεσσαλονίκης</w:t>
      </w:r>
    </w:p>
    <w:p w14:paraId="62B1B1E1" w14:textId="77777777" w:rsidR="0079315E" w:rsidRPr="0079315E" w:rsidRDefault="0079315E" w:rsidP="0079315E">
      <w:pPr>
        <w:numPr>
          <w:ilvl w:val="0"/>
          <w:numId w:val="22"/>
        </w:numPr>
        <w:jc w:val="both"/>
      </w:pPr>
      <w:r w:rsidRPr="0079315E">
        <w:t>Λέκτορας, Εργαστήριο Φυσιολογίας,  Τομέας Δομής και Λειτουργίας Ζωικών Οργανισμών, Τμήμα Κτηνιατρικής, Σχολή Επιστημών Υγείας, Αριστοτέλειο Πανεπιστήμιο Θεσσαλονίκης</w:t>
      </w:r>
    </w:p>
    <w:p w14:paraId="5601FB59" w14:textId="77777777" w:rsidR="0079315E" w:rsidRPr="0079315E" w:rsidRDefault="0079315E" w:rsidP="0079315E">
      <w:pPr>
        <w:jc w:val="both"/>
      </w:pPr>
    </w:p>
    <w:p w14:paraId="251473C7" w14:textId="77777777" w:rsidR="0079315E" w:rsidRPr="0079315E" w:rsidRDefault="0079315E" w:rsidP="0079315E">
      <w:pPr>
        <w:jc w:val="both"/>
      </w:pPr>
      <w:r w:rsidRPr="0079315E">
        <w:rPr>
          <w:b/>
          <w:bCs/>
        </w:rPr>
        <w:t>Περίληψη</w:t>
      </w:r>
    </w:p>
    <w:p w14:paraId="1CAA6918" w14:textId="77777777" w:rsidR="0079315E" w:rsidRPr="0079315E" w:rsidRDefault="0079315E" w:rsidP="0079315E">
      <w:pPr>
        <w:jc w:val="both"/>
      </w:pPr>
      <w:r w:rsidRPr="0079315E">
        <w:t>Το φύλο των ζωικών προτύπων αποτελεί καθοριστικό βιολογικό παράγοντα που επηρεάζει σημαντικά την έκβαση των προκλινικών μελετών και την αξιοπιστία των αποτελεσμάτων. Η παρούσα εργασία αναδεικνύει τις πολυπαραγοντικές επιδράσεις του φύλου στη φυσιολογία, στη φαρμακοκινητική και φαρμακοδυναμικη απόκριση, στην παθοφυσιολογία νοσημάτων και στη συμπεριφορική έκφραση των πειραματόζωων. Οι ορμονικές διαφορές μεταξύ αρσενικών και θηλυκών οργανισμών ρυθμίζουν κρίσιμες λειτουργίες όπως ο μεταβολισμός, η ανοσολογική απόκριση και η νευροβιολογική δραστηριότητα, οδηγώντας σε διαφοροποιημένα πειραματικά αποτελέσματα. Παράλληλα, το φύλο επηρεάζει τη βιοδιαθεσιμότητα και τις φαρμακολογικές ιδιότητες ορισμένων δραστικών ουσιών μέσω διαφορών στην ηπατική ενζυμική δραστηριότητα, με αποτέλεσμα μεταβλητή αποτελεσματικότητα ή τοξικότητα φαρμάκων μεταξύ των φύλων. Επιπλέον, καταγράφονται σαφείς διαφορές στην εμφάνιση και εξέλιξη νοσημάτων, όπως μεταβολικές, καρδιαγγειακές και αυτοάνοσες παθήσεις, ενώ και οι συμπεριφορικές και νευροφυσιολογικές αποκρίσεις παρουσιάζουν έντονη εξάρτηση από το φύλο και το ορμονικό υπόβαθρο. Τα ευρήματα από τη βιβλιογραφία υποδεικνύουν ότι η μονομερής χρήση αρσενικών ζώων σε προκλινικές μελέτες μπορεί να οδηγήσει σε μεροληπτικά ή μη γενικεύσιμα αποτελέσματα. To προτεινόμενο πλαίσιο Sex Inclusive Research Framework (SIRF) ενισχύει την ενσωμάτωση και των δύο φύλων στον πειραματικό σχεδιασμό, βελτιώνοντας την αναπαραγωγιμότητα της έρευνας. Συνολικά, η συμπερίληψη του φύλου ως ανεξάρτητης βιολογικής μεταβλητής αποτελεί απαραίτητη προϋπόθεση για αξιόπιστα και κλινικά εφαρμόσιμα επιστημονικά συμπεράσματα.</w:t>
      </w:r>
    </w:p>
    <w:p w14:paraId="508E825A" w14:textId="77777777" w:rsidR="0079315E" w:rsidRPr="0079315E" w:rsidRDefault="0079315E" w:rsidP="0079315E">
      <w:pPr>
        <w:jc w:val="both"/>
      </w:pPr>
    </w:p>
    <w:p w14:paraId="062B9F39" w14:textId="77777777" w:rsidR="0079315E" w:rsidRPr="0079315E" w:rsidRDefault="0079315E" w:rsidP="0079315E">
      <w:pPr>
        <w:jc w:val="both"/>
      </w:pPr>
      <w:r w:rsidRPr="0079315E">
        <w:rPr>
          <w:b/>
          <w:bCs/>
        </w:rPr>
        <w:t>Βιβλιογραφία</w:t>
      </w:r>
    </w:p>
    <w:p w14:paraId="52881018" w14:textId="77777777" w:rsidR="0079315E" w:rsidRPr="00382DF1" w:rsidRDefault="0079315E" w:rsidP="0079315E">
      <w:pPr>
        <w:jc w:val="both"/>
        <w:rPr>
          <w:lang w:val="en-US"/>
        </w:rPr>
      </w:pPr>
      <w:r w:rsidRPr="0079315E">
        <w:t xml:space="preserve">Adams, N., &amp; Boice, R. (1989). </w:t>
      </w:r>
      <w:r w:rsidRPr="00382DF1">
        <w:rPr>
          <w:lang w:val="en-US"/>
        </w:rPr>
        <w:t xml:space="preserve">Development of dominance in domestic rats in laboratory and seminatural environments. </w:t>
      </w:r>
      <w:r w:rsidRPr="00382DF1">
        <w:rPr>
          <w:i/>
          <w:iCs/>
          <w:lang w:val="en-US"/>
        </w:rPr>
        <w:t>Behavioural Processes</w:t>
      </w:r>
      <w:r w:rsidRPr="00382DF1">
        <w:rPr>
          <w:lang w:val="en-US"/>
        </w:rPr>
        <w:t xml:space="preserve">, </w:t>
      </w:r>
      <w:r w:rsidRPr="00382DF1">
        <w:rPr>
          <w:i/>
          <w:iCs/>
          <w:lang w:val="en-US"/>
        </w:rPr>
        <w:t>19</w:t>
      </w:r>
      <w:r w:rsidRPr="00382DF1">
        <w:rPr>
          <w:lang w:val="en-US"/>
        </w:rPr>
        <w:t>(1–3), 127–142.</w:t>
      </w:r>
    </w:p>
    <w:p w14:paraId="48DE4003" w14:textId="77777777" w:rsidR="0079315E" w:rsidRPr="00382DF1" w:rsidRDefault="0079315E" w:rsidP="0079315E">
      <w:pPr>
        <w:jc w:val="both"/>
        <w:rPr>
          <w:lang w:val="en-US"/>
        </w:rPr>
      </w:pPr>
      <w:r w:rsidRPr="00382DF1">
        <w:rPr>
          <w:lang w:val="en-US"/>
        </w:rPr>
        <w:t xml:space="preserve">Alsufyani, H. A., &amp; Docherty, J. R. (2017). Gender differences in the effects of cathinone and the interaction with caffeine on temperature and locomotor activity in the rat. </w:t>
      </w:r>
      <w:r w:rsidRPr="00382DF1">
        <w:rPr>
          <w:i/>
          <w:iCs/>
          <w:lang w:val="en-US"/>
        </w:rPr>
        <w:t>European Journal of Pharmacology</w:t>
      </w:r>
      <w:r w:rsidRPr="00382DF1">
        <w:rPr>
          <w:lang w:val="en-US"/>
        </w:rPr>
        <w:t xml:space="preserve">, </w:t>
      </w:r>
      <w:r w:rsidRPr="00382DF1">
        <w:rPr>
          <w:i/>
          <w:iCs/>
          <w:lang w:val="en-US"/>
        </w:rPr>
        <w:t>809</w:t>
      </w:r>
      <w:r w:rsidRPr="00382DF1">
        <w:rPr>
          <w:lang w:val="en-US"/>
        </w:rPr>
        <w:t>, 203–208.</w:t>
      </w:r>
    </w:p>
    <w:p w14:paraId="114A7E05" w14:textId="77777777" w:rsidR="0079315E" w:rsidRPr="00382DF1" w:rsidRDefault="0079315E" w:rsidP="0079315E">
      <w:pPr>
        <w:jc w:val="both"/>
        <w:rPr>
          <w:lang w:val="en-US"/>
        </w:rPr>
      </w:pPr>
      <w:r w:rsidRPr="00382DF1">
        <w:rPr>
          <w:lang w:val="en-US"/>
        </w:rPr>
        <w:t xml:space="preserve">Beatty, W. W. (1979). Gonadal hormones and sex differences in nonreproductive behaviors in rodents: Organizational and activational influences. </w:t>
      </w:r>
      <w:r w:rsidRPr="00382DF1">
        <w:rPr>
          <w:i/>
          <w:iCs/>
          <w:lang w:val="en-US"/>
        </w:rPr>
        <w:t>Hormones and Behavior</w:t>
      </w:r>
      <w:r w:rsidRPr="00382DF1">
        <w:rPr>
          <w:lang w:val="en-US"/>
        </w:rPr>
        <w:t xml:space="preserve">, </w:t>
      </w:r>
      <w:r w:rsidRPr="00382DF1">
        <w:rPr>
          <w:i/>
          <w:iCs/>
          <w:lang w:val="en-US"/>
        </w:rPr>
        <w:t>12</w:t>
      </w:r>
      <w:r w:rsidRPr="00382DF1">
        <w:rPr>
          <w:lang w:val="en-US"/>
        </w:rPr>
        <w:t>, 112–163.</w:t>
      </w:r>
    </w:p>
    <w:p w14:paraId="2987DE23" w14:textId="77777777" w:rsidR="007A2D0C" w:rsidRPr="00382DF1" w:rsidRDefault="0079315E" w:rsidP="0079315E">
      <w:pPr>
        <w:jc w:val="both"/>
        <w:rPr>
          <w:lang w:val="en-US"/>
        </w:rPr>
      </w:pPr>
      <w:r w:rsidRPr="00382DF1">
        <w:rPr>
          <w:lang w:val="en-US"/>
        </w:rPr>
        <w:t xml:space="preserve">Becker, J. B., Prendergast, B. J., &amp; Liang, J. W. (2016). Female rats are not more variable than male rats: A meta-analysis of neuroscience studies. </w:t>
      </w:r>
      <w:r w:rsidRPr="00382DF1">
        <w:rPr>
          <w:i/>
          <w:iCs/>
          <w:lang w:val="en-US"/>
        </w:rPr>
        <w:t>Biology of Sex Differences</w:t>
      </w:r>
      <w:r w:rsidRPr="00382DF1">
        <w:rPr>
          <w:lang w:val="en-US"/>
        </w:rPr>
        <w:t xml:space="preserve">, </w:t>
      </w:r>
      <w:r w:rsidRPr="00382DF1">
        <w:rPr>
          <w:i/>
          <w:iCs/>
          <w:lang w:val="en-US"/>
        </w:rPr>
        <w:t>7</w:t>
      </w:r>
      <w:r w:rsidRPr="00382DF1">
        <w:rPr>
          <w:lang w:val="en-US"/>
        </w:rPr>
        <w:t>, 34.</w:t>
      </w:r>
    </w:p>
    <w:p w14:paraId="063E9981" w14:textId="59263338" w:rsidR="0079315E" w:rsidRPr="00382DF1" w:rsidRDefault="0079315E" w:rsidP="0079315E">
      <w:pPr>
        <w:jc w:val="both"/>
        <w:rPr>
          <w:lang w:val="en-US"/>
        </w:rPr>
      </w:pPr>
      <w:r w:rsidRPr="00382DF1">
        <w:rPr>
          <w:lang w:val="en-US"/>
        </w:rPr>
        <w:lastRenderedPageBreak/>
        <w:t xml:space="preserve">Bonfiglio, F., Zheng, T., Garcia-Etxebarria, K., Hadizadeh, F., Bujanda, L., Bresso, F., &amp; D'Amato, M. (2018). Female-specific association between variants on chromosome 9 and self-reported diagnosis of irritable bowel syndrome. </w:t>
      </w:r>
      <w:r w:rsidRPr="00382DF1">
        <w:rPr>
          <w:i/>
          <w:iCs/>
          <w:lang w:val="en-US"/>
        </w:rPr>
        <w:t>Gastroenterology</w:t>
      </w:r>
      <w:r w:rsidRPr="00382DF1">
        <w:rPr>
          <w:lang w:val="en-US"/>
        </w:rPr>
        <w:t xml:space="preserve">, </w:t>
      </w:r>
      <w:r w:rsidRPr="00382DF1">
        <w:rPr>
          <w:i/>
          <w:iCs/>
          <w:lang w:val="en-US"/>
        </w:rPr>
        <w:t>155</w:t>
      </w:r>
      <w:r w:rsidRPr="00382DF1">
        <w:rPr>
          <w:lang w:val="en-US"/>
        </w:rPr>
        <w:t>, 168–179.</w:t>
      </w:r>
    </w:p>
    <w:p w14:paraId="2A93940D" w14:textId="77777777" w:rsidR="0079315E" w:rsidRPr="00382DF1" w:rsidRDefault="0079315E" w:rsidP="0079315E">
      <w:pPr>
        <w:jc w:val="both"/>
        <w:rPr>
          <w:lang w:val="en-US"/>
        </w:rPr>
      </w:pPr>
      <w:r w:rsidRPr="00382DF1">
        <w:rPr>
          <w:lang w:val="en-US"/>
        </w:rPr>
        <w:t xml:space="preserve">Bredy, T. W., &amp; Barad, M. (2008). Social modulation of associative fear learning by pheromone communication. </w:t>
      </w:r>
      <w:r w:rsidRPr="00382DF1">
        <w:rPr>
          <w:i/>
          <w:iCs/>
          <w:lang w:val="en-US"/>
        </w:rPr>
        <w:t>Learning &amp; Memory</w:t>
      </w:r>
      <w:r w:rsidRPr="00382DF1">
        <w:rPr>
          <w:lang w:val="en-US"/>
        </w:rPr>
        <w:t xml:space="preserve">, </w:t>
      </w:r>
      <w:r w:rsidRPr="00382DF1">
        <w:rPr>
          <w:i/>
          <w:iCs/>
          <w:lang w:val="en-US"/>
        </w:rPr>
        <w:t>16</w:t>
      </w:r>
      <w:r w:rsidRPr="00382DF1">
        <w:rPr>
          <w:lang w:val="en-US"/>
        </w:rPr>
        <w:t>, 12–18.</w:t>
      </w:r>
    </w:p>
    <w:p w14:paraId="7AA3744F" w14:textId="77777777" w:rsidR="0079315E" w:rsidRPr="00382DF1" w:rsidRDefault="0079315E" w:rsidP="0079315E">
      <w:pPr>
        <w:jc w:val="both"/>
        <w:rPr>
          <w:lang w:val="en-US"/>
        </w:rPr>
      </w:pPr>
      <w:r w:rsidRPr="00382DF1">
        <w:rPr>
          <w:lang w:val="en-US"/>
        </w:rPr>
        <w:t xml:space="preserve">Czerniak, R. (2001). Gender-based differences in pharmacokinetics in laboratory animal models. </w:t>
      </w:r>
      <w:r w:rsidRPr="00382DF1">
        <w:rPr>
          <w:i/>
          <w:iCs/>
          <w:lang w:val="en-US"/>
        </w:rPr>
        <w:t>International Journal of Toxicology</w:t>
      </w:r>
      <w:r w:rsidRPr="00382DF1">
        <w:rPr>
          <w:lang w:val="en-US"/>
        </w:rPr>
        <w:t xml:space="preserve">, </w:t>
      </w:r>
      <w:r w:rsidRPr="00382DF1">
        <w:rPr>
          <w:i/>
          <w:iCs/>
          <w:lang w:val="en-US"/>
        </w:rPr>
        <w:t>20</w:t>
      </w:r>
      <w:r w:rsidRPr="00382DF1">
        <w:rPr>
          <w:lang w:val="en-US"/>
        </w:rPr>
        <w:t>(3), 161–163.</w:t>
      </w:r>
    </w:p>
    <w:p w14:paraId="6BB206BD" w14:textId="77777777" w:rsidR="0079315E" w:rsidRPr="00382DF1" w:rsidRDefault="0079315E" w:rsidP="0079315E">
      <w:pPr>
        <w:jc w:val="both"/>
        <w:rPr>
          <w:lang w:val="en-US"/>
        </w:rPr>
      </w:pPr>
      <w:r w:rsidRPr="00382DF1">
        <w:rPr>
          <w:lang w:val="en-US"/>
        </w:rPr>
        <w:t xml:space="preserve">Dellinger, R. W., Garcia, A. M., &amp; Meyskens, F. L. (2014). Differences in the glucuronidation of resveratrol and pterostilbene: Altered enzyme specificity and potential gender differences. </w:t>
      </w:r>
      <w:r w:rsidRPr="00382DF1">
        <w:rPr>
          <w:i/>
          <w:iCs/>
          <w:lang w:val="en-US"/>
        </w:rPr>
        <w:t>Drug Metabolism and Pharmacokinetics</w:t>
      </w:r>
      <w:r w:rsidRPr="00382DF1">
        <w:rPr>
          <w:lang w:val="en-US"/>
        </w:rPr>
        <w:t xml:space="preserve">, </w:t>
      </w:r>
      <w:r w:rsidRPr="00382DF1">
        <w:rPr>
          <w:i/>
          <w:iCs/>
          <w:lang w:val="en-US"/>
        </w:rPr>
        <w:t>29</w:t>
      </w:r>
      <w:r w:rsidRPr="00382DF1">
        <w:rPr>
          <w:lang w:val="en-US"/>
        </w:rPr>
        <w:t>, 112–119.</w:t>
      </w:r>
    </w:p>
    <w:p w14:paraId="27B96D3C" w14:textId="77777777" w:rsidR="0079315E" w:rsidRPr="00382DF1" w:rsidRDefault="0079315E" w:rsidP="0079315E">
      <w:pPr>
        <w:jc w:val="both"/>
        <w:rPr>
          <w:lang w:val="en-US"/>
        </w:rPr>
      </w:pPr>
      <w:r w:rsidRPr="00382DF1">
        <w:rPr>
          <w:lang w:val="en-US"/>
        </w:rPr>
        <w:t xml:space="preserve">Docherty, J. R., Stanford, S. C., Panattieri, R. A., Alexander, S. P., Cirino, G., George, C. H., &amp; Ahluwalia, A. (2019). Sex: A change in our guidelines to authors to ensure that this is no longer an ignored experimental variable. </w:t>
      </w:r>
      <w:r w:rsidRPr="00382DF1">
        <w:rPr>
          <w:i/>
          <w:iCs/>
          <w:lang w:val="en-US"/>
        </w:rPr>
        <w:t>British Journal of Pharmacology</w:t>
      </w:r>
      <w:r w:rsidRPr="00382DF1">
        <w:rPr>
          <w:lang w:val="en-US"/>
        </w:rPr>
        <w:t xml:space="preserve">, </w:t>
      </w:r>
      <w:r w:rsidRPr="00382DF1">
        <w:rPr>
          <w:i/>
          <w:iCs/>
          <w:lang w:val="en-US"/>
        </w:rPr>
        <w:t>176</w:t>
      </w:r>
      <w:r w:rsidRPr="00382DF1">
        <w:rPr>
          <w:lang w:val="en-US"/>
        </w:rPr>
        <w:t>(21), 4081–4086.</w:t>
      </w:r>
    </w:p>
    <w:p w14:paraId="0FA051EB" w14:textId="77777777" w:rsidR="0079315E" w:rsidRPr="00382DF1" w:rsidRDefault="0079315E" w:rsidP="0079315E">
      <w:pPr>
        <w:jc w:val="both"/>
        <w:rPr>
          <w:lang w:val="en-US"/>
        </w:rPr>
      </w:pPr>
      <w:r w:rsidRPr="00382DF1">
        <w:rPr>
          <w:lang w:val="en-US"/>
        </w:rPr>
        <w:t xml:space="preserve">Eid, S. A., &amp; Feldman, E. L. (2021). Advances in diet-induced rodent models of metabolically acquired peripheral neuropathy. </w:t>
      </w:r>
      <w:r w:rsidRPr="00382DF1">
        <w:rPr>
          <w:i/>
          <w:iCs/>
          <w:lang w:val="en-US"/>
        </w:rPr>
        <w:t>Disease Models &amp; Mechanisms</w:t>
      </w:r>
      <w:r w:rsidRPr="00382DF1">
        <w:rPr>
          <w:lang w:val="en-US"/>
        </w:rPr>
        <w:t xml:space="preserve">, </w:t>
      </w:r>
      <w:r w:rsidRPr="00382DF1">
        <w:rPr>
          <w:i/>
          <w:iCs/>
          <w:lang w:val="en-US"/>
        </w:rPr>
        <w:t>14</w:t>
      </w:r>
      <w:r w:rsidRPr="00382DF1">
        <w:rPr>
          <w:lang w:val="en-US"/>
        </w:rPr>
        <w:t>(11).</w:t>
      </w:r>
    </w:p>
    <w:p w14:paraId="147363EA" w14:textId="77777777" w:rsidR="0079315E" w:rsidRPr="00382DF1" w:rsidRDefault="0079315E" w:rsidP="0079315E">
      <w:pPr>
        <w:jc w:val="both"/>
        <w:rPr>
          <w:lang w:val="en-US"/>
        </w:rPr>
      </w:pPr>
      <w:r w:rsidRPr="00382DF1">
        <w:rPr>
          <w:lang w:val="en-US"/>
        </w:rPr>
        <w:t xml:space="preserve">Gogos, A., Ney, L. J., Seymour, N., Van Rheenen, T. E., &amp; Felmingham, K. L. (2019). Sex differences in schizophrenia, bipolar disorder, and post-traumatic stress disorder: Are gonadal hormones the link? </w:t>
      </w:r>
      <w:r w:rsidRPr="00382DF1">
        <w:rPr>
          <w:i/>
          <w:iCs/>
          <w:lang w:val="en-US"/>
        </w:rPr>
        <w:t>British Journal of Pharmacology</w:t>
      </w:r>
      <w:r w:rsidRPr="00382DF1">
        <w:rPr>
          <w:lang w:val="en-US"/>
        </w:rPr>
        <w:t>.</w:t>
      </w:r>
    </w:p>
    <w:p w14:paraId="29CCBCAF" w14:textId="77777777" w:rsidR="0079315E" w:rsidRPr="00382DF1" w:rsidRDefault="0079315E" w:rsidP="0079315E">
      <w:pPr>
        <w:jc w:val="both"/>
        <w:rPr>
          <w:lang w:val="en-US"/>
        </w:rPr>
      </w:pPr>
      <w:r w:rsidRPr="00382DF1">
        <w:rPr>
          <w:lang w:val="en-US"/>
        </w:rPr>
        <w:t xml:space="preserve">Jones, C. E., &amp; Monfils, M.-H. (2016). Dominance status predicts social fear transmission in laboratory rats. </w:t>
      </w:r>
      <w:r w:rsidRPr="00382DF1">
        <w:rPr>
          <w:i/>
          <w:iCs/>
          <w:lang w:val="en-US"/>
        </w:rPr>
        <w:t>Animal Cognition</w:t>
      </w:r>
      <w:r w:rsidRPr="00382DF1">
        <w:rPr>
          <w:lang w:val="en-US"/>
        </w:rPr>
        <w:t xml:space="preserve">, </w:t>
      </w:r>
      <w:r w:rsidRPr="00382DF1">
        <w:rPr>
          <w:i/>
          <w:iCs/>
          <w:lang w:val="en-US"/>
        </w:rPr>
        <w:t>19</w:t>
      </w:r>
      <w:r w:rsidRPr="00382DF1">
        <w:rPr>
          <w:lang w:val="en-US"/>
        </w:rPr>
        <w:t>(6), 1051–1069.</w:t>
      </w:r>
    </w:p>
    <w:p w14:paraId="2E6F53A7" w14:textId="77777777" w:rsidR="0079315E" w:rsidRPr="00382DF1" w:rsidRDefault="0079315E" w:rsidP="0079315E">
      <w:pPr>
        <w:jc w:val="both"/>
        <w:rPr>
          <w:lang w:val="en-US"/>
        </w:rPr>
      </w:pPr>
      <w:r w:rsidRPr="00382DF1">
        <w:rPr>
          <w:lang w:val="en-US"/>
        </w:rPr>
        <w:t xml:space="preserve">Justice, M. J. (2024). Sex matters in preclinical research. </w:t>
      </w:r>
      <w:r w:rsidRPr="00382DF1">
        <w:rPr>
          <w:i/>
          <w:iCs/>
          <w:lang w:val="en-US"/>
        </w:rPr>
        <w:t>Disease Models &amp; Mechanisms</w:t>
      </w:r>
      <w:r w:rsidRPr="00382DF1">
        <w:rPr>
          <w:lang w:val="en-US"/>
        </w:rPr>
        <w:t xml:space="preserve">, </w:t>
      </w:r>
      <w:r w:rsidRPr="00382DF1">
        <w:rPr>
          <w:i/>
          <w:iCs/>
          <w:lang w:val="en-US"/>
        </w:rPr>
        <w:t>17</w:t>
      </w:r>
      <w:r w:rsidRPr="00382DF1">
        <w:rPr>
          <w:lang w:val="en-US"/>
        </w:rPr>
        <w:t>(3).</w:t>
      </w:r>
    </w:p>
    <w:p w14:paraId="7FE8EB7B" w14:textId="77777777" w:rsidR="0079315E" w:rsidRPr="00382DF1" w:rsidRDefault="0079315E" w:rsidP="0079315E">
      <w:pPr>
        <w:jc w:val="both"/>
        <w:rPr>
          <w:lang w:val="en-US"/>
        </w:rPr>
      </w:pPr>
      <w:r w:rsidRPr="00382DF1">
        <w:rPr>
          <w:lang w:val="en-US"/>
        </w:rPr>
        <w:t xml:space="preserve">Karlsson, S. A., Haziri, K., Hansson, E., Kettunen, P., &amp; Westberg, L. (2015). Effects of sex and gonadectomy on social investigation and social recognition in mice. </w:t>
      </w:r>
      <w:r w:rsidRPr="00382DF1">
        <w:rPr>
          <w:i/>
          <w:iCs/>
          <w:lang w:val="en-US"/>
        </w:rPr>
        <w:t>BMC Neuroscience</w:t>
      </w:r>
      <w:r w:rsidRPr="00382DF1">
        <w:rPr>
          <w:lang w:val="en-US"/>
        </w:rPr>
        <w:t xml:space="preserve">, </w:t>
      </w:r>
      <w:r w:rsidRPr="00382DF1">
        <w:rPr>
          <w:i/>
          <w:iCs/>
          <w:lang w:val="en-US"/>
        </w:rPr>
        <w:t>16</w:t>
      </w:r>
      <w:r w:rsidRPr="00382DF1">
        <w:rPr>
          <w:lang w:val="en-US"/>
        </w:rPr>
        <w:t>, 83.</w:t>
      </w:r>
    </w:p>
    <w:p w14:paraId="259EC845" w14:textId="77777777" w:rsidR="0079315E" w:rsidRPr="00382DF1" w:rsidRDefault="0079315E" w:rsidP="0079315E">
      <w:pPr>
        <w:jc w:val="both"/>
        <w:rPr>
          <w:lang w:val="fr-FR"/>
        </w:rPr>
      </w:pPr>
      <w:r w:rsidRPr="00382DF1">
        <w:rPr>
          <w:lang w:val="en-US"/>
        </w:rPr>
        <w:t xml:space="preserve">Karp, N. A., Berdoy, M., Gray, K., Hunt, L., Jennings, M., Kerton, A., &amp; Wells, S. (2025). The sex inclusive research framework to address sex bias in preclinical research proposals. </w:t>
      </w:r>
      <w:r w:rsidRPr="00382DF1">
        <w:rPr>
          <w:i/>
          <w:iCs/>
          <w:lang w:val="fr-FR"/>
        </w:rPr>
        <w:t>Nature Communications</w:t>
      </w:r>
      <w:r w:rsidRPr="00382DF1">
        <w:rPr>
          <w:lang w:val="fr-FR"/>
        </w:rPr>
        <w:t xml:space="preserve">, </w:t>
      </w:r>
      <w:r w:rsidRPr="00382DF1">
        <w:rPr>
          <w:i/>
          <w:iCs/>
          <w:lang w:val="fr-FR"/>
        </w:rPr>
        <w:t>16</w:t>
      </w:r>
      <w:r w:rsidRPr="00382DF1">
        <w:rPr>
          <w:lang w:val="fr-FR"/>
        </w:rPr>
        <w:t>, 3763.</w:t>
      </w:r>
    </w:p>
    <w:p w14:paraId="5775B8D6" w14:textId="77777777" w:rsidR="0079315E" w:rsidRPr="00382DF1" w:rsidRDefault="0079315E" w:rsidP="0079315E">
      <w:pPr>
        <w:jc w:val="both"/>
        <w:rPr>
          <w:lang w:val="en-US"/>
        </w:rPr>
      </w:pPr>
      <w:r w:rsidRPr="00382DF1">
        <w:rPr>
          <w:lang w:val="fr-FR"/>
        </w:rPr>
        <w:t xml:space="preserve">Kundu, P., Paraiso, I. L., Choi, J., Miranda, C. L., Kioussi, C., Maier, C. S., &amp; Raber, J. (2022). </w:t>
      </w:r>
      <w:r w:rsidRPr="00382DF1">
        <w:rPr>
          <w:lang w:val="en-US"/>
        </w:rPr>
        <w:t xml:space="preserve">Xanthohumol improves cognition in farnesoid X receptor-deficient mice on a high-fat diet. </w:t>
      </w:r>
      <w:r w:rsidRPr="00382DF1">
        <w:rPr>
          <w:i/>
          <w:iCs/>
          <w:lang w:val="en-US"/>
        </w:rPr>
        <w:t>Disease Models &amp; Mechanisms</w:t>
      </w:r>
      <w:r w:rsidRPr="00382DF1">
        <w:rPr>
          <w:lang w:val="en-US"/>
        </w:rPr>
        <w:t xml:space="preserve">, </w:t>
      </w:r>
      <w:r w:rsidRPr="00382DF1">
        <w:rPr>
          <w:i/>
          <w:iCs/>
          <w:lang w:val="en-US"/>
        </w:rPr>
        <w:t>15</w:t>
      </w:r>
      <w:r w:rsidRPr="00382DF1">
        <w:rPr>
          <w:lang w:val="en-US"/>
        </w:rPr>
        <w:t>(11).</w:t>
      </w:r>
    </w:p>
    <w:p w14:paraId="5A40C54E" w14:textId="77777777" w:rsidR="0079315E" w:rsidRPr="00382DF1" w:rsidRDefault="0079315E" w:rsidP="0079315E">
      <w:pPr>
        <w:jc w:val="both"/>
        <w:rPr>
          <w:lang w:val="en-US"/>
        </w:rPr>
      </w:pPr>
      <w:r w:rsidRPr="00382DF1">
        <w:rPr>
          <w:lang w:val="en-US"/>
        </w:rPr>
        <w:t xml:space="preserve">Orfanos, S., Jude, J., Deeney, B. T., Cao, G., Rastogi, D., van Zee, M., &amp; Panettieri, R. A. (2018). Obesity increases airway smooth muscle responses to contractile agonists. </w:t>
      </w:r>
      <w:r w:rsidRPr="00382DF1">
        <w:rPr>
          <w:i/>
          <w:iCs/>
          <w:lang w:val="en-US"/>
        </w:rPr>
        <w:t>American Journal of Physiology: Lung Cellular and Molecular Physiology</w:t>
      </w:r>
      <w:r w:rsidRPr="00382DF1">
        <w:rPr>
          <w:lang w:val="en-US"/>
        </w:rPr>
        <w:t xml:space="preserve">, </w:t>
      </w:r>
      <w:r w:rsidRPr="00382DF1">
        <w:rPr>
          <w:i/>
          <w:iCs/>
          <w:lang w:val="en-US"/>
        </w:rPr>
        <w:t>315</w:t>
      </w:r>
      <w:r w:rsidRPr="00382DF1">
        <w:rPr>
          <w:lang w:val="en-US"/>
        </w:rPr>
        <w:t>, L673–L681.</w:t>
      </w:r>
    </w:p>
    <w:p w14:paraId="01DE19D5" w14:textId="77777777" w:rsidR="0079315E" w:rsidRPr="0079315E" w:rsidRDefault="0079315E" w:rsidP="0079315E">
      <w:pPr>
        <w:jc w:val="both"/>
      </w:pPr>
      <w:r w:rsidRPr="00382DF1">
        <w:rPr>
          <w:lang w:val="en-US"/>
        </w:rPr>
        <w:t xml:space="preserve">Talley, S., Bonomo, R., Gavini, C., Hatahet, J., Gornick, E., Cook, T., &amp; Mansuy-Aubert, V. (2022). Monitoring of inflammation using novel biosensor mouse model reveals tissue- and sex-specific responses to Western diet. </w:t>
      </w:r>
      <w:r w:rsidRPr="0079315E">
        <w:rPr>
          <w:i/>
          <w:iCs/>
        </w:rPr>
        <w:t>Disease Models &amp; Mechanisms</w:t>
      </w:r>
      <w:r w:rsidRPr="0079315E">
        <w:t xml:space="preserve">, </w:t>
      </w:r>
      <w:r w:rsidRPr="0079315E">
        <w:rPr>
          <w:i/>
          <w:iCs/>
        </w:rPr>
        <w:t>15</w:t>
      </w:r>
      <w:r w:rsidRPr="0079315E">
        <w:t>(6).</w:t>
      </w:r>
    </w:p>
    <w:p w14:paraId="4091A159" w14:textId="0DF7CF25" w:rsidR="0079315E" w:rsidRPr="00CB3A31" w:rsidRDefault="0079315E" w:rsidP="0079315E">
      <w:pPr>
        <w:jc w:val="both"/>
      </w:pPr>
      <w:r w:rsidRPr="0079315E">
        <w:br/>
      </w:r>
      <w:r w:rsidRPr="0079315E">
        <w:br/>
      </w:r>
    </w:p>
    <w:p w14:paraId="00B429B4" w14:textId="77777777" w:rsidR="007A2D0C" w:rsidRPr="00CB3A31" w:rsidRDefault="007A2D0C" w:rsidP="0079315E">
      <w:pPr>
        <w:jc w:val="both"/>
      </w:pPr>
    </w:p>
    <w:p w14:paraId="2B785ED5" w14:textId="1AB09E28" w:rsidR="0079315E" w:rsidRPr="00CB3A31" w:rsidRDefault="0079315E" w:rsidP="0079315E">
      <w:pPr>
        <w:jc w:val="both"/>
      </w:pPr>
      <w:r w:rsidRPr="0079315E">
        <w:rPr>
          <w:b/>
          <w:bCs/>
        </w:rPr>
        <w:lastRenderedPageBreak/>
        <w:t>Χειρουργική στα Ψάρια: Βασικές Αρχές και Κλινικές Εφαρμογές</w:t>
      </w:r>
    </w:p>
    <w:p w14:paraId="40C671C8" w14:textId="75E5DBBF" w:rsidR="0079315E" w:rsidRPr="0079315E" w:rsidRDefault="0079315E" w:rsidP="0079315E">
      <w:pPr>
        <w:jc w:val="both"/>
      </w:pPr>
      <w:r w:rsidRPr="0079315E">
        <w:t>Βασιλάκης Μάριος</w:t>
      </w:r>
      <w:r w:rsidRPr="0079315E">
        <w:rPr>
          <w:b/>
          <w:bCs/>
          <w:vertAlign w:val="superscript"/>
        </w:rPr>
        <w:t>1</w:t>
      </w:r>
      <w:r w:rsidRPr="0079315E">
        <w:t>, Καραγιάννης Δημήτριος</w:t>
      </w:r>
      <w:r w:rsidRPr="0079315E">
        <w:rPr>
          <w:b/>
          <w:bCs/>
          <w:vertAlign w:val="superscript"/>
        </w:rPr>
        <w:t>2</w:t>
      </w:r>
    </w:p>
    <w:p w14:paraId="1807EB1D" w14:textId="77777777" w:rsidR="0079315E" w:rsidRPr="0079315E" w:rsidRDefault="0079315E" w:rsidP="0079315E">
      <w:pPr>
        <w:numPr>
          <w:ilvl w:val="0"/>
          <w:numId w:val="23"/>
        </w:numPr>
        <w:jc w:val="both"/>
      </w:pPr>
      <w:r w:rsidRPr="0079315E">
        <w:t>Προπτυχιακός φοιτητής, Σχολή Επιστημών Υγείας, Τμήμα Κτηνιατρικής, Αριστοτέλειο Πανεπιστήμιο Θεσσαλονίκης</w:t>
      </w:r>
    </w:p>
    <w:p w14:paraId="02D368C4" w14:textId="77777777" w:rsidR="0079315E" w:rsidRPr="0079315E" w:rsidRDefault="0079315E" w:rsidP="0079315E">
      <w:pPr>
        <w:numPr>
          <w:ilvl w:val="0"/>
          <w:numId w:val="23"/>
        </w:numPr>
        <w:jc w:val="both"/>
      </w:pPr>
      <w:r w:rsidRPr="0079315E">
        <w:t>Επίκουρος Καθηγητής, Εργαστήριο Υδατοκαλλιεργειών και Νοσημάτων Υδρόβιων ζώων, Σχολή Επιστημών Υγείας, Τμήμα Κτηνιατρικής, Αριστοτέλειο Πανεπιστήμιο Θεσσαλονίκης</w:t>
      </w:r>
    </w:p>
    <w:p w14:paraId="0366E7A5" w14:textId="77777777" w:rsidR="0079315E" w:rsidRPr="0079315E" w:rsidRDefault="0079315E" w:rsidP="0079315E">
      <w:pPr>
        <w:jc w:val="both"/>
      </w:pPr>
    </w:p>
    <w:p w14:paraId="1DD16084" w14:textId="77777777" w:rsidR="0079315E" w:rsidRPr="0079315E" w:rsidRDefault="0079315E" w:rsidP="0079315E">
      <w:pPr>
        <w:jc w:val="both"/>
      </w:pPr>
      <w:r w:rsidRPr="0079315E">
        <w:rPr>
          <w:b/>
          <w:bCs/>
        </w:rPr>
        <w:t>Περίληψη</w:t>
      </w:r>
    </w:p>
    <w:p w14:paraId="04705B93" w14:textId="77777777" w:rsidR="0079315E" w:rsidRPr="00CB3A31" w:rsidRDefault="0079315E" w:rsidP="0079315E">
      <w:pPr>
        <w:jc w:val="both"/>
      </w:pPr>
      <w:r w:rsidRPr="0079315E">
        <w:t>Η χειρουργική στα ψάρια αποτελεί ένα δυναμικά εξελισσόμενο πεδίο της παθολογίας υδρόβιων ζώων, με σημαντικές εφαρμογές στην κλινική πράξη, την έρευνα και τη διατήρηση της βιοποικιλότητας. Οι χειρουργικές επεμβάσεις απαιτούν εξειδικευμένη προσέγγιση, προσαρμοσμένη στις ιδιαιτερότητες της ανατομίας και της φυσιολογίας των ψαριών. Η ορθή προεγχειρητική προετοιμασία, η διατήρηση της ενυδάτωσης των ιστών και η χρήση κατάλληλου χειρουργικού εξοπλισμού αποτελούν καθοριστικούς παράγοντες για την επιτυχή έκβαση των επεμβάσεων. Παράλληλα, η επιλογή των ραμμάτων και των τεχνικών σύγκλεισης διαδραματίζει κρίσιμο ρόλο στην επούλωση και στην πρόληψη λοιμώξεων. Συνήθεις επεμβάσεις, όπως η αφαίρεση μαζών, η διερευνητική κοιλιοτομή και η οφθαλμική χειρουργική, εφαρμόζονται τόσο για διαγνωστικούς όσο και για θεραπευτικούς σκοπούς. Ιδιαίτερη έμφαση δίνεται στη μείωση του στρες και στην πρόληψη μετεγχειρητικών επιπλοκών, με στόχο τη διασφάλιση της επιβίωσης και της ευζωίας των υδρόβιων ασθενών.</w:t>
      </w:r>
    </w:p>
    <w:p w14:paraId="4E2E2DB6" w14:textId="77777777" w:rsidR="007A2D0C" w:rsidRPr="00CB3A31" w:rsidRDefault="007A2D0C" w:rsidP="0079315E">
      <w:pPr>
        <w:jc w:val="both"/>
      </w:pPr>
    </w:p>
    <w:p w14:paraId="6575C066" w14:textId="77777777" w:rsidR="0079315E" w:rsidRPr="0079315E" w:rsidRDefault="0079315E" w:rsidP="0079315E">
      <w:pPr>
        <w:jc w:val="both"/>
      </w:pPr>
      <w:r w:rsidRPr="0079315E">
        <w:rPr>
          <w:b/>
          <w:bCs/>
        </w:rPr>
        <w:t>Βιβλιογραφία</w:t>
      </w:r>
    </w:p>
    <w:p w14:paraId="7162EEC4" w14:textId="77777777" w:rsidR="0079315E" w:rsidRPr="00382DF1" w:rsidRDefault="0079315E" w:rsidP="0079315E">
      <w:pPr>
        <w:jc w:val="both"/>
        <w:rPr>
          <w:lang w:val="en-US"/>
        </w:rPr>
      </w:pPr>
      <w:r w:rsidRPr="0079315E">
        <w:t>Avery, B. R., &amp; Pye, G. W. (2022). </w:t>
      </w:r>
      <w:r w:rsidRPr="00382DF1">
        <w:rPr>
          <w:i/>
          <w:iCs/>
          <w:lang w:val="en-US"/>
        </w:rPr>
        <w:t>Surgery of exotic animals. Hoboken, NJ: John Wiley &amp; Sons, Inc.</w:t>
      </w:r>
    </w:p>
    <w:p w14:paraId="666DE38F" w14:textId="5C9C6B3E" w:rsidR="0079315E" w:rsidRPr="00382DF1" w:rsidRDefault="0079315E" w:rsidP="0079315E">
      <w:pPr>
        <w:jc w:val="both"/>
        <w:rPr>
          <w:lang w:val="en-US"/>
        </w:rPr>
      </w:pPr>
      <w:r w:rsidRPr="00382DF1">
        <w:rPr>
          <w:lang w:val="en-US"/>
        </w:rPr>
        <w:t>Hadfield, C., &amp; Clayton, L. (2021). </w:t>
      </w:r>
      <w:r w:rsidRPr="00382DF1">
        <w:rPr>
          <w:i/>
          <w:iCs/>
          <w:lang w:val="en-US"/>
        </w:rPr>
        <w:t>Clinical guide to fish medicine. Hoboken, NJ: John Wiley &amp; Sons, Inc.</w:t>
      </w:r>
    </w:p>
    <w:p w14:paraId="77F89230" w14:textId="77CB1857" w:rsidR="0079315E" w:rsidRPr="00382DF1" w:rsidRDefault="0079315E" w:rsidP="0079315E">
      <w:pPr>
        <w:jc w:val="both"/>
        <w:rPr>
          <w:lang w:val="en-US"/>
        </w:rPr>
      </w:pPr>
      <w:r w:rsidRPr="00382DF1">
        <w:rPr>
          <w:lang w:val="en-US"/>
        </w:rPr>
        <w:t>Harms, C. A. (2005).</w:t>
      </w:r>
      <w:r w:rsidRPr="00382DF1">
        <w:rPr>
          <w:i/>
          <w:iCs/>
          <w:lang w:val="en-US"/>
        </w:rPr>
        <w:t xml:space="preserve"> Surgery in fish research: Common procedures and postoperative care. Lab Animal,</w:t>
      </w:r>
      <w:r w:rsidRPr="00382DF1">
        <w:rPr>
          <w:lang w:val="en-US"/>
        </w:rPr>
        <w:t xml:space="preserve"> 34(1), 28–34.</w:t>
      </w:r>
    </w:p>
    <w:p w14:paraId="160D3A4B" w14:textId="77777777" w:rsidR="0079315E" w:rsidRPr="00382DF1" w:rsidRDefault="0079315E" w:rsidP="0079315E">
      <w:pPr>
        <w:jc w:val="both"/>
        <w:rPr>
          <w:lang w:val="en-US"/>
        </w:rPr>
      </w:pPr>
      <w:r w:rsidRPr="00382DF1">
        <w:rPr>
          <w:lang w:val="en-US"/>
        </w:rPr>
        <w:t xml:space="preserve">Murray, M. J. (2002). </w:t>
      </w:r>
      <w:r w:rsidRPr="00382DF1">
        <w:rPr>
          <w:i/>
          <w:iCs/>
          <w:lang w:val="en-US"/>
        </w:rPr>
        <w:t>Fish surgery. Seminars in Avian and Exotic Pet Medicine</w:t>
      </w:r>
      <w:r w:rsidRPr="00382DF1">
        <w:rPr>
          <w:lang w:val="en-US"/>
        </w:rPr>
        <w:t>, 11(4), 246–257.</w:t>
      </w:r>
    </w:p>
    <w:p w14:paraId="148216A8" w14:textId="0A04DBBA" w:rsidR="0079315E" w:rsidRPr="00382DF1" w:rsidRDefault="0079315E" w:rsidP="0079315E">
      <w:pPr>
        <w:jc w:val="both"/>
        <w:rPr>
          <w:lang w:val="en-US"/>
        </w:rPr>
      </w:pP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p>
    <w:p w14:paraId="58A6C650" w14:textId="77777777" w:rsidR="007A2D0C" w:rsidRPr="00382DF1" w:rsidRDefault="007A2D0C" w:rsidP="0079315E">
      <w:pPr>
        <w:jc w:val="both"/>
        <w:rPr>
          <w:lang w:val="en-US"/>
        </w:rPr>
      </w:pPr>
    </w:p>
    <w:p w14:paraId="5DABE27A" w14:textId="19AB117D" w:rsidR="0079315E" w:rsidRPr="007A2D0C" w:rsidRDefault="0079315E" w:rsidP="0079315E">
      <w:pPr>
        <w:jc w:val="both"/>
      </w:pPr>
      <w:r w:rsidRPr="0079315E">
        <w:rPr>
          <w:b/>
          <w:bCs/>
        </w:rPr>
        <w:lastRenderedPageBreak/>
        <w:t>Αναισθησία ψαριών: πρακτικές εφαρμογές στην κτηνιατρική κλινική πράξη.</w:t>
      </w:r>
    </w:p>
    <w:p w14:paraId="261C4C0C" w14:textId="77777777" w:rsidR="0079315E" w:rsidRPr="0079315E" w:rsidRDefault="0079315E" w:rsidP="0079315E">
      <w:pPr>
        <w:jc w:val="both"/>
      </w:pPr>
      <w:r w:rsidRPr="0079315E">
        <w:t>Νασιοπούλου Θεοδώρα</w:t>
      </w:r>
      <w:r w:rsidRPr="0079315E">
        <w:rPr>
          <w:vertAlign w:val="superscript"/>
        </w:rPr>
        <w:t>1</w:t>
      </w:r>
      <w:r w:rsidRPr="0079315E">
        <w:t>, Καραγιάννης Δημήτριος</w:t>
      </w:r>
      <w:r w:rsidRPr="0079315E">
        <w:rPr>
          <w:vertAlign w:val="superscript"/>
        </w:rPr>
        <w:t>2</w:t>
      </w:r>
    </w:p>
    <w:p w14:paraId="269E2727" w14:textId="77777777" w:rsidR="0079315E" w:rsidRPr="0079315E" w:rsidRDefault="0079315E" w:rsidP="0079315E">
      <w:pPr>
        <w:jc w:val="both"/>
      </w:pPr>
      <w:r w:rsidRPr="0079315E">
        <w:t>1. Προπτυχιακή φοιτήτρια, Τμήμα Κτηνιατρικής, Σχολή Επιστημών Υγείας, Αριστοτέλειο Πανεπιστήμιο Θεσσαλονίκης</w:t>
      </w:r>
    </w:p>
    <w:p w14:paraId="1C50BEE3" w14:textId="77777777" w:rsidR="0079315E" w:rsidRPr="00CB3A31" w:rsidRDefault="0079315E" w:rsidP="0079315E">
      <w:pPr>
        <w:jc w:val="both"/>
      </w:pPr>
      <w:r w:rsidRPr="0079315E">
        <w:t>2. Επίκουρος Καθηγητής, Εργαστήριο Υδατοκαλλιεργειών και Νοσημάτων Υδρόβιων Ζώων, Τμήμα Κτηνιατρικής, Σχολή Επιστημών Υγείας, Αριστοτέλειο Πανεπιστήμιο Θεσσαλονίκης</w:t>
      </w:r>
    </w:p>
    <w:p w14:paraId="41806880" w14:textId="77777777" w:rsidR="007A2D0C" w:rsidRPr="00CB3A31" w:rsidRDefault="007A2D0C" w:rsidP="0079315E">
      <w:pPr>
        <w:jc w:val="both"/>
      </w:pPr>
    </w:p>
    <w:p w14:paraId="60B7DB63" w14:textId="77777777" w:rsidR="0079315E" w:rsidRPr="0079315E" w:rsidRDefault="0079315E" w:rsidP="0079315E">
      <w:pPr>
        <w:jc w:val="both"/>
      </w:pPr>
      <w:r w:rsidRPr="0079315E">
        <w:rPr>
          <w:b/>
          <w:bCs/>
        </w:rPr>
        <w:t>Περίληψη </w:t>
      </w:r>
    </w:p>
    <w:p w14:paraId="08684567" w14:textId="77777777" w:rsidR="0079315E" w:rsidRPr="0079315E" w:rsidRDefault="0079315E" w:rsidP="0079315E">
      <w:pPr>
        <w:jc w:val="both"/>
      </w:pPr>
      <w:r w:rsidRPr="0079315E">
        <w:t>Η αναισθησία στα ψάρια αποτελεί ένα ιδιαίτερα απαιτητικό πεδίο της κτηνιατρικής, το οποίο προϋποθέτει εξειδικευμένη γνώση τόσο των φυσικοχημικών παραμέτρων του υδάτινου περιβάλλοντος (θερμοκρασία, pH, διαλυμένο οξυγόνο) όσο και των διαθέσιμων αναισθητικών ουσιών. Σε αντίθεση με την αναισθησία στα χερσαία ζώα, όπου χρησιμοποιούνται ευρέως φάρμακα όπως η προποφόλη, η κεταμίνη και η μιδαζολάμη, στην ιχθυολογία έχουν επικρατήσει ουσίες με καλύτερο προφίλ ως προς την ταχεία εγκατάσταση, τη διάρκεια δράσης και τον χρόνο ανάνηψης. Μεταξύ αυτών συγκαταλέγονται η τρικαΐνη (MS</w:t>
      </w:r>
      <w:r w:rsidRPr="0079315E">
        <w:noBreakHyphen/>
        <w:t>222), η 2</w:t>
      </w:r>
      <w:r w:rsidRPr="0079315E">
        <w:noBreakHyphen/>
        <w:t>φαινοξυαιθανόλη, η ισοευγενόλη και η μετομιδάτη.</w:t>
      </w:r>
    </w:p>
    <w:p w14:paraId="233B2B21" w14:textId="77777777" w:rsidR="0079315E" w:rsidRPr="0079315E" w:rsidRDefault="0079315E" w:rsidP="0079315E">
      <w:pPr>
        <w:jc w:val="both"/>
      </w:pPr>
      <w:r w:rsidRPr="0079315E">
        <w:t>Η αναισθησία στα ψάρια εφαρμόζεται για ήπια καταστολή, ακινητοποίηση ή απώλεια συνείδησης, διευκολύνοντας διαδικασίες όπως ο εμβολιασμός, η σήμανση, η μεταφορά, η κλινική εξέταση, η λήψη δειγμάτων και η πραγματοποίηση χειρουργικών επεμβάσεων. Η επιλογή του κατάλληλου αναισθητικού εξαρτάται από τις περιβαλλοντικές συνθήκες, τις ιδιότητες της δραστικής ουσίας και τις εκάστοτε ανάγκες περίθαλψης.</w:t>
      </w:r>
    </w:p>
    <w:p w14:paraId="2FF258FF" w14:textId="77777777" w:rsidR="0079315E" w:rsidRPr="0079315E" w:rsidRDefault="0079315E" w:rsidP="0079315E">
      <w:pPr>
        <w:jc w:val="both"/>
      </w:pPr>
      <w:r w:rsidRPr="0079315E">
        <w:t>Σκοπός της παρούσας εργασίας είναι η συγκριτική παρουσίαση των βασικών αναισθητικών που χρησιμοποιούνται στα ψάρια, καθώς και η αποτύπωση των απαραίτητων προϋποθέσεων και του εξοπλισμού που απαιτούνται για την ασφαλή και αποτελεσματική εφαρμογή της αναισθησίας στο πλαίσιο της κλινικής πρακτικής.</w:t>
      </w:r>
    </w:p>
    <w:p w14:paraId="7F4CF777" w14:textId="77777777" w:rsidR="0079315E" w:rsidRPr="0079315E" w:rsidRDefault="0079315E" w:rsidP="0079315E">
      <w:pPr>
        <w:jc w:val="both"/>
      </w:pPr>
      <w:r w:rsidRPr="0079315E">
        <w:t> </w:t>
      </w:r>
    </w:p>
    <w:p w14:paraId="46BE7F59" w14:textId="77777777" w:rsidR="0079315E" w:rsidRPr="0079315E" w:rsidRDefault="0079315E" w:rsidP="0079315E">
      <w:pPr>
        <w:jc w:val="both"/>
      </w:pPr>
      <w:r w:rsidRPr="0079315E">
        <w:rPr>
          <w:b/>
          <w:bCs/>
        </w:rPr>
        <w:t>Βιβλιογραφία </w:t>
      </w:r>
    </w:p>
    <w:p w14:paraId="1528618F" w14:textId="77777777" w:rsidR="0079315E" w:rsidRPr="00382DF1" w:rsidRDefault="0079315E" w:rsidP="0079315E">
      <w:pPr>
        <w:jc w:val="both"/>
        <w:rPr>
          <w:lang w:val="en-US"/>
        </w:rPr>
      </w:pPr>
      <w:r w:rsidRPr="0079315E">
        <w:t xml:space="preserve">Chatigny F, Kamunde C, Creighton CM, Stevens ED (2017). </w:t>
      </w:r>
      <w:r w:rsidRPr="00382DF1">
        <w:rPr>
          <w:lang w:val="en-US"/>
        </w:rPr>
        <w:t>Uses and Doses of Local Anesthetics in Fish, Amphibians and Reptiles. Journal of the American Association for Laboratory Animal Science, 56(3):244-253.</w:t>
      </w:r>
    </w:p>
    <w:p w14:paraId="493377D3" w14:textId="77777777" w:rsidR="0079315E" w:rsidRPr="00382DF1" w:rsidRDefault="0079315E" w:rsidP="0079315E">
      <w:pPr>
        <w:jc w:val="both"/>
        <w:rPr>
          <w:lang w:val="en-US"/>
        </w:rPr>
      </w:pPr>
      <w:r w:rsidRPr="00382DF1">
        <w:rPr>
          <w:lang w:val="en-US"/>
        </w:rPr>
        <w:t>Neiffer DL, Stamper MA (2009). Fish sedation, analgesia, anesthesia, and euthanasia: considerations, methods and types of drugs. Institute for Laboratory Animal Research (ILAR), 50(4):343-60.</w:t>
      </w:r>
    </w:p>
    <w:p w14:paraId="5688C16D" w14:textId="77777777" w:rsidR="0079315E" w:rsidRPr="00382DF1" w:rsidRDefault="0079315E" w:rsidP="0079315E">
      <w:pPr>
        <w:jc w:val="both"/>
        <w:rPr>
          <w:lang w:val="en-US"/>
        </w:rPr>
      </w:pPr>
      <w:r w:rsidRPr="00382DF1">
        <w:rPr>
          <w:lang w:val="en-US"/>
        </w:rPr>
        <w:t>Neiffer, D. L. (2021). Anesthesia and analgesia. In C. A. Hadfield &amp; L. A. Clayton (Eds.), Clinical Guide to Fish Medicine (p. 198-212). John Wiley &amp; Sons, Inc.</w:t>
      </w:r>
    </w:p>
    <w:p w14:paraId="57716264" w14:textId="77777777" w:rsidR="0079315E" w:rsidRPr="00382DF1" w:rsidRDefault="0079315E" w:rsidP="0079315E">
      <w:pPr>
        <w:jc w:val="both"/>
        <w:rPr>
          <w:lang w:val="en-US"/>
        </w:rPr>
      </w:pPr>
      <w:r w:rsidRPr="00382DF1">
        <w:rPr>
          <w:lang w:val="en-US"/>
        </w:rPr>
        <w:t>Sneddon L. U. (2012). Clinical Anesthesia and Analgesia in Fish, Journal of Exotic Pet Medicine, 21(1):32-43.</w:t>
      </w:r>
      <w:hyperlink r:id="rId17" w:history="1">
        <w:r w:rsidRPr="00382DF1">
          <w:rPr>
            <w:rStyle w:val="-"/>
            <w:lang w:val="en-US"/>
          </w:rPr>
          <w:t> </w:t>
        </w:r>
      </w:hyperlink>
    </w:p>
    <w:p w14:paraId="6615315C" w14:textId="77777777" w:rsidR="007A2D0C" w:rsidRPr="007A2D0C" w:rsidRDefault="0079315E" w:rsidP="007A2D0C">
      <w:r w:rsidRPr="00382DF1">
        <w:br/>
      </w:r>
      <w:r w:rsidRPr="00382DF1">
        <w:br/>
      </w:r>
      <w:r w:rsidR="007A2D0C" w:rsidRPr="007A2D0C">
        <w:rPr>
          <w:b/>
          <w:bCs/>
        </w:rPr>
        <w:lastRenderedPageBreak/>
        <w:t>Η Τεχνητή Νοημοσύνη (A.I.) στην Υπερηχοτομογραφία του Νεφρού: Μία Συγκριτική Μελέτη των Διαθέσιμων Τεχνικών και Μεθόδων</w:t>
      </w:r>
    </w:p>
    <w:p w14:paraId="561383F7" w14:textId="77777777" w:rsidR="007A2D0C" w:rsidRPr="007A2D0C" w:rsidRDefault="007A2D0C" w:rsidP="007A2D0C">
      <w:pPr>
        <w:jc w:val="both"/>
      </w:pPr>
      <w:r w:rsidRPr="007A2D0C">
        <w:t>Παντέρας Ευάγγελος</w:t>
      </w:r>
      <w:r w:rsidRPr="007A2D0C">
        <w:rPr>
          <w:vertAlign w:val="superscript"/>
        </w:rPr>
        <w:t>1</w:t>
      </w:r>
      <w:r w:rsidRPr="007A2D0C">
        <w:t>, Μπαρμπαγιάννη Μαριάνα</w:t>
      </w:r>
      <w:r w:rsidRPr="007A2D0C">
        <w:rPr>
          <w:vertAlign w:val="superscript"/>
        </w:rPr>
        <w:t>2</w:t>
      </w:r>
      <w:r w:rsidRPr="007A2D0C">
        <w:t>, Καρατράντος Τ. Ανάργυρος</w:t>
      </w:r>
      <w:r w:rsidRPr="007A2D0C">
        <w:rPr>
          <w:vertAlign w:val="superscript"/>
        </w:rPr>
        <w:t>3</w:t>
      </w:r>
    </w:p>
    <w:p w14:paraId="45BA8A00" w14:textId="77777777" w:rsidR="007A2D0C" w:rsidRPr="007A2D0C" w:rsidRDefault="007A2D0C" w:rsidP="007A2D0C">
      <w:pPr>
        <w:numPr>
          <w:ilvl w:val="0"/>
          <w:numId w:val="24"/>
        </w:numPr>
        <w:jc w:val="both"/>
      </w:pPr>
      <w:r w:rsidRPr="007A2D0C">
        <w:t>Προπτυχιακός Φοιτητής, Τμήμα Κτηνιατρικής, Σχολή Επιστημών Υγείας, Πανεπιστήμιο Θεσσαλίας</w:t>
      </w:r>
    </w:p>
    <w:p w14:paraId="204CF1BA" w14:textId="77777777" w:rsidR="007A2D0C" w:rsidRPr="007A2D0C" w:rsidRDefault="007A2D0C" w:rsidP="007A2D0C">
      <w:pPr>
        <w:numPr>
          <w:ilvl w:val="0"/>
          <w:numId w:val="24"/>
        </w:numPr>
        <w:jc w:val="both"/>
      </w:pPr>
      <w:r w:rsidRPr="007A2D0C">
        <w:t>Αναπληρώτρια Καθηγήτρια Απεικονιστικής Διαγνωστικής των Ζώων, Τμήμα Κτηνιατρικής, Σχολή Επιστημών Υγείας, Πανεπιστήμιο Θεσσαλίας</w:t>
      </w:r>
    </w:p>
    <w:p w14:paraId="42E22A3D" w14:textId="77777777" w:rsidR="007A2D0C" w:rsidRPr="007A2D0C" w:rsidRDefault="007A2D0C" w:rsidP="007A2D0C">
      <w:pPr>
        <w:numPr>
          <w:ilvl w:val="0"/>
          <w:numId w:val="24"/>
        </w:numPr>
        <w:jc w:val="both"/>
      </w:pPr>
      <w:r w:rsidRPr="007A2D0C">
        <w:t>Υποψήφιος Διδάκτορας Απεικονιστικής Διαγνωστικής, Τμήμα Κτηνιατρικής, Σχολή Επιστημών Υγείας, Πανεπιστήμιο Θεσσαλίας</w:t>
      </w:r>
    </w:p>
    <w:p w14:paraId="797B2C71" w14:textId="77777777" w:rsidR="007A2D0C" w:rsidRPr="007A2D0C" w:rsidRDefault="007A2D0C" w:rsidP="007A2D0C">
      <w:pPr>
        <w:jc w:val="both"/>
      </w:pPr>
    </w:p>
    <w:p w14:paraId="0564D36E" w14:textId="77777777" w:rsidR="007A2D0C" w:rsidRPr="007A2D0C" w:rsidRDefault="007A2D0C" w:rsidP="007A2D0C">
      <w:pPr>
        <w:jc w:val="both"/>
      </w:pPr>
      <w:r w:rsidRPr="007A2D0C">
        <w:rPr>
          <w:b/>
          <w:bCs/>
        </w:rPr>
        <w:t>Περίληψη</w:t>
      </w:r>
    </w:p>
    <w:p w14:paraId="080FD77D" w14:textId="77777777" w:rsidR="007A2D0C" w:rsidRPr="007A2D0C" w:rsidRDefault="007A2D0C" w:rsidP="007A2D0C">
      <w:pPr>
        <w:jc w:val="both"/>
      </w:pPr>
      <w:r w:rsidRPr="007A2D0C">
        <w:t>Η υπερηχοτομογραφία αποτελεί μια γρήγορη, μη επεμβατική  και σχετικά οικονομική απεικονιστική μέθοδο. Δημιουργεί σε πραγματικό χρόνο δισδιάστατες εικόνες (υπερηχοτομογραφικές τομές) βάσει της ανάκλασης και της σκέδασης ηχητικών κυμάτων από ιστούς με διαφορετική ακουστική εμπέδηση. Κατά την υπερηχοτομογραφική εξέταση του νεφρού, αξιολογείται μεταξύ άλλων, η αρχιτεκτονική δομή, το σχήμα και το μέγεθος του νεφρού, η αγγείωση, η ηχογένεια της φλοιώδους και της μυελώδους μοίρας, καθώς και οι διαστάσεις της νεφρικής πυέλου, αναγνωρίζοντας έτσι παθολογικές καταστάσεις όπως  νεφρολιθίαση, υδρονέφρωση, πυελονεφρίτιδα, ατροφία – νεφρική ανεπάρκεια, σπειραματονεφρίτιδα, διάμεση νεφρίτιδα, επασβέστωση, έμφρακτα, νεοπλασίες και κύστεις. Η εφαρμογή μεθόδων Τεχνητής Νοημοσύνης (A.I.) στην ιατρική επιστήμη όλο και αυξάνεται. Στην υπερηχοτομογραφία αποτελεί καινοτομία που δυνητικά μπορεί να ενισχύσει τη διαγνωστική ακρίβεια της εξέτασης, όμως θα πρέπει να χρησιμοποιείται επιφυλακτικά, ιδίως αν δεν έχει τεκμηριωθεί η αξιοπιστία των εκάστοτε μοντέλων στην κτηνιατρική επιστήμη. Στόχος της παρούσας εργασίας είναι η στατιστική μελέτη της αξιοπιστίας των διαθέσιμων μοντέλων A.I. στην ορθή αξιολόγηση υπερηχοτομογραφικών λήψεων νεφρών σκύλου και γάτας και η ανάδειξη των κινδύνων που προκύπτουν από την αλόγιστη χρήση τους για την τεκμηρίωση κλινικών αποφάσεων.</w:t>
      </w:r>
    </w:p>
    <w:p w14:paraId="7CA584D9" w14:textId="77777777" w:rsidR="007A2D0C" w:rsidRPr="007A2D0C" w:rsidRDefault="007A2D0C" w:rsidP="007A2D0C">
      <w:pPr>
        <w:jc w:val="both"/>
      </w:pPr>
    </w:p>
    <w:p w14:paraId="62CA968C" w14:textId="77777777" w:rsidR="007A2D0C" w:rsidRPr="00382DF1" w:rsidRDefault="007A2D0C" w:rsidP="007A2D0C">
      <w:pPr>
        <w:jc w:val="both"/>
        <w:rPr>
          <w:lang w:val="en-US"/>
        </w:rPr>
      </w:pPr>
      <w:r w:rsidRPr="007A2D0C">
        <w:rPr>
          <w:b/>
          <w:bCs/>
        </w:rPr>
        <w:t>Βιβλιογραφία</w:t>
      </w:r>
    </w:p>
    <w:p w14:paraId="0A804EA1" w14:textId="74E67BBB" w:rsidR="007A2D0C" w:rsidRPr="00382DF1" w:rsidRDefault="007A2D0C" w:rsidP="007A2D0C">
      <w:pPr>
        <w:jc w:val="both"/>
        <w:rPr>
          <w:lang w:val="en-US"/>
        </w:rPr>
      </w:pPr>
      <w:r w:rsidRPr="00382DF1">
        <w:rPr>
          <w:lang w:val="en-US"/>
        </w:rPr>
        <w:t xml:space="preserve">Berry, C. R., Nelson, N. C., &amp; Winter, M. D. (Eds.). (2023). </w:t>
      </w:r>
      <w:r w:rsidRPr="00382DF1">
        <w:rPr>
          <w:i/>
          <w:iCs/>
          <w:lang w:val="en-US"/>
        </w:rPr>
        <w:t>Atlas of small animal diagnostic imaging</w:t>
      </w:r>
      <w:r w:rsidRPr="00382DF1">
        <w:rPr>
          <w:lang w:val="en-US"/>
        </w:rPr>
        <w:t>. John Wiley &amp; Sons.</w:t>
      </w:r>
    </w:p>
    <w:p w14:paraId="1B376363" w14:textId="49259B5C" w:rsidR="007A2D0C" w:rsidRPr="00382DF1" w:rsidRDefault="007A2D0C" w:rsidP="007A2D0C">
      <w:pPr>
        <w:jc w:val="both"/>
        <w:rPr>
          <w:lang w:val="en-US"/>
        </w:rPr>
      </w:pPr>
      <w:r w:rsidRPr="00382DF1">
        <w:rPr>
          <w:lang w:val="en-US"/>
        </w:rPr>
        <w:t xml:space="preserve">Elliott, J., Grauer, G. F., &amp; Westropp, J. L. (Eds.). (2017). </w:t>
      </w:r>
      <w:r w:rsidRPr="00382DF1">
        <w:rPr>
          <w:i/>
          <w:iCs/>
          <w:lang w:val="en-US"/>
        </w:rPr>
        <w:t>BSAVA manual of canine and feline nephrology and urology</w:t>
      </w:r>
      <w:r w:rsidRPr="00382DF1">
        <w:rPr>
          <w:lang w:val="en-US"/>
        </w:rPr>
        <w:t xml:space="preserve"> (3rd ed.). British Small Animal Veterinary Association.</w:t>
      </w:r>
    </w:p>
    <w:p w14:paraId="2944C985" w14:textId="42C5FDF3" w:rsidR="007A2D0C" w:rsidRPr="00382DF1" w:rsidRDefault="007A2D0C" w:rsidP="007A2D0C">
      <w:pPr>
        <w:jc w:val="both"/>
        <w:rPr>
          <w:lang w:val="en-US"/>
        </w:rPr>
      </w:pPr>
      <w:r w:rsidRPr="00382DF1">
        <w:rPr>
          <w:lang w:val="en-US"/>
        </w:rPr>
        <w:t xml:space="preserve">König, H. E., &amp; Liebich, H.-G. (Eds.). (2020). </w:t>
      </w:r>
      <w:r w:rsidRPr="00382DF1">
        <w:rPr>
          <w:i/>
          <w:iCs/>
          <w:lang w:val="en-US"/>
        </w:rPr>
        <w:t>Veterinary anatomy of domestic animals: Textbook and colour atlas</w:t>
      </w:r>
      <w:r w:rsidRPr="00382DF1">
        <w:rPr>
          <w:lang w:val="en-US"/>
        </w:rPr>
        <w:t xml:space="preserve"> (7</w:t>
      </w:r>
      <w:r w:rsidRPr="00382DF1">
        <w:rPr>
          <w:vertAlign w:val="superscript"/>
          <w:lang w:val="en-US"/>
        </w:rPr>
        <w:t>th</w:t>
      </w:r>
      <w:r w:rsidRPr="00382DF1">
        <w:rPr>
          <w:lang w:val="en-US"/>
        </w:rPr>
        <w:t xml:space="preserve"> ed.). Georg Thieme Verlag.</w:t>
      </w:r>
    </w:p>
    <w:p w14:paraId="4EF3B208" w14:textId="77777777" w:rsidR="007A2D0C" w:rsidRPr="00CB3A31" w:rsidRDefault="007A2D0C" w:rsidP="007A2D0C">
      <w:pPr>
        <w:jc w:val="both"/>
      </w:pPr>
      <w:r w:rsidRPr="00382DF1">
        <w:rPr>
          <w:lang w:val="en-US"/>
        </w:rPr>
        <w:t xml:space="preserve">Lisciandro, G. R. (Ed.). (2014). </w:t>
      </w:r>
      <w:r w:rsidRPr="00382DF1">
        <w:rPr>
          <w:i/>
          <w:iCs/>
          <w:lang w:val="en-US"/>
        </w:rPr>
        <w:t>Focused ultrasound techniques for the small animal practitioner.</w:t>
      </w:r>
      <w:r w:rsidRPr="00382DF1">
        <w:rPr>
          <w:lang w:val="en-US"/>
        </w:rPr>
        <w:t xml:space="preserve"> </w:t>
      </w:r>
      <w:r w:rsidRPr="007A2D0C">
        <w:t>Wiley-Blackwell.</w:t>
      </w:r>
    </w:p>
    <w:p w14:paraId="2900C16D" w14:textId="77777777" w:rsidR="007A2D0C" w:rsidRPr="00CB3A31" w:rsidRDefault="007A2D0C" w:rsidP="007A2D0C">
      <w:pPr>
        <w:jc w:val="both"/>
      </w:pPr>
    </w:p>
    <w:p w14:paraId="7601B804" w14:textId="77777777" w:rsidR="007A2D0C" w:rsidRPr="007A2D0C" w:rsidRDefault="007A2D0C" w:rsidP="007A2D0C">
      <w:pPr>
        <w:jc w:val="both"/>
      </w:pPr>
      <w:r w:rsidRPr="007A2D0C">
        <w:rPr>
          <w:b/>
          <w:bCs/>
        </w:rPr>
        <w:lastRenderedPageBreak/>
        <w:t>Σύγχρονοι απεικονιστικοί δείκτες στην καρδιολογική εξέταση του σκύλου: RPAD, LADi και VLAS</w:t>
      </w:r>
    </w:p>
    <w:p w14:paraId="3AFD6CDC" w14:textId="77777777" w:rsidR="007A2D0C" w:rsidRPr="007A2D0C" w:rsidRDefault="007A2D0C" w:rsidP="007A2D0C">
      <w:pPr>
        <w:jc w:val="both"/>
      </w:pPr>
      <w:r w:rsidRPr="007A2D0C">
        <w:t>Πασχάλη Στυλιανή</w:t>
      </w:r>
      <w:r w:rsidRPr="007A2D0C">
        <w:rPr>
          <w:vertAlign w:val="superscript"/>
        </w:rPr>
        <w:t>1</w:t>
      </w:r>
      <w:r w:rsidRPr="007A2D0C">
        <w:t>, Σκαμπάς Νικήτας - Μύρωνας</w:t>
      </w:r>
      <w:r w:rsidRPr="007A2D0C">
        <w:rPr>
          <w:vertAlign w:val="superscript"/>
        </w:rPr>
        <w:t>1</w:t>
      </w:r>
      <w:r w:rsidRPr="007A2D0C">
        <w:t>, Σταυρίδης Φώτιος</w:t>
      </w:r>
      <w:r w:rsidRPr="007A2D0C">
        <w:rPr>
          <w:vertAlign w:val="superscript"/>
        </w:rPr>
        <w:t>1</w:t>
      </w:r>
      <w:r w:rsidRPr="007A2D0C">
        <w:t>, Κουτίνας Χρήστος</w:t>
      </w:r>
      <w:r w:rsidRPr="007A2D0C">
        <w:rPr>
          <w:vertAlign w:val="superscript"/>
        </w:rPr>
        <w:t>2</w:t>
      </w:r>
    </w:p>
    <w:p w14:paraId="2746140F" w14:textId="77777777" w:rsidR="007A2D0C" w:rsidRPr="007A2D0C" w:rsidRDefault="007A2D0C" w:rsidP="007A2D0C">
      <w:pPr>
        <w:numPr>
          <w:ilvl w:val="0"/>
          <w:numId w:val="25"/>
        </w:numPr>
        <w:jc w:val="both"/>
      </w:pPr>
      <w:r w:rsidRPr="007A2D0C">
        <w:t>Προπτυχιακός/-ή φοιτητής/-τρια, Τμήμα Κτηνιατρικής, Σχολή Επιστημών Υγείας, Αριστοτέλειο Πανεπιστήμιο Θεσσαλονίκης</w:t>
      </w:r>
    </w:p>
    <w:p w14:paraId="467C38A6" w14:textId="77777777" w:rsidR="007A2D0C" w:rsidRPr="007A2D0C" w:rsidRDefault="007A2D0C" w:rsidP="007A2D0C">
      <w:pPr>
        <w:numPr>
          <w:ilvl w:val="0"/>
          <w:numId w:val="25"/>
        </w:numPr>
        <w:jc w:val="both"/>
      </w:pPr>
      <w:r w:rsidRPr="007A2D0C">
        <w:t>Αναπληρωτής Καθηγητής, Κλινική Ζώων Συντροφιάς, Τμήμα Κτηνιατρικής, Σχολή Επιστημών Υγείας, Αριστοτέλειο Πανεπιστήμιο Θεσσαλονίκης.</w:t>
      </w:r>
    </w:p>
    <w:p w14:paraId="269610CC" w14:textId="77777777" w:rsidR="007A2D0C" w:rsidRPr="007A2D0C" w:rsidRDefault="007A2D0C" w:rsidP="007A2D0C">
      <w:pPr>
        <w:jc w:val="both"/>
      </w:pPr>
    </w:p>
    <w:p w14:paraId="660F2970" w14:textId="77777777" w:rsidR="007A2D0C" w:rsidRPr="007A2D0C" w:rsidRDefault="007A2D0C" w:rsidP="007A2D0C">
      <w:pPr>
        <w:jc w:val="both"/>
      </w:pPr>
      <w:r w:rsidRPr="007A2D0C">
        <w:rPr>
          <w:b/>
          <w:bCs/>
        </w:rPr>
        <w:t>Περίληψη</w:t>
      </w:r>
    </w:p>
    <w:p w14:paraId="6EB5AAE4" w14:textId="77777777" w:rsidR="007A2D0C" w:rsidRPr="00CB3A31" w:rsidRDefault="007A2D0C" w:rsidP="007A2D0C">
      <w:pPr>
        <w:jc w:val="both"/>
      </w:pPr>
      <w:r w:rsidRPr="007A2D0C">
        <w:t>Η παρούσα εργασία παρουσιάζει την αξία σύγχρονων απεικονιστικών δεικτών στην εκτίμηση της καρδιακής λειτουργίας του σκύλου. Στόχος είναι η ανάδειξη δεικτών που προσφέρουν αντικειμενικότητα και επαναληψιμότητα στην καθημερινή κλινική πράξη, συνδυάζοντας ταχύτητα και ευκολία. Σε επίπεδο υπερηχοκαρδιογραφίας, ο δείκτης RPAD (Right Pulmonary Artery Distensibility), που ορίζεται ως η ποσοστιαία μεταβολή της διαμέτρου της δεξιάς πνευμονικής αρτηρίας μεταξύ συστολής και διαστολής, αποτελεί εργαλείο για τη διάγνωση της πνευμονικής υπέρτασης, προσφέροντας την δυνατότητα διάγνωσης, χωρίς την παρουσία διαφυγής από την τριγλώχινη βαλβίδα. Παράλληλα, η χρήση τoυ δείκτη LADi (Left Atrial Dimension Indexed) προτείνεται ως μια πιο αξιόπιστη εναλλακτική του λόγου LA/Ao για την εκτίμηση του αριστερού κόλπου, καθώς παρουσιάζει χαμηλότερη μεταβλητότητα μεταξύ μετρήσεων και σταθερή αλλομετρική συσχέτιση με το σωματικό βάρος. Τέλος, ο ακτινολογικός δείκτης VLAS (Vertebral Left Atrial Size) προσφέρει έναν ποσοτικό τρόπο αξιολόγησης της κολπικής διάτασης μέσω της θωρακικής ακτινογραφίας. Με τιμές αναφοράς &gt; 2.5 σπονδύλους, το VLAS αποτελεί έναν ισχυρό δείκτη για την διάγνωση της διάτασης του αριστερού κόλπου. Οι δείκτες που αναφέρονται έχουν την δυνατότητα να ενισχύσουν την διαγνωστική ικανότητα του κλινικού, καθώς προσφέρουν αυξημένη διαγνωστική ακρίβεια, περιορίζοντας τα σφάλματα που προκύπτουν από τη χρήση πολλαπλών μετρήσεων για τον υπολογισμό των φυσιολογικών ορίων.</w:t>
      </w:r>
    </w:p>
    <w:p w14:paraId="044B49F7" w14:textId="77777777" w:rsidR="007A2D0C" w:rsidRPr="00CB3A31" w:rsidRDefault="007A2D0C" w:rsidP="007A2D0C">
      <w:pPr>
        <w:jc w:val="both"/>
      </w:pPr>
    </w:p>
    <w:p w14:paraId="4A69DAAC" w14:textId="77777777" w:rsidR="007A2D0C" w:rsidRPr="007A2D0C" w:rsidRDefault="007A2D0C" w:rsidP="007A2D0C">
      <w:pPr>
        <w:jc w:val="both"/>
      </w:pPr>
      <w:r w:rsidRPr="007A2D0C">
        <w:rPr>
          <w:b/>
          <w:bCs/>
        </w:rPr>
        <w:t>Βιβλιογραφία:</w:t>
      </w:r>
    </w:p>
    <w:p w14:paraId="6E98F8AE" w14:textId="57613670" w:rsidR="007A2D0C" w:rsidRPr="00382DF1" w:rsidRDefault="007A2D0C" w:rsidP="007A2D0C">
      <w:pPr>
        <w:jc w:val="both"/>
        <w:rPr>
          <w:lang w:val="en-US"/>
        </w:rPr>
      </w:pPr>
      <w:r w:rsidRPr="007A2D0C">
        <w:t xml:space="preserve">Baisan, R. A., &amp; Vulpe, V. (2025). </w:t>
      </w:r>
      <w:r w:rsidRPr="00382DF1">
        <w:rPr>
          <w:i/>
          <w:iCs/>
          <w:lang w:val="en-US"/>
        </w:rPr>
        <w:t>Vertebral Heart Score and Vertebral Left Atrial Size as Radiographic Measurements for Cardiac Size in Dogs—A Literature Review.</w:t>
      </w:r>
      <w:r w:rsidRPr="00382DF1">
        <w:rPr>
          <w:lang w:val="en-US"/>
        </w:rPr>
        <w:t> </w:t>
      </w:r>
      <w:r w:rsidRPr="00382DF1">
        <w:rPr>
          <w:i/>
          <w:iCs/>
          <w:lang w:val="en-US"/>
        </w:rPr>
        <w:t>Animals</w:t>
      </w:r>
      <w:r w:rsidRPr="00382DF1">
        <w:rPr>
          <w:lang w:val="en-US"/>
        </w:rPr>
        <w:t>, </w:t>
      </w:r>
      <w:r w:rsidRPr="00382DF1">
        <w:rPr>
          <w:i/>
          <w:iCs/>
          <w:lang w:val="en-US"/>
        </w:rPr>
        <w:t>15</w:t>
      </w:r>
      <w:r w:rsidRPr="00382DF1">
        <w:rPr>
          <w:lang w:val="en-US"/>
        </w:rPr>
        <w:t>(5), 683. </w:t>
      </w:r>
    </w:p>
    <w:p w14:paraId="12D78D4F" w14:textId="477238E2" w:rsidR="007A2D0C" w:rsidRPr="00382DF1" w:rsidRDefault="007A2D0C" w:rsidP="007A2D0C">
      <w:pPr>
        <w:jc w:val="both"/>
        <w:rPr>
          <w:lang w:val="en-US"/>
        </w:rPr>
      </w:pPr>
      <w:r w:rsidRPr="00382DF1">
        <w:rPr>
          <w:lang w:val="en-US"/>
        </w:rPr>
        <w:t xml:space="preserve">Szatmári, V., Hofman, Z. M. M., van Bijsterveldt, N. J., Tellegen, A. R., &amp; Vilaplana Grosso, F. R. (2023). </w:t>
      </w:r>
      <w:r w:rsidRPr="00382DF1">
        <w:rPr>
          <w:i/>
          <w:iCs/>
          <w:lang w:val="en-US"/>
        </w:rPr>
        <w:t>A Novel Standardized Method for Aiding to Determine Left Atrial Enlargement on Lateral Thoracic Radiographs in Dogs</w:t>
      </w:r>
      <w:r w:rsidRPr="00382DF1">
        <w:rPr>
          <w:lang w:val="en-US"/>
        </w:rPr>
        <w:t>. </w:t>
      </w:r>
      <w:r w:rsidRPr="00382DF1">
        <w:rPr>
          <w:i/>
          <w:iCs/>
          <w:lang w:val="en-US"/>
        </w:rPr>
        <w:t>Animals</w:t>
      </w:r>
      <w:r w:rsidRPr="00382DF1">
        <w:rPr>
          <w:lang w:val="en-US"/>
        </w:rPr>
        <w:t>, </w:t>
      </w:r>
      <w:r w:rsidRPr="00382DF1">
        <w:rPr>
          <w:i/>
          <w:iCs/>
          <w:lang w:val="en-US"/>
        </w:rPr>
        <w:t>13</w:t>
      </w:r>
      <w:r w:rsidRPr="00382DF1">
        <w:rPr>
          <w:lang w:val="en-US"/>
        </w:rPr>
        <w:t>(13), 2178. </w:t>
      </w:r>
    </w:p>
    <w:p w14:paraId="3A2397C2" w14:textId="03FD19E9" w:rsidR="007A2D0C" w:rsidRPr="00382DF1" w:rsidRDefault="007A2D0C" w:rsidP="007A2D0C">
      <w:pPr>
        <w:jc w:val="both"/>
        <w:rPr>
          <w:lang w:val="en-US"/>
        </w:rPr>
      </w:pPr>
      <w:r w:rsidRPr="00382DF1">
        <w:rPr>
          <w:lang w:val="en-US"/>
        </w:rPr>
        <w:t xml:space="preserve">Akabane, R., Shimano, S., Sakatani, A., Ogawa, M., Nagakawa, M., Miyakawa, H., Miyagawa, Y., &amp; Takemura, N. (2019). </w:t>
      </w:r>
      <w:r w:rsidRPr="00382DF1">
        <w:rPr>
          <w:i/>
          <w:iCs/>
          <w:lang w:val="en-US"/>
        </w:rPr>
        <w:t>Relationship between right heart echocardiographic parameters and invasive pulmonary artery pressures in canine models of chronic embolic pulmonary hypertension</w:t>
      </w:r>
      <w:r w:rsidRPr="00382DF1">
        <w:rPr>
          <w:lang w:val="en-US"/>
        </w:rPr>
        <w:t xml:space="preserve">. </w:t>
      </w:r>
      <w:r w:rsidRPr="00382DF1">
        <w:rPr>
          <w:i/>
          <w:iCs/>
          <w:lang w:val="en-US"/>
        </w:rPr>
        <w:t>Journal of Veterinary Medical Science</w:t>
      </w:r>
      <w:r w:rsidRPr="00382DF1">
        <w:rPr>
          <w:lang w:val="en-US"/>
        </w:rPr>
        <w:t xml:space="preserve">, </w:t>
      </w:r>
      <w:r w:rsidRPr="00382DF1">
        <w:rPr>
          <w:i/>
          <w:iCs/>
          <w:lang w:val="en-US"/>
        </w:rPr>
        <w:t>81</w:t>
      </w:r>
      <w:r w:rsidRPr="00382DF1">
        <w:rPr>
          <w:lang w:val="en-US"/>
        </w:rPr>
        <w:t>(10), 1485–1491. </w:t>
      </w:r>
    </w:p>
    <w:p w14:paraId="33882D87" w14:textId="0A4775AE" w:rsidR="007A2D0C" w:rsidRPr="00382DF1" w:rsidRDefault="007A2D0C" w:rsidP="007A2D0C">
      <w:pPr>
        <w:jc w:val="both"/>
        <w:rPr>
          <w:lang w:val="en-US"/>
        </w:rPr>
      </w:pPr>
      <w:r w:rsidRPr="00382DF1">
        <w:rPr>
          <w:lang w:val="en-US"/>
        </w:rPr>
        <w:t>Grosso, G., Tognetti, R., Domenech, O., Della Pina, A., Marchesotti, F., Patata, V., &amp; Vezzosi, T. (2025).</w:t>
      </w:r>
      <w:r w:rsidRPr="00382DF1">
        <w:rPr>
          <w:i/>
          <w:iCs/>
          <w:lang w:val="en-US"/>
        </w:rPr>
        <w:t xml:space="preserve"> Echocardiographic evaluation of the size of the main pulmonary artery and right pulmonary artery in dogs with pulmonary hypertension</w:t>
      </w:r>
      <w:r w:rsidRPr="00382DF1">
        <w:rPr>
          <w:lang w:val="en-US"/>
        </w:rPr>
        <w:t xml:space="preserve">. </w:t>
      </w:r>
      <w:r w:rsidRPr="00382DF1">
        <w:rPr>
          <w:i/>
          <w:iCs/>
          <w:lang w:val="en-US"/>
        </w:rPr>
        <w:t>Journal of Veterinary Internal Medicine</w:t>
      </w:r>
      <w:r w:rsidRPr="00382DF1">
        <w:rPr>
          <w:lang w:val="en-US"/>
        </w:rPr>
        <w:t xml:space="preserve">, </w:t>
      </w:r>
      <w:r w:rsidRPr="00382DF1">
        <w:rPr>
          <w:i/>
          <w:iCs/>
          <w:lang w:val="en-US"/>
        </w:rPr>
        <w:t>39</w:t>
      </w:r>
      <w:r w:rsidRPr="00382DF1">
        <w:rPr>
          <w:lang w:val="en-US"/>
        </w:rPr>
        <w:t>(1), Article e17241.</w:t>
      </w:r>
    </w:p>
    <w:p w14:paraId="69E29FA0" w14:textId="727A3B52" w:rsidR="007A2D0C" w:rsidRPr="00382DF1" w:rsidRDefault="007A2D0C" w:rsidP="007A2D0C">
      <w:pPr>
        <w:jc w:val="both"/>
        <w:rPr>
          <w:lang w:val="en-US"/>
        </w:rPr>
      </w:pPr>
      <w:r w:rsidRPr="00382DF1">
        <w:rPr>
          <w:lang w:val="en-US"/>
        </w:rPr>
        <w:lastRenderedPageBreak/>
        <w:t xml:space="preserve">Grosso, G., Tognetti, R., Domenech, O., Marchesotti, F., Patata, V., &amp; Vezzosi, T. (2023). </w:t>
      </w:r>
      <w:r w:rsidRPr="00382DF1">
        <w:rPr>
          <w:i/>
          <w:iCs/>
          <w:lang w:val="en-US"/>
        </w:rPr>
        <w:t>Echocardiographic reference intervals of the dimensions of the main pulmonary artery and the right pulmonary artery: A prospective study in 269 healthy dogs.</w:t>
      </w:r>
      <w:r w:rsidRPr="00382DF1">
        <w:rPr>
          <w:lang w:val="en-US"/>
        </w:rPr>
        <w:t xml:space="preserve"> </w:t>
      </w:r>
      <w:r w:rsidRPr="00382DF1">
        <w:rPr>
          <w:i/>
          <w:iCs/>
          <w:lang w:val="en-US"/>
        </w:rPr>
        <w:t>Journal of Veterinary Cardiology</w:t>
      </w:r>
      <w:r w:rsidRPr="00382DF1">
        <w:rPr>
          <w:lang w:val="en-US"/>
        </w:rPr>
        <w:t xml:space="preserve">, </w:t>
      </w:r>
      <w:r w:rsidRPr="00382DF1">
        <w:rPr>
          <w:i/>
          <w:iCs/>
          <w:lang w:val="en-US"/>
        </w:rPr>
        <w:t>50</w:t>
      </w:r>
      <w:r w:rsidRPr="00382DF1">
        <w:rPr>
          <w:lang w:val="en-US"/>
        </w:rPr>
        <w:t>, 29–38. </w:t>
      </w:r>
    </w:p>
    <w:p w14:paraId="0649C476" w14:textId="5642B1F2" w:rsidR="007A2D0C" w:rsidRPr="00382DF1" w:rsidRDefault="007A2D0C" w:rsidP="007A2D0C">
      <w:pPr>
        <w:jc w:val="both"/>
        <w:rPr>
          <w:lang w:val="en-US"/>
        </w:rPr>
      </w:pPr>
      <w:r w:rsidRPr="00382DF1">
        <w:rPr>
          <w:lang w:val="en-US"/>
        </w:rPr>
        <w:t xml:space="preserve">Hsue, W., &amp; Visser, L. C. (2020). </w:t>
      </w:r>
      <w:r w:rsidRPr="00382DF1">
        <w:rPr>
          <w:i/>
          <w:iCs/>
          <w:lang w:val="en-US"/>
        </w:rPr>
        <w:t>Reproducibility of echocardiographic indices of left atrial size in dogs with subclinical myxomatous mitral valve disease.</w:t>
      </w:r>
      <w:r w:rsidRPr="00382DF1">
        <w:rPr>
          <w:lang w:val="en-US"/>
        </w:rPr>
        <w:t xml:space="preserve"> </w:t>
      </w:r>
      <w:r w:rsidRPr="00382DF1">
        <w:rPr>
          <w:i/>
          <w:iCs/>
          <w:lang w:val="en-US"/>
        </w:rPr>
        <w:t>Journal of Veterinary Internal Medicine</w:t>
      </w:r>
      <w:r w:rsidRPr="00382DF1">
        <w:rPr>
          <w:lang w:val="en-US"/>
        </w:rPr>
        <w:t xml:space="preserve">, </w:t>
      </w:r>
      <w:r w:rsidRPr="00382DF1">
        <w:rPr>
          <w:i/>
          <w:iCs/>
          <w:lang w:val="en-US"/>
        </w:rPr>
        <w:t>34</w:t>
      </w:r>
      <w:r w:rsidRPr="00382DF1">
        <w:rPr>
          <w:lang w:val="en-US"/>
        </w:rPr>
        <w:t xml:space="preserve">(5), 1779–1786. Marchesotti, F., Vezzosi, T., Tognetti, R., Marchetti, F., Patata, V., Contiero, B., Zini, E., &amp; Domenech, O. (2019). </w:t>
      </w:r>
      <w:r w:rsidRPr="00382DF1">
        <w:rPr>
          <w:i/>
          <w:iCs/>
          <w:lang w:val="en-US"/>
        </w:rPr>
        <w:t>Left atrial anteroposterior diameter in dogs: Reference interval, allometric scaling, and agreement with the left atrial-to-aortic root ratio</w:t>
      </w:r>
      <w:r w:rsidRPr="00382DF1">
        <w:rPr>
          <w:lang w:val="en-US"/>
        </w:rPr>
        <w:t xml:space="preserve">. </w:t>
      </w:r>
      <w:r w:rsidRPr="00382DF1">
        <w:rPr>
          <w:i/>
          <w:iCs/>
          <w:lang w:val="en-US"/>
        </w:rPr>
        <w:t>Journal of Veterinary Medical Science</w:t>
      </w:r>
      <w:r w:rsidRPr="00382DF1">
        <w:rPr>
          <w:lang w:val="en-US"/>
        </w:rPr>
        <w:t xml:space="preserve">, </w:t>
      </w:r>
      <w:r w:rsidRPr="00382DF1">
        <w:rPr>
          <w:i/>
          <w:iCs/>
          <w:lang w:val="en-US"/>
        </w:rPr>
        <w:t>81</w:t>
      </w:r>
      <w:r w:rsidRPr="00382DF1">
        <w:rPr>
          <w:lang w:val="en-US"/>
        </w:rPr>
        <w:t>(11), 1655–1662. </w:t>
      </w:r>
    </w:p>
    <w:p w14:paraId="1945E008" w14:textId="57B1862D" w:rsidR="007A2D0C" w:rsidRPr="00382DF1" w:rsidRDefault="007A2D0C" w:rsidP="007A2D0C">
      <w:pPr>
        <w:jc w:val="both"/>
        <w:rPr>
          <w:lang w:val="en-US"/>
        </w:rPr>
      </w:pPr>
      <w:r w:rsidRPr="00382DF1">
        <w:rPr>
          <w:lang w:val="en-US"/>
        </w:rPr>
        <w:t xml:space="preserve">Matos, J. I., Caro-Vadillo, A., Mohr-Peraza, E., García-Rodríguez, S. N., Montoya-Alonso, J. A., &amp; Carretón, E. (2025). </w:t>
      </w:r>
      <w:r w:rsidRPr="00382DF1">
        <w:rPr>
          <w:i/>
          <w:iCs/>
          <w:lang w:val="en-US"/>
        </w:rPr>
        <w:t>Comparative Echocardiographic Evaluation of Right Pulmonary Artery Dimensions and Right Pulmonary Artery Distensibility Index in Dogs with Heartworm Disease</w:t>
      </w:r>
      <w:r w:rsidRPr="00382DF1">
        <w:rPr>
          <w:lang w:val="en-US"/>
        </w:rPr>
        <w:t>. </w:t>
      </w:r>
      <w:r w:rsidRPr="00382DF1">
        <w:rPr>
          <w:i/>
          <w:iCs/>
          <w:lang w:val="en-US"/>
        </w:rPr>
        <w:t>Veterinary Sciences</w:t>
      </w:r>
      <w:r w:rsidRPr="00382DF1">
        <w:rPr>
          <w:lang w:val="en-US"/>
        </w:rPr>
        <w:t>, </w:t>
      </w:r>
      <w:r w:rsidRPr="00382DF1">
        <w:rPr>
          <w:i/>
          <w:iCs/>
          <w:lang w:val="en-US"/>
        </w:rPr>
        <w:t>12</w:t>
      </w:r>
      <w:r w:rsidRPr="00382DF1">
        <w:rPr>
          <w:lang w:val="en-US"/>
        </w:rPr>
        <w:t>(3), 246. </w:t>
      </w:r>
    </w:p>
    <w:p w14:paraId="0F51FAB7" w14:textId="50755074" w:rsidR="007A2D0C" w:rsidRPr="00382DF1" w:rsidRDefault="007A2D0C" w:rsidP="007A2D0C">
      <w:pPr>
        <w:jc w:val="both"/>
        <w:rPr>
          <w:lang w:val="fr-FR"/>
        </w:rPr>
      </w:pPr>
      <w:r w:rsidRPr="00382DF1">
        <w:rPr>
          <w:lang w:val="en-US"/>
        </w:rPr>
        <w:t xml:space="preserve">Serrano-Parreño, B., Carretón, E., Caro-Vadillo, A., Falcón-Cordón, Y., Falcón-Cordón, S., &amp; Montoya-Alonso, J. A. (2017). </w:t>
      </w:r>
      <w:r w:rsidRPr="00382DF1">
        <w:rPr>
          <w:i/>
          <w:iCs/>
          <w:lang w:val="en-US"/>
        </w:rPr>
        <w:t>Evaluation of pulmonary hypertension and clinical status in dogs with heartworm by Right Pulmonary Artery Distensibility Index and other echocardiographic parameters</w:t>
      </w:r>
      <w:r w:rsidRPr="00382DF1">
        <w:rPr>
          <w:lang w:val="en-US"/>
        </w:rPr>
        <w:t xml:space="preserve">. </w:t>
      </w:r>
      <w:r w:rsidRPr="00382DF1">
        <w:rPr>
          <w:i/>
          <w:iCs/>
          <w:lang w:val="fr-FR"/>
        </w:rPr>
        <w:t>Parasites &amp; Vectors</w:t>
      </w:r>
      <w:r w:rsidRPr="00382DF1">
        <w:rPr>
          <w:lang w:val="fr-FR"/>
        </w:rPr>
        <w:t xml:space="preserve">, </w:t>
      </w:r>
      <w:r w:rsidRPr="00382DF1">
        <w:rPr>
          <w:i/>
          <w:iCs/>
          <w:lang w:val="fr-FR"/>
        </w:rPr>
        <w:t>10</w:t>
      </w:r>
      <w:r w:rsidRPr="00382DF1">
        <w:rPr>
          <w:lang w:val="fr-FR"/>
        </w:rPr>
        <w:t>(1), Article 106. </w:t>
      </w:r>
    </w:p>
    <w:p w14:paraId="7FC6FBC0" w14:textId="3F9C3F64" w:rsidR="007A2D0C" w:rsidRPr="00382DF1" w:rsidRDefault="007A2D0C" w:rsidP="007A2D0C">
      <w:pPr>
        <w:jc w:val="both"/>
        <w:rPr>
          <w:lang w:val="en-US"/>
        </w:rPr>
      </w:pPr>
      <w:r w:rsidRPr="00382DF1">
        <w:rPr>
          <w:lang w:val="fr-FR"/>
        </w:rPr>
        <w:t xml:space="preserve">Venco, L., Mihaylova, L., &amp; Boon, J. A. (2014). </w:t>
      </w:r>
      <w:r w:rsidRPr="00382DF1">
        <w:rPr>
          <w:lang w:val="en-US"/>
        </w:rPr>
        <w:t xml:space="preserve">Right Pulmonary Artery Distensibility Index (RPAD Index). </w:t>
      </w:r>
      <w:r w:rsidRPr="00382DF1">
        <w:rPr>
          <w:i/>
          <w:iCs/>
          <w:lang w:val="en-US"/>
        </w:rPr>
        <w:t>A field study of an echocardiographic method to detect early development of pulmonary hypertension and its severity even in the absence of regurgitant jets for Doppler evaluation in heartworm-infected dogs</w:t>
      </w:r>
      <w:r w:rsidRPr="00382DF1">
        <w:rPr>
          <w:lang w:val="en-US"/>
        </w:rPr>
        <w:t xml:space="preserve">. </w:t>
      </w:r>
      <w:r w:rsidRPr="00382DF1">
        <w:rPr>
          <w:i/>
          <w:iCs/>
          <w:lang w:val="en-US"/>
        </w:rPr>
        <w:t>Veterinary Parasitology</w:t>
      </w:r>
      <w:r w:rsidRPr="00382DF1">
        <w:rPr>
          <w:lang w:val="en-US"/>
        </w:rPr>
        <w:t xml:space="preserve">, </w:t>
      </w:r>
      <w:r w:rsidRPr="00382DF1">
        <w:rPr>
          <w:i/>
          <w:iCs/>
          <w:lang w:val="en-US"/>
        </w:rPr>
        <w:t>206</w:t>
      </w:r>
      <w:r w:rsidRPr="00382DF1">
        <w:rPr>
          <w:lang w:val="en-US"/>
        </w:rPr>
        <w:t>(1–2), 60–66. </w:t>
      </w:r>
    </w:p>
    <w:p w14:paraId="2C5CA402" w14:textId="6838C394" w:rsidR="007A2D0C" w:rsidRPr="00382DF1" w:rsidRDefault="007A2D0C" w:rsidP="007A2D0C">
      <w:pPr>
        <w:jc w:val="both"/>
        <w:rPr>
          <w:lang w:val="en-US"/>
        </w:rPr>
      </w:pPr>
      <w:r w:rsidRPr="00382DF1">
        <w:rPr>
          <w:lang w:val="en-US"/>
        </w:rPr>
        <w:t xml:space="preserve">Vezzosi, T., Domenech, O., Costa, G., Marchesotti, F., Venco, L., Zini, E., Fernández del Palacio, M. J., &amp; Tognetti, R. (2018). </w:t>
      </w:r>
      <w:r w:rsidRPr="00382DF1">
        <w:rPr>
          <w:i/>
          <w:iCs/>
          <w:lang w:val="en-US"/>
        </w:rPr>
        <w:t>Echocardiographic evaluation of the right ventricular dimension and systolic function in dogs with pulmonary hypertension</w:t>
      </w:r>
      <w:r w:rsidRPr="00382DF1">
        <w:rPr>
          <w:lang w:val="en-US"/>
        </w:rPr>
        <w:t xml:space="preserve">. </w:t>
      </w:r>
      <w:r w:rsidRPr="00382DF1">
        <w:rPr>
          <w:i/>
          <w:iCs/>
          <w:lang w:val="en-US"/>
        </w:rPr>
        <w:t>Journal of Veterinary Internal Medicine</w:t>
      </w:r>
      <w:r w:rsidRPr="00382DF1">
        <w:rPr>
          <w:lang w:val="en-US"/>
        </w:rPr>
        <w:t xml:space="preserve">, </w:t>
      </w:r>
      <w:r w:rsidRPr="00382DF1">
        <w:rPr>
          <w:i/>
          <w:iCs/>
          <w:lang w:val="en-US"/>
        </w:rPr>
        <w:t>32</w:t>
      </w:r>
      <w:r w:rsidRPr="00382DF1">
        <w:rPr>
          <w:lang w:val="en-US"/>
        </w:rPr>
        <w:t>(5), 1541–1548.</w:t>
      </w:r>
    </w:p>
    <w:p w14:paraId="790CA01D" w14:textId="77777777" w:rsidR="007A2D0C" w:rsidRPr="00CB3A31" w:rsidRDefault="007A2D0C" w:rsidP="007A2D0C">
      <w:pPr>
        <w:jc w:val="both"/>
      </w:pPr>
      <w:r w:rsidRPr="00382DF1">
        <w:rPr>
          <w:lang w:val="en-US"/>
        </w:rPr>
        <w:t xml:space="preserve">Visser, L. C., Im, M. K., Johnson, L. R., &amp; Stern, J. A. (2016). </w:t>
      </w:r>
      <w:r w:rsidRPr="00382DF1">
        <w:rPr>
          <w:i/>
          <w:iCs/>
          <w:lang w:val="en-US"/>
        </w:rPr>
        <w:t>Diagnostic value of right pulmonary artery distensibility index in dogs with pulmonary hypertension: Comparison with Doppler echocardiographic estimates of pulmonary arterial pressure</w:t>
      </w:r>
      <w:r w:rsidRPr="00382DF1">
        <w:rPr>
          <w:lang w:val="en-US"/>
        </w:rPr>
        <w:t xml:space="preserve">. </w:t>
      </w:r>
      <w:r w:rsidRPr="007A2D0C">
        <w:rPr>
          <w:i/>
          <w:iCs/>
        </w:rPr>
        <w:t>Journal</w:t>
      </w:r>
      <w:r w:rsidRPr="00CB3A31">
        <w:rPr>
          <w:i/>
          <w:iCs/>
        </w:rPr>
        <w:t xml:space="preserve"> </w:t>
      </w:r>
      <w:r w:rsidRPr="007A2D0C">
        <w:rPr>
          <w:i/>
          <w:iCs/>
        </w:rPr>
        <w:t>of</w:t>
      </w:r>
      <w:r w:rsidRPr="00CB3A31">
        <w:rPr>
          <w:i/>
          <w:iCs/>
        </w:rPr>
        <w:t xml:space="preserve"> </w:t>
      </w:r>
      <w:r w:rsidRPr="007A2D0C">
        <w:rPr>
          <w:i/>
          <w:iCs/>
        </w:rPr>
        <w:t>Veterinary</w:t>
      </w:r>
      <w:r w:rsidRPr="00CB3A31">
        <w:rPr>
          <w:i/>
          <w:iCs/>
        </w:rPr>
        <w:t xml:space="preserve"> </w:t>
      </w:r>
      <w:r w:rsidRPr="007A2D0C">
        <w:rPr>
          <w:i/>
          <w:iCs/>
        </w:rPr>
        <w:t>Internal</w:t>
      </w:r>
      <w:r w:rsidRPr="00CB3A31">
        <w:rPr>
          <w:i/>
          <w:iCs/>
        </w:rPr>
        <w:t xml:space="preserve"> </w:t>
      </w:r>
      <w:r w:rsidRPr="007A2D0C">
        <w:rPr>
          <w:i/>
          <w:iCs/>
        </w:rPr>
        <w:t>Medicine</w:t>
      </w:r>
      <w:r w:rsidRPr="00CB3A31">
        <w:t xml:space="preserve">, </w:t>
      </w:r>
      <w:r w:rsidRPr="00CB3A31">
        <w:rPr>
          <w:i/>
          <w:iCs/>
        </w:rPr>
        <w:t>30</w:t>
      </w:r>
      <w:r w:rsidRPr="00CB3A31">
        <w:t xml:space="preserve">(2), 543–552. </w:t>
      </w:r>
    </w:p>
    <w:p w14:paraId="6DB673BC" w14:textId="1CD2FDA1" w:rsidR="007A2D0C" w:rsidRPr="00CB3A31" w:rsidRDefault="0079315E" w:rsidP="0079315E">
      <w:pPr>
        <w:jc w:val="both"/>
      </w:pPr>
      <w:r w:rsidRPr="00CB3A31">
        <w:br/>
      </w:r>
      <w:r w:rsidRPr="00CB3A31">
        <w:br/>
      </w:r>
      <w:r w:rsidRPr="00CB3A31">
        <w:br/>
      </w:r>
    </w:p>
    <w:p w14:paraId="6558B817" w14:textId="77777777" w:rsidR="007A2D0C" w:rsidRPr="00CB3A31" w:rsidRDefault="007A2D0C">
      <w:r w:rsidRPr="00CB3A31">
        <w:br w:type="page"/>
      </w:r>
    </w:p>
    <w:p w14:paraId="107B0986" w14:textId="0107D8E5" w:rsidR="007A2D0C" w:rsidRPr="007A2D0C" w:rsidRDefault="007A2D0C" w:rsidP="007A2D0C">
      <w:pPr>
        <w:jc w:val="both"/>
      </w:pPr>
      <w:r w:rsidRPr="007A2D0C">
        <w:rPr>
          <w:b/>
          <w:bCs/>
        </w:rPr>
        <w:lastRenderedPageBreak/>
        <w:t>Νόσος του ράμφους και του πτερώματος των ψιττακόμορφων: Κλινική προσέγγιση, διαγνωστικές επιλογές και πρακτική αντιμετώπιση</w:t>
      </w:r>
    </w:p>
    <w:p w14:paraId="5B292368" w14:textId="77777777" w:rsidR="007A2D0C" w:rsidRPr="007A2D0C" w:rsidRDefault="007A2D0C" w:rsidP="007A2D0C">
      <w:pPr>
        <w:jc w:val="both"/>
      </w:pPr>
      <w:r w:rsidRPr="007A2D0C">
        <w:t>Κουραντής Άγγελος</w:t>
      </w:r>
      <w:r w:rsidRPr="007A2D0C">
        <w:rPr>
          <w:vertAlign w:val="superscript"/>
        </w:rPr>
        <w:t>1</w:t>
      </w:r>
      <w:r w:rsidRPr="007A2D0C">
        <w:t>, Μάντζιος Τηλέμαχος</w:t>
      </w:r>
      <w:r w:rsidRPr="007A2D0C">
        <w:rPr>
          <w:vertAlign w:val="superscript"/>
        </w:rPr>
        <w:t>2</w:t>
      </w:r>
      <w:r w:rsidRPr="007A2D0C">
        <w:t>, Tσιούρης Βασίλειος</w:t>
      </w:r>
      <w:r w:rsidRPr="007A2D0C">
        <w:rPr>
          <w:vertAlign w:val="superscript"/>
        </w:rPr>
        <w:t>3</w:t>
      </w:r>
    </w:p>
    <w:p w14:paraId="544042CB" w14:textId="77777777" w:rsidR="007A2D0C" w:rsidRPr="007A2D0C" w:rsidRDefault="007A2D0C" w:rsidP="007A2D0C">
      <w:pPr>
        <w:numPr>
          <w:ilvl w:val="0"/>
          <w:numId w:val="26"/>
        </w:numPr>
        <w:jc w:val="both"/>
      </w:pPr>
      <w:r w:rsidRPr="007A2D0C">
        <w:t>Προπτυχιακός Φοιτητής, Τμήμα Κτηνιατρικής, Σχολή Επιστημών Υγείας, Αριστοτέλειο Πανεπιστήμιο Θεσσαλονίκης</w:t>
      </w:r>
    </w:p>
    <w:p w14:paraId="404F42CF" w14:textId="77777777" w:rsidR="007A2D0C" w:rsidRPr="007A2D0C" w:rsidRDefault="007A2D0C" w:rsidP="007A2D0C">
      <w:pPr>
        <w:numPr>
          <w:ilvl w:val="0"/>
          <w:numId w:val="26"/>
        </w:numPr>
        <w:jc w:val="both"/>
      </w:pPr>
      <w:r w:rsidRPr="007A2D0C">
        <w:t>Μεταδιδακτορικός ερευνητής Παθολογίας Πτηνών, Τμήμα Κτηνιατρικής, Σχολή Επιστημών Υγείας, Αριστοτέλειο Πανεπιστήμιο Θεσσαλονίκης </w:t>
      </w:r>
    </w:p>
    <w:p w14:paraId="3BC2C99B" w14:textId="77777777" w:rsidR="007A2D0C" w:rsidRPr="007A2D0C" w:rsidRDefault="007A2D0C" w:rsidP="007A2D0C">
      <w:pPr>
        <w:numPr>
          <w:ilvl w:val="0"/>
          <w:numId w:val="26"/>
        </w:numPr>
        <w:jc w:val="both"/>
      </w:pPr>
      <w:r w:rsidRPr="007A2D0C">
        <w:t>Καθηγητής Παθολογίας Πτηνών, Τμήμα Κτηνιατρικής, Σχολή Επιστημών Υγείας, Αριστοτέλειο Πανεπιστήμιο Θεσσαλονίκης</w:t>
      </w:r>
    </w:p>
    <w:p w14:paraId="3ABD00F2" w14:textId="77777777" w:rsidR="007A2D0C" w:rsidRPr="007A2D0C" w:rsidRDefault="007A2D0C" w:rsidP="007A2D0C">
      <w:pPr>
        <w:jc w:val="both"/>
      </w:pPr>
    </w:p>
    <w:p w14:paraId="7FDA223F" w14:textId="77777777" w:rsidR="007A2D0C" w:rsidRPr="007A2D0C" w:rsidRDefault="007A2D0C" w:rsidP="007A2D0C">
      <w:pPr>
        <w:jc w:val="both"/>
      </w:pPr>
      <w:r w:rsidRPr="007A2D0C">
        <w:rPr>
          <w:b/>
          <w:bCs/>
        </w:rPr>
        <w:t>Περίληψη</w:t>
      </w:r>
    </w:p>
    <w:p w14:paraId="6E60BF06" w14:textId="77777777" w:rsidR="007A2D0C" w:rsidRPr="007A2D0C" w:rsidRDefault="007A2D0C" w:rsidP="007A2D0C">
      <w:pPr>
        <w:jc w:val="both"/>
      </w:pPr>
      <w:r w:rsidRPr="007A2D0C">
        <w:t> Η νόσος του ράμφους και του πτερώματος των ψιττακόμορφων (PBFD) αποτελεί ένα από τα σημαντικότερα ιογενή νοσήματα που προσβάλλουν τα ψιττακόμορφα, με αυξανόμενη σημασία για την κλινική πράξη. Το ενδιαφέρον της επιστημονικής κοινότητας εντείνεται, καθώς το φάσμα των ξενιστών φαίνεται να διευρύνεται συνεχώς. Ο υπεύθυνος ιός, πέρα από την έντονη κυτταροπαθογόνο και ανοσοκατασταλτική του δράση, χαρακτηρίζεται από υψηλή περιβαλλοντική ανθεκτικότητα, γεγονός που δυσχεραίνει τον έλεγχο της μετάδοσης και ενισχύει τη σημασία της επιζωοτιολογικής του μελέτης. Η διάγνωση βασίζεται σε σύγχρονες εργαστηριακές μεθόδους, σε συνδυασμό με την κλινική εικόνα, ενώ η διαχείριση της νόσου παραμένει κυρίως υποστηρικτική και προληπτική. Οι κτηνίατροι καλούνται να αντιμετωπίσουν αποτελεσματικά το νόσημα, λαμβάνοντας υπόψη και ανθρωπογενείς παράγοντες που φαίνεται να επηρεάζουν τη διασπορά του, όπως η αποψίλωση των δασών, η παγκοσμιοποίηση, η κλιματική αλλαγή και το παράνομο εμπόριο άγριων πτηνών.</w:t>
      </w:r>
    </w:p>
    <w:p w14:paraId="108D3800" w14:textId="77777777" w:rsidR="007A2D0C" w:rsidRPr="007A2D0C" w:rsidRDefault="007A2D0C" w:rsidP="007A2D0C">
      <w:pPr>
        <w:jc w:val="both"/>
      </w:pPr>
    </w:p>
    <w:p w14:paraId="14AA245B" w14:textId="77777777" w:rsidR="007A2D0C" w:rsidRPr="00382DF1" w:rsidRDefault="007A2D0C" w:rsidP="007A2D0C">
      <w:pPr>
        <w:jc w:val="both"/>
        <w:rPr>
          <w:lang w:val="en-US"/>
        </w:rPr>
      </w:pPr>
      <w:r w:rsidRPr="007A2D0C">
        <w:rPr>
          <w:b/>
          <w:bCs/>
        </w:rPr>
        <w:t>Βιβλιογραφία</w:t>
      </w:r>
      <w:r w:rsidRPr="00382DF1">
        <w:rPr>
          <w:b/>
          <w:bCs/>
          <w:lang w:val="en-US"/>
        </w:rPr>
        <w:t> </w:t>
      </w:r>
    </w:p>
    <w:p w14:paraId="0F27F55E" w14:textId="58526A51" w:rsidR="007A2D0C" w:rsidRPr="00382DF1" w:rsidRDefault="007A2D0C" w:rsidP="007A2D0C">
      <w:pPr>
        <w:jc w:val="both"/>
        <w:rPr>
          <w:lang w:val="en-US"/>
        </w:rPr>
      </w:pPr>
      <w:r w:rsidRPr="00382DF1">
        <w:rPr>
          <w:lang w:val="en-US"/>
        </w:rPr>
        <w:t xml:space="preserve">Kang, E. G., Han, J. H., Shim, Y. J., Lee, D. N., Choi, K. S., &amp; Yeon, S. C. (2025). </w:t>
      </w:r>
      <w:r w:rsidRPr="00382DF1">
        <w:rPr>
          <w:i/>
          <w:iCs/>
          <w:lang w:val="en-US"/>
        </w:rPr>
        <w:t>Psittacine beak and feather disease: Global spread, international trade, and conservation challenges. Animals, 15</w:t>
      </w:r>
      <w:r w:rsidRPr="00382DF1">
        <w:rPr>
          <w:lang w:val="en-US"/>
        </w:rPr>
        <w:t>(20), 2947.</w:t>
      </w:r>
    </w:p>
    <w:p w14:paraId="1E9D11CF" w14:textId="6CC58974" w:rsidR="007A2D0C" w:rsidRPr="00382DF1" w:rsidRDefault="007A2D0C" w:rsidP="007A2D0C">
      <w:pPr>
        <w:jc w:val="both"/>
        <w:rPr>
          <w:lang w:val="en-US"/>
        </w:rPr>
      </w:pPr>
      <w:r w:rsidRPr="00382DF1">
        <w:rPr>
          <w:lang w:val="en-US"/>
        </w:rPr>
        <w:t xml:space="preserve">Olivares, R. W. I., Bass, L. G., Sáenz-Bräutigam, A., Sandí-Carmiol, J., Villada-Rosales, A. M., Dolz, G., Solórzano-Morales, A., Zúniga-Moya, M. J., Granados-Solano, R., McHale, B., Zúñiga-Cortés, D. S., &amp; Uzal, F. A. (2025). </w:t>
      </w:r>
      <w:r w:rsidRPr="00382DF1">
        <w:rPr>
          <w:i/>
          <w:iCs/>
          <w:lang w:val="en-US"/>
        </w:rPr>
        <w:t>Psittacine beak and feather disease in 2 free-living great green macaws: A case report and literature review. Journal of Veterinary Diagnostic Investigation, 37</w:t>
      </w:r>
      <w:r w:rsidRPr="00382DF1">
        <w:rPr>
          <w:lang w:val="en-US"/>
        </w:rPr>
        <w:t>(4), 666–673. </w:t>
      </w:r>
    </w:p>
    <w:p w14:paraId="0AC0F1E4" w14:textId="77777777" w:rsidR="007A2D0C" w:rsidRPr="007A2D0C" w:rsidRDefault="007A2D0C" w:rsidP="007A2D0C">
      <w:pPr>
        <w:jc w:val="both"/>
      </w:pPr>
      <w:r w:rsidRPr="00382DF1">
        <w:rPr>
          <w:lang w:val="en-US"/>
        </w:rPr>
        <w:t xml:space="preserve">Raidal, S. R., Sarker, S., &amp; Peters, A. (2015). </w:t>
      </w:r>
      <w:r w:rsidRPr="00382DF1">
        <w:rPr>
          <w:i/>
          <w:iCs/>
          <w:lang w:val="en-US"/>
        </w:rPr>
        <w:t>Review of psittacine beak and feather disease and its effect on Australian endangered species.</w:t>
      </w:r>
      <w:r w:rsidRPr="00382DF1">
        <w:rPr>
          <w:lang w:val="en-US"/>
        </w:rPr>
        <w:t xml:space="preserve"> </w:t>
      </w:r>
      <w:r w:rsidRPr="007A2D0C">
        <w:rPr>
          <w:i/>
          <w:iCs/>
        </w:rPr>
        <w:t>Australian Veterinary Journal, 93</w:t>
      </w:r>
      <w:r w:rsidRPr="007A2D0C">
        <w:t>(12), 466–470.</w:t>
      </w:r>
    </w:p>
    <w:p w14:paraId="270C7A71" w14:textId="77777777" w:rsidR="007A2D0C" w:rsidRPr="00CB3A31" w:rsidRDefault="007A2D0C" w:rsidP="007A2D0C">
      <w:pPr>
        <w:jc w:val="both"/>
      </w:pPr>
    </w:p>
    <w:p w14:paraId="68FEEE8B" w14:textId="77777777" w:rsidR="007A2D0C" w:rsidRPr="00CB3A31" w:rsidRDefault="007A2D0C" w:rsidP="007A2D0C">
      <w:pPr>
        <w:jc w:val="both"/>
      </w:pPr>
    </w:p>
    <w:p w14:paraId="3047AF0D" w14:textId="77777777" w:rsidR="007A2D0C" w:rsidRPr="00CB3A31" w:rsidRDefault="007A2D0C" w:rsidP="007A2D0C">
      <w:pPr>
        <w:jc w:val="both"/>
      </w:pPr>
    </w:p>
    <w:p w14:paraId="046BC9D6" w14:textId="77777777" w:rsidR="007A2D0C" w:rsidRPr="00CB3A31" w:rsidRDefault="007A2D0C" w:rsidP="007A2D0C">
      <w:pPr>
        <w:jc w:val="both"/>
      </w:pPr>
    </w:p>
    <w:p w14:paraId="24C206E3" w14:textId="242F05E9" w:rsidR="007A2D0C" w:rsidRPr="007A2D0C" w:rsidRDefault="007A2D0C" w:rsidP="007A2D0C">
      <w:pPr>
        <w:jc w:val="both"/>
      </w:pPr>
      <w:r w:rsidRPr="007A2D0C">
        <w:rPr>
          <w:b/>
          <w:bCs/>
        </w:rPr>
        <w:lastRenderedPageBreak/>
        <w:t>Αόρατες απειλές: Ζωοανθρωπονόσοι των κατοικίδιων ερπετών</w:t>
      </w:r>
    </w:p>
    <w:p w14:paraId="428EF108" w14:textId="77777777" w:rsidR="007A2D0C" w:rsidRPr="007A2D0C" w:rsidRDefault="007A2D0C" w:rsidP="007A2D0C">
      <w:pPr>
        <w:jc w:val="both"/>
      </w:pPr>
      <w:r w:rsidRPr="007A2D0C">
        <w:t>Οικονόμου Γεώργιος</w:t>
      </w:r>
      <w:r w:rsidRPr="007A2D0C">
        <w:rPr>
          <w:vertAlign w:val="superscript"/>
        </w:rPr>
        <w:t>1</w:t>
      </w:r>
      <w:r w:rsidRPr="007A2D0C">
        <w:t>, Κομνηνού Αναστασία</w:t>
      </w:r>
      <w:r w:rsidRPr="007A2D0C">
        <w:rPr>
          <w:vertAlign w:val="superscript"/>
        </w:rPr>
        <w:t>2   </w:t>
      </w:r>
    </w:p>
    <w:p w14:paraId="00C18D16" w14:textId="77777777" w:rsidR="007A2D0C" w:rsidRPr="007A2D0C" w:rsidRDefault="007A2D0C" w:rsidP="007A2D0C">
      <w:pPr>
        <w:numPr>
          <w:ilvl w:val="0"/>
          <w:numId w:val="27"/>
        </w:numPr>
        <w:jc w:val="both"/>
      </w:pPr>
      <w:r w:rsidRPr="007A2D0C">
        <w:t>Προπτυχιακός φοιτητής, Τμήμα Κτηνιατρικής, Σχολή Επιστημών Υγείας, Αριστοτέλειο Πανεπιστήμιο Θεσσαλονίκης</w:t>
      </w:r>
    </w:p>
    <w:p w14:paraId="1C4E3BEB" w14:textId="77777777" w:rsidR="007A2D0C" w:rsidRPr="007A2D0C" w:rsidRDefault="007A2D0C" w:rsidP="007A2D0C">
      <w:pPr>
        <w:numPr>
          <w:ilvl w:val="0"/>
          <w:numId w:val="27"/>
        </w:numPr>
        <w:jc w:val="both"/>
      </w:pPr>
      <w:r w:rsidRPr="007A2D0C">
        <w:t>Καθηγήτρια, Σχολή Επιστημών Υγείας, Τμήμα Κτηνιατρικής, Αριστοτέλειο Πανεπιστήμιο Θεσσαλονίκης</w:t>
      </w:r>
    </w:p>
    <w:p w14:paraId="6CE2CB14" w14:textId="77777777" w:rsidR="007A2D0C" w:rsidRPr="007A2D0C" w:rsidRDefault="007A2D0C" w:rsidP="007A2D0C">
      <w:pPr>
        <w:ind w:left="720"/>
        <w:jc w:val="both"/>
      </w:pPr>
    </w:p>
    <w:p w14:paraId="005D5F52" w14:textId="77777777" w:rsidR="007A2D0C" w:rsidRPr="007A2D0C" w:rsidRDefault="007A2D0C" w:rsidP="007A2D0C">
      <w:pPr>
        <w:jc w:val="both"/>
      </w:pPr>
      <w:r w:rsidRPr="007A2D0C">
        <w:rPr>
          <w:b/>
          <w:bCs/>
        </w:rPr>
        <w:t>Περίληψη</w:t>
      </w:r>
    </w:p>
    <w:p w14:paraId="191E8D91" w14:textId="77777777" w:rsidR="007A2D0C" w:rsidRPr="007A2D0C" w:rsidRDefault="007A2D0C" w:rsidP="007A2D0C">
      <w:pPr>
        <w:jc w:val="both"/>
      </w:pPr>
      <w:r w:rsidRPr="007A2D0C">
        <w:t xml:space="preserve">Τα τελευταία έτη παρατηρείται διεθνώς αυξανόμενο ενδιαφέρον για τη διατήρηση ερπετών ως κατοικίδιων ζώων, μια τάση που υπερβαίνει τις καθιερωμένες επιλογές, όπως ο σκύλος και η γάτα. Τα ερπετά που διατηρούνται ως κατοικίδια περιλαμβάνουν κυρίως είδη της τάξης Squamata (φίδια και σαύρες), καθώς και της τάξης Chelonia (χελώνες).Τα ζώα αυτά δύνανται να αποτελούν φορείς ποικίλων παθογόνων μικροοργανισμών, εξωτικών και μη, ή να εκδηλώνουν κλινική νόσο υπό συγκεκριμένες συνθήκες, όπως οι ακατάλληλες συνθήκες διαβίωσης και  διαχείρισης. Επιπλέον, η στενή επαφή με τα ερπετά ενδέχεται να συνεπάγεται κίνδυνο μετάδοσης ζωοανθρωπονόσων στον άνθρωπο. Η παρούσα εργασία αποτελεί βιβλιογραφική ανασκόπηση με στόχο την παρουσίαση των κυριότερων νοσημάτων των κατοικίδιων ερπετών που έχουν την δυνατότητα να μεταδοθούν στον άνθρωπο. Ειδικότερα, εξετάζονται σημαντικά βακτηριακά παθογόνα, όπως τα </w:t>
      </w:r>
      <w:r w:rsidRPr="007A2D0C">
        <w:rPr>
          <w:i/>
          <w:iCs/>
        </w:rPr>
        <w:t>Salmonella</w:t>
      </w:r>
      <w:r w:rsidRPr="007A2D0C">
        <w:t xml:space="preserve">, </w:t>
      </w:r>
      <w:r w:rsidRPr="007A2D0C">
        <w:rPr>
          <w:i/>
          <w:iCs/>
        </w:rPr>
        <w:t>Aeromonas</w:t>
      </w:r>
      <w:r w:rsidRPr="007A2D0C">
        <w:t xml:space="preserve">, </w:t>
      </w:r>
      <w:r w:rsidRPr="007A2D0C">
        <w:rPr>
          <w:i/>
          <w:iCs/>
        </w:rPr>
        <w:t>Mycobacterium</w:t>
      </w:r>
      <w:r w:rsidRPr="007A2D0C">
        <w:t xml:space="preserve"> και </w:t>
      </w:r>
      <w:r w:rsidRPr="007A2D0C">
        <w:rPr>
          <w:i/>
          <w:iCs/>
        </w:rPr>
        <w:t>Campylobacter</w:t>
      </w:r>
      <w:r w:rsidRPr="007A2D0C">
        <w:t xml:space="preserve">, καθώς και παράσιτα, όπως τα </w:t>
      </w:r>
      <w:r w:rsidRPr="007A2D0C">
        <w:rPr>
          <w:i/>
          <w:iCs/>
        </w:rPr>
        <w:t>Pentastomida</w:t>
      </w:r>
      <w:r w:rsidRPr="007A2D0C">
        <w:t xml:space="preserve">, </w:t>
      </w:r>
      <w:r w:rsidRPr="007A2D0C">
        <w:rPr>
          <w:i/>
          <w:iCs/>
        </w:rPr>
        <w:t>Cryptosporidium</w:t>
      </w:r>
      <w:r w:rsidRPr="007A2D0C">
        <w:t xml:space="preserve">, </w:t>
      </w:r>
      <w:r w:rsidRPr="007A2D0C">
        <w:rPr>
          <w:i/>
          <w:iCs/>
        </w:rPr>
        <w:t>Giardia</w:t>
      </w:r>
      <w:r w:rsidRPr="007A2D0C">
        <w:t xml:space="preserve"> και διάφορα αρθρόποδα. Επιπλέον αναλύονται οι τρόποι  μετάδοσης των εν λόγω παθογόνων, τα κλινικά συμπτώματα που εκδηλώνονται τόσο στα ερπετά όσο και στον άνθρωπο, καθώς και οι θεραπευτικές προσεγγίσεις. Τέλος, ιδιαίτερη έμφαση δίδεται στα μέτρα πρόληψης και στη σημασία της ορθής διαχείρισης των ειδών αυτών, ενώ αναδεικνύεται ο καθοριστικός ρόλος του κτηνιάτρου στην πρόληψη, την έγκαιρη διάγνωση και τον περιορισμό των σχετικών κινδύνων.</w:t>
      </w:r>
    </w:p>
    <w:p w14:paraId="4429BB6C" w14:textId="77777777" w:rsidR="007A2D0C" w:rsidRPr="007A2D0C" w:rsidRDefault="007A2D0C" w:rsidP="007A2D0C">
      <w:pPr>
        <w:jc w:val="both"/>
      </w:pPr>
    </w:p>
    <w:p w14:paraId="1007F03A" w14:textId="77777777" w:rsidR="007A2D0C" w:rsidRPr="00382DF1" w:rsidRDefault="007A2D0C" w:rsidP="007A2D0C">
      <w:pPr>
        <w:jc w:val="both"/>
        <w:rPr>
          <w:lang w:val="en-US"/>
        </w:rPr>
      </w:pPr>
      <w:r w:rsidRPr="007A2D0C">
        <w:rPr>
          <w:b/>
          <w:bCs/>
        </w:rPr>
        <w:t>Βιβλιογραφία</w:t>
      </w:r>
    </w:p>
    <w:p w14:paraId="1B97A81B" w14:textId="77777777" w:rsidR="007A2D0C" w:rsidRPr="00382DF1" w:rsidRDefault="007A2D0C" w:rsidP="007A2D0C">
      <w:pPr>
        <w:jc w:val="both"/>
        <w:rPr>
          <w:lang w:val="en-US"/>
        </w:rPr>
      </w:pPr>
      <w:r w:rsidRPr="00382DF1">
        <w:rPr>
          <w:lang w:val="en-US"/>
        </w:rPr>
        <w:t>Childress, A., &amp; Wellehan, J. F. X. (n.d.). </w:t>
      </w:r>
      <w:r w:rsidRPr="00382DF1">
        <w:rPr>
          <w:i/>
          <w:iCs/>
          <w:lang w:val="en-US"/>
        </w:rPr>
        <w:t>Laboratories to contact for additional information and reptile virus testing.</w:t>
      </w:r>
      <w:r w:rsidRPr="00382DF1">
        <w:rPr>
          <w:lang w:val="en-US"/>
        </w:rPr>
        <w:t xml:space="preserve"> Azabu University. </w:t>
      </w:r>
    </w:p>
    <w:p w14:paraId="2418CEC7" w14:textId="77777777" w:rsidR="007A2D0C" w:rsidRPr="00382DF1" w:rsidRDefault="007A2D0C" w:rsidP="007A2D0C">
      <w:pPr>
        <w:jc w:val="both"/>
        <w:rPr>
          <w:lang w:val="en-US"/>
        </w:rPr>
      </w:pPr>
      <w:r w:rsidRPr="00382DF1">
        <w:rPr>
          <w:lang w:val="en-US"/>
        </w:rPr>
        <w:t xml:space="preserve">Corrente, M., Sangiorgio, G., Grandolfo, E., Bodnar, L., Catella, C., Trotta, A., Martella, V., &amp; Buonavoglia, D. (2017). </w:t>
      </w:r>
      <w:r w:rsidRPr="00382DF1">
        <w:rPr>
          <w:i/>
          <w:iCs/>
          <w:lang w:val="en-US"/>
        </w:rPr>
        <w:t>Risk for zoonotic Salmonella transmission from pet reptiles: A survey on knowledge, attitudes and practices of reptile owners related to reptile husbandry. </w:t>
      </w:r>
      <w:r w:rsidRPr="00382DF1">
        <w:rPr>
          <w:lang w:val="en-US"/>
        </w:rPr>
        <w:t>Preventive Veterinary Medicine, 146, 73–78. </w:t>
      </w:r>
    </w:p>
    <w:p w14:paraId="66C18042" w14:textId="77777777" w:rsidR="007A2D0C" w:rsidRPr="00382DF1" w:rsidRDefault="007A2D0C" w:rsidP="007A2D0C">
      <w:pPr>
        <w:jc w:val="both"/>
        <w:rPr>
          <w:lang w:val="en-US"/>
        </w:rPr>
      </w:pPr>
      <w:r w:rsidRPr="00382DF1">
        <w:rPr>
          <w:lang w:val="en-US"/>
        </w:rPr>
        <w:t>Doneley, B., Monks, D., Johnson, R., &amp; Carmel, B. (2018).</w:t>
      </w:r>
      <w:r w:rsidRPr="00382DF1">
        <w:rPr>
          <w:i/>
          <w:iCs/>
          <w:lang w:val="en-US"/>
        </w:rPr>
        <w:t> Reptile medicine and surgery in clinical practice</w:t>
      </w:r>
      <w:r w:rsidRPr="00382DF1">
        <w:rPr>
          <w:lang w:val="en-US"/>
        </w:rPr>
        <w:t>. Wiley.</w:t>
      </w:r>
    </w:p>
    <w:p w14:paraId="28624742" w14:textId="77777777" w:rsidR="007A2D0C" w:rsidRPr="00382DF1" w:rsidRDefault="007A2D0C" w:rsidP="007A2D0C">
      <w:pPr>
        <w:jc w:val="both"/>
        <w:rPr>
          <w:lang w:val="en-US"/>
        </w:rPr>
      </w:pPr>
      <w:r w:rsidRPr="00382DF1">
        <w:rPr>
          <w:lang w:val="en-US"/>
        </w:rPr>
        <w:t>Ebani, V. V. (2017).</w:t>
      </w:r>
      <w:r w:rsidRPr="00382DF1">
        <w:rPr>
          <w:i/>
          <w:iCs/>
          <w:lang w:val="en-US"/>
        </w:rPr>
        <w:t xml:space="preserve"> Domestic reptiles as a source of zoonotic bacteria: A mini review.</w:t>
      </w:r>
      <w:r w:rsidRPr="00382DF1">
        <w:rPr>
          <w:lang w:val="en-US"/>
        </w:rPr>
        <w:t> Asian Pacific Journal of Tropical Medicine, 10(8), 723–728.</w:t>
      </w:r>
    </w:p>
    <w:p w14:paraId="5D547C4D" w14:textId="77777777" w:rsidR="007A2D0C" w:rsidRPr="00382DF1" w:rsidRDefault="007A2D0C" w:rsidP="007A2D0C">
      <w:pPr>
        <w:jc w:val="both"/>
        <w:rPr>
          <w:lang w:val="en-US"/>
        </w:rPr>
      </w:pPr>
      <w:r w:rsidRPr="00382DF1">
        <w:rPr>
          <w:lang w:val="en-US"/>
        </w:rPr>
        <w:t xml:space="preserve">Egan, S., Barbosa, A. D., Feng, Y., Xiao, L., &amp; Ryan, U. (2024). </w:t>
      </w:r>
      <w:r w:rsidRPr="00382DF1">
        <w:rPr>
          <w:i/>
          <w:iCs/>
          <w:lang w:val="en-US"/>
        </w:rPr>
        <w:t>Minimal zoonotic risk of cryptosporidiosis and giardiasis from frogs and reptiles.</w:t>
      </w:r>
      <w:r w:rsidRPr="00382DF1">
        <w:rPr>
          <w:lang w:val="en-US"/>
        </w:rPr>
        <w:t> European Journal of Protistology, 93, Article 126066. </w:t>
      </w:r>
    </w:p>
    <w:p w14:paraId="0D318133" w14:textId="77777777" w:rsidR="007A2D0C" w:rsidRPr="00382DF1" w:rsidRDefault="007A2D0C" w:rsidP="007A2D0C">
      <w:pPr>
        <w:jc w:val="both"/>
        <w:rPr>
          <w:lang w:val="en-US"/>
        </w:rPr>
      </w:pPr>
      <w:r w:rsidRPr="00382DF1">
        <w:rPr>
          <w:lang w:val="en-US"/>
        </w:rPr>
        <w:lastRenderedPageBreak/>
        <w:t xml:space="preserve">Johnson-Delaney, C. A. (1996). </w:t>
      </w:r>
      <w:r w:rsidRPr="00382DF1">
        <w:rPr>
          <w:i/>
          <w:iCs/>
          <w:lang w:val="en-US"/>
        </w:rPr>
        <w:t>Zoonotic parasites of selected exotic animals.</w:t>
      </w:r>
    </w:p>
    <w:p w14:paraId="3F36323B" w14:textId="77777777" w:rsidR="007A2D0C" w:rsidRPr="00CB3A31" w:rsidRDefault="007A2D0C" w:rsidP="007A2D0C">
      <w:pPr>
        <w:jc w:val="both"/>
      </w:pPr>
      <w:r w:rsidRPr="00382DF1">
        <w:rPr>
          <w:lang w:val="en-US"/>
        </w:rPr>
        <w:t>Klingenberg, R. J. (2012). </w:t>
      </w:r>
      <w:r w:rsidRPr="00382DF1">
        <w:rPr>
          <w:i/>
          <w:iCs/>
          <w:lang w:val="en-US"/>
        </w:rPr>
        <w:t>Understanding reptile parasites</w:t>
      </w:r>
      <w:r w:rsidRPr="00382DF1">
        <w:rPr>
          <w:lang w:val="en-US"/>
        </w:rPr>
        <w:t xml:space="preserve">. </w:t>
      </w:r>
      <w:r w:rsidRPr="007A2D0C">
        <w:t>Advanced Vivarium Systems.</w:t>
      </w:r>
    </w:p>
    <w:p w14:paraId="3176E1D4" w14:textId="77777777" w:rsidR="007A2D0C" w:rsidRPr="00CB3A31" w:rsidRDefault="007A2D0C" w:rsidP="007A2D0C">
      <w:pPr>
        <w:jc w:val="both"/>
      </w:pPr>
    </w:p>
    <w:p w14:paraId="0EB30721" w14:textId="77777777" w:rsidR="007A2D0C" w:rsidRPr="00CB3A31" w:rsidRDefault="007A2D0C" w:rsidP="007A2D0C">
      <w:pPr>
        <w:jc w:val="both"/>
      </w:pPr>
    </w:p>
    <w:p w14:paraId="7E50FBF1" w14:textId="77777777" w:rsidR="007A2D0C" w:rsidRPr="00CB3A31" w:rsidRDefault="007A2D0C" w:rsidP="007A2D0C">
      <w:pPr>
        <w:jc w:val="both"/>
      </w:pPr>
    </w:p>
    <w:p w14:paraId="0338EE2C" w14:textId="77777777" w:rsidR="007A2D0C" w:rsidRPr="00CB3A31" w:rsidRDefault="007A2D0C" w:rsidP="007A2D0C">
      <w:pPr>
        <w:jc w:val="both"/>
      </w:pPr>
    </w:p>
    <w:p w14:paraId="6D3BD99A" w14:textId="77777777" w:rsidR="007A2D0C" w:rsidRPr="00CB3A31" w:rsidRDefault="007A2D0C" w:rsidP="007A2D0C">
      <w:pPr>
        <w:jc w:val="both"/>
      </w:pPr>
    </w:p>
    <w:p w14:paraId="2BC2AF47" w14:textId="77777777" w:rsidR="007A2D0C" w:rsidRPr="00CB3A31" w:rsidRDefault="007A2D0C" w:rsidP="007A2D0C">
      <w:pPr>
        <w:jc w:val="both"/>
      </w:pPr>
    </w:p>
    <w:p w14:paraId="15E298B1" w14:textId="77777777" w:rsidR="007A2D0C" w:rsidRPr="00CB3A31" w:rsidRDefault="007A2D0C" w:rsidP="007A2D0C">
      <w:pPr>
        <w:jc w:val="both"/>
      </w:pPr>
    </w:p>
    <w:p w14:paraId="2E65F56B" w14:textId="77777777" w:rsidR="007A2D0C" w:rsidRPr="00CB3A31" w:rsidRDefault="007A2D0C" w:rsidP="007A2D0C">
      <w:pPr>
        <w:jc w:val="both"/>
      </w:pPr>
    </w:p>
    <w:p w14:paraId="3DBEA7AD" w14:textId="77777777" w:rsidR="007A2D0C" w:rsidRPr="00CB3A31" w:rsidRDefault="007A2D0C" w:rsidP="007A2D0C">
      <w:pPr>
        <w:jc w:val="both"/>
      </w:pPr>
    </w:p>
    <w:p w14:paraId="0F13194F" w14:textId="77777777" w:rsidR="007A2D0C" w:rsidRPr="00CB3A31" w:rsidRDefault="007A2D0C" w:rsidP="007A2D0C">
      <w:pPr>
        <w:jc w:val="both"/>
      </w:pPr>
    </w:p>
    <w:p w14:paraId="3148CC5A" w14:textId="77777777" w:rsidR="007A2D0C" w:rsidRPr="00CB3A31" w:rsidRDefault="007A2D0C" w:rsidP="007A2D0C">
      <w:pPr>
        <w:jc w:val="both"/>
      </w:pPr>
    </w:p>
    <w:p w14:paraId="007A2C1C" w14:textId="77777777" w:rsidR="007A2D0C" w:rsidRPr="00CB3A31" w:rsidRDefault="007A2D0C" w:rsidP="007A2D0C">
      <w:pPr>
        <w:jc w:val="both"/>
      </w:pPr>
    </w:p>
    <w:p w14:paraId="59C082B1" w14:textId="77777777" w:rsidR="007A2D0C" w:rsidRPr="00CB3A31" w:rsidRDefault="007A2D0C" w:rsidP="007A2D0C">
      <w:pPr>
        <w:jc w:val="both"/>
      </w:pPr>
    </w:p>
    <w:p w14:paraId="6738E351" w14:textId="77777777" w:rsidR="007A2D0C" w:rsidRPr="00CB3A31" w:rsidRDefault="007A2D0C" w:rsidP="007A2D0C">
      <w:pPr>
        <w:jc w:val="both"/>
      </w:pPr>
    </w:p>
    <w:p w14:paraId="13B786D3" w14:textId="77777777" w:rsidR="007A2D0C" w:rsidRPr="00CB3A31" w:rsidRDefault="007A2D0C" w:rsidP="007A2D0C">
      <w:pPr>
        <w:jc w:val="both"/>
      </w:pPr>
    </w:p>
    <w:p w14:paraId="00161268" w14:textId="77777777" w:rsidR="007A2D0C" w:rsidRPr="00CB3A31" w:rsidRDefault="007A2D0C" w:rsidP="007A2D0C">
      <w:pPr>
        <w:jc w:val="both"/>
      </w:pPr>
    </w:p>
    <w:p w14:paraId="732A6420" w14:textId="77777777" w:rsidR="007A2D0C" w:rsidRPr="00CB3A31" w:rsidRDefault="007A2D0C" w:rsidP="007A2D0C">
      <w:pPr>
        <w:jc w:val="both"/>
      </w:pPr>
    </w:p>
    <w:p w14:paraId="658C203F" w14:textId="77777777" w:rsidR="007A2D0C" w:rsidRPr="00CB3A31" w:rsidRDefault="007A2D0C" w:rsidP="007A2D0C">
      <w:pPr>
        <w:jc w:val="both"/>
      </w:pPr>
    </w:p>
    <w:p w14:paraId="515B424D" w14:textId="77777777" w:rsidR="007A2D0C" w:rsidRPr="00CB3A31" w:rsidRDefault="007A2D0C" w:rsidP="007A2D0C">
      <w:pPr>
        <w:jc w:val="both"/>
      </w:pPr>
    </w:p>
    <w:p w14:paraId="0F9F2BCC" w14:textId="77777777" w:rsidR="007A2D0C" w:rsidRPr="00CB3A31" w:rsidRDefault="007A2D0C" w:rsidP="007A2D0C">
      <w:pPr>
        <w:jc w:val="both"/>
      </w:pPr>
    </w:p>
    <w:p w14:paraId="454F17F2" w14:textId="77777777" w:rsidR="007A2D0C" w:rsidRPr="00CB3A31" w:rsidRDefault="007A2D0C" w:rsidP="007A2D0C">
      <w:pPr>
        <w:jc w:val="both"/>
      </w:pPr>
    </w:p>
    <w:p w14:paraId="3BF95197" w14:textId="77777777" w:rsidR="007A2D0C" w:rsidRPr="00CB3A31" w:rsidRDefault="007A2D0C" w:rsidP="007A2D0C">
      <w:pPr>
        <w:jc w:val="both"/>
      </w:pPr>
    </w:p>
    <w:p w14:paraId="523003C6" w14:textId="77777777" w:rsidR="007A2D0C" w:rsidRPr="00CB3A31" w:rsidRDefault="007A2D0C" w:rsidP="007A2D0C">
      <w:pPr>
        <w:jc w:val="both"/>
      </w:pPr>
    </w:p>
    <w:p w14:paraId="02634ACD" w14:textId="77777777" w:rsidR="007A2D0C" w:rsidRPr="00CB3A31" w:rsidRDefault="007A2D0C" w:rsidP="007A2D0C">
      <w:pPr>
        <w:jc w:val="both"/>
      </w:pPr>
    </w:p>
    <w:p w14:paraId="4DA169C6" w14:textId="77777777" w:rsidR="007A2D0C" w:rsidRPr="00CB3A31" w:rsidRDefault="007A2D0C" w:rsidP="007A2D0C">
      <w:pPr>
        <w:jc w:val="both"/>
      </w:pPr>
    </w:p>
    <w:p w14:paraId="3DEEA100" w14:textId="77777777" w:rsidR="007A2D0C" w:rsidRPr="00CB3A31" w:rsidRDefault="007A2D0C" w:rsidP="007A2D0C">
      <w:pPr>
        <w:jc w:val="both"/>
      </w:pPr>
    </w:p>
    <w:p w14:paraId="4005AD48" w14:textId="77777777" w:rsidR="007A2D0C" w:rsidRPr="00CB3A31" w:rsidRDefault="007A2D0C" w:rsidP="007A2D0C">
      <w:pPr>
        <w:jc w:val="both"/>
      </w:pPr>
    </w:p>
    <w:p w14:paraId="0FA37342" w14:textId="77777777" w:rsidR="007A2D0C" w:rsidRPr="00CB3A31" w:rsidRDefault="007A2D0C" w:rsidP="007A2D0C">
      <w:pPr>
        <w:jc w:val="both"/>
      </w:pPr>
    </w:p>
    <w:p w14:paraId="0E272C3D" w14:textId="77777777" w:rsidR="007A2D0C" w:rsidRPr="00CB3A31" w:rsidRDefault="007A2D0C" w:rsidP="007A2D0C">
      <w:pPr>
        <w:jc w:val="both"/>
      </w:pPr>
    </w:p>
    <w:p w14:paraId="13501604" w14:textId="77777777" w:rsidR="007F0467" w:rsidRPr="007A2D0C" w:rsidRDefault="007F0467" w:rsidP="007F0467">
      <w:pPr>
        <w:jc w:val="both"/>
      </w:pPr>
      <w:r w:rsidRPr="007A2D0C">
        <w:rPr>
          <w:b/>
          <w:bCs/>
        </w:rPr>
        <w:lastRenderedPageBreak/>
        <w:t>Υβριδισμός Λύκου και Σκύλου: Μία αναδυόμενη απειλή</w:t>
      </w:r>
    </w:p>
    <w:p w14:paraId="1D1799B5" w14:textId="0A8F9929" w:rsidR="007A2D0C" w:rsidRPr="007A2D0C" w:rsidRDefault="007A2D0C" w:rsidP="007A2D0C">
      <w:pPr>
        <w:jc w:val="both"/>
      </w:pPr>
      <w:r w:rsidRPr="007A2D0C">
        <w:t>Μαρία Τράνη</w:t>
      </w:r>
      <w:r w:rsidRPr="007A2D0C">
        <w:rPr>
          <w:vertAlign w:val="superscript"/>
        </w:rPr>
        <w:t>1</w:t>
      </w:r>
      <w:r w:rsidRPr="007A2D0C">
        <w:t>, Φίλιου Αθηνά</w:t>
      </w:r>
      <w:r w:rsidRPr="007A2D0C">
        <w:rPr>
          <w:vertAlign w:val="superscript"/>
        </w:rPr>
        <w:t xml:space="preserve">1 </w:t>
      </w:r>
      <w:r w:rsidRPr="007A2D0C">
        <w:t>, Σοφία Μαρίνα</w:t>
      </w:r>
      <w:r w:rsidRPr="007A2D0C">
        <w:rPr>
          <w:vertAlign w:val="superscript"/>
        </w:rPr>
        <w:t>2</w:t>
      </w:r>
    </w:p>
    <w:p w14:paraId="2D70751E" w14:textId="77777777" w:rsidR="007A2D0C" w:rsidRPr="007A2D0C" w:rsidRDefault="007A2D0C" w:rsidP="007A2D0C">
      <w:pPr>
        <w:numPr>
          <w:ilvl w:val="0"/>
          <w:numId w:val="28"/>
        </w:numPr>
        <w:jc w:val="both"/>
      </w:pPr>
      <w:r w:rsidRPr="007A2D0C">
        <w:t>Προπτυχιακή Φοιτήτρια, Σχολή Επιστημών Υγείας,  Τμήμα Κτηνιατρικής, Πανεπιστήμιο Θεσσαλίας </w:t>
      </w:r>
    </w:p>
    <w:p w14:paraId="4E49DADC" w14:textId="77777777" w:rsidR="007A2D0C" w:rsidRPr="007A2D0C" w:rsidRDefault="007A2D0C" w:rsidP="007A2D0C">
      <w:pPr>
        <w:numPr>
          <w:ilvl w:val="0"/>
          <w:numId w:val="28"/>
        </w:numPr>
        <w:jc w:val="both"/>
      </w:pPr>
      <w:r w:rsidRPr="007A2D0C">
        <w:t>Καθηγήτρια, Σχολή Επιστημών Υγείας, Τμήμα Κτηνιατρικής, Πανεπιστήμιο Θεσσαλίας</w:t>
      </w:r>
    </w:p>
    <w:p w14:paraId="025E1765" w14:textId="77777777" w:rsidR="007A2D0C" w:rsidRPr="007A2D0C" w:rsidRDefault="007A2D0C" w:rsidP="007A2D0C">
      <w:pPr>
        <w:jc w:val="both"/>
      </w:pPr>
    </w:p>
    <w:p w14:paraId="6EB43FA0" w14:textId="77777777" w:rsidR="007A2D0C" w:rsidRPr="007A2D0C" w:rsidRDefault="007A2D0C" w:rsidP="007A2D0C">
      <w:pPr>
        <w:jc w:val="both"/>
      </w:pPr>
      <w:r w:rsidRPr="007A2D0C">
        <w:rPr>
          <w:b/>
          <w:bCs/>
        </w:rPr>
        <w:t>Περίληψη</w:t>
      </w:r>
    </w:p>
    <w:p w14:paraId="13F9D757" w14:textId="77777777" w:rsidR="007A2D0C" w:rsidRPr="007A2D0C" w:rsidRDefault="007A2D0C" w:rsidP="007A2D0C">
      <w:pPr>
        <w:jc w:val="both"/>
      </w:pPr>
      <w:r w:rsidRPr="007A2D0C">
        <w:t>Ο υβριδισμός του γκρίζου λύκου (</w:t>
      </w:r>
      <w:r w:rsidRPr="007A2D0C">
        <w:rPr>
          <w:i/>
          <w:iCs/>
        </w:rPr>
        <w:t>Canis lupus</w:t>
      </w:r>
      <w:r w:rsidRPr="007A2D0C">
        <w:t>) και του οικόσιτου σκύλου (</w:t>
      </w:r>
      <w:r w:rsidRPr="007A2D0C">
        <w:rPr>
          <w:i/>
          <w:iCs/>
        </w:rPr>
        <w:t>Canis lupus familiaris</w:t>
      </w:r>
      <w:r w:rsidRPr="007A2D0C">
        <w:t>) αποτελεί ένα οικολογικό φαινόμενο που παρατηρείται εδώ και εκατοντάδες χρόνια. Υπάρχουν καταγεγραμμένα περιστατικά τα οποία ήταν σπάνια λόγω της διαφορετικής συμπεριφοράς και της γεωγραφικής απομόνωσης των δύο ειδών. Με την ανάκαμψη των πληθυσμών των λύκων, σε συνδυασμό με την αύξηση των αδέσποτων σκύλων και την διευρυμένη ζήτηση για υβρίδια ως κατοικίδια, έχει εντείνει τις ανησυχίες της επιστημονικής κοινότητας σχετικά με το φαινόμενο του υβριδισμού, οδηγώντας στη διενέργεια εκτεταμένων ερευνών και δειγματοληψιών στους γηγενείς πληθυσμούς λύκων. Στη χώρα μας, η περιβαλλοντική οργάνωση «Καλλιστώ» επιβεβαίωσε για πρώτη φορά την ύπαρξη υβριδίου στην Χαλκιδική το 2025. Στην Ευρώπη έχουν συσταθεί οργανισμοί για τον περιορισμό των υβριδίων, ενώ στην χώρα μας το νομικό πλαίσιο είναι ασαφές. Τα υβρίδια εμφανίζουν ευνοϊκά χαρακτηριστικά των σκύλων, τα οποία ακόμα μελετώνται, όπως αύξηση του προσδόκιμου ζωής και διατροφική προσαρμοστικότητα. Η εξάπλωση όμως των υβριδίων μέσα στις αγέλες του «καθαρού» λύκου ελλοχεύει κινδύνους, όπως την αλλοίωση του γενετικού υλικού του λύκου, την αλλαγή της συμπεριφοράς και του ρόλου του και την διαταραχή της οικολογικής ισορροπίας.</w:t>
      </w:r>
    </w:p>
    <w:p w14:paraId="72C6D289" w14:textId="77777777" w:rsidR="007A2D0C" w:rsidRPr="007A2D0C" w:rsidRDefault="007A2D0C" w:rsidP="007A2D0C">
      <w:pPr>
        <w:jc w:val="both"/>
      </w:pPr>
    </w:p>
    <w:p w14:paraId="5087B8DF" w14:textId="77777777" w:rsidR="007A2D0C" w:rsidRPr="00382DF1" w:rsidRDefault="007A2D0C" w:rsidP="007A2D0C">
      <w:pPr>
        <w:jc w:val="both"/>
        <w:rPr>
          <w:lang w:val="en-US"/>
        </w:rPr>
      </w:pPr>
      <w:r w:rsidRPr="007A2D0C">
        <w:rPr>
          <w:b/>
          <w:bCs/>
        </w:rPr>
        <w:t>Βιβλιογραφία</w:t>
      </w:r>
    </w:p>
    <w:p w14:paraId="01CC1A75" w14:textId="77777777" w:rsidR="007A2D0C" w:rsidRPr="00382DF1" w:rsidRDefault="007A2D0C" w:rsidP="007A2D0C">
      <w:pPr>
        <w:jc w:val="both"/>
        <w:rPr>
          <w:lang w:val="en-US"/>
        </w:rPr>
      </w:pPr>
      <w:r w:rsidRPr="00382DF1">
        <w:rPr>
          <w:lang w:val="en-US"/>
        </w:rPr>
        <w:t>Council of Europe. (2022). Wolf population assessment: Bern Convention (Inf45e-2022).</w:t>
      </w:r>
      <w:hyperlink r:id="rId18" w:history="1">
        <w:r w:rsidRPr="00382DF1">
          <w:rPr>
            <w:rStyle w:val="-"/>
            <w:lang w:val="en-US"/>
          </w:rPr>
          <w:t> </w:t>
        </w:r>
      </w:hyperlink>
    </w:p>
    <w:p w14:paraId="0E1FAD02" w14:textId="77777777" w:rsidR="007A2D0C" w:rsidRPr="00382DF1" w:rsidRDefault="007A2D0C" w:rsidP="007A2D0C">
      <w:pPr>
        <w:jc w:val="both"/>
        <w:rPr>
          <w:lang w:val="en-US"/>
        </w:rPr>
      </w:pPr>
      <w:r w:rsidRPr="00382DF1">
        <w:rPr>
          <w:lang w:val="en-US"/>
        </w:rPr>
        <w:t>Dokumentations- und Beratungsstelle des Bundes zum Thema Wolf (DBBW). (n.d.). Handling of wolf-dog hybrids.</w:t>
      </w:r>
      <w:hyperlink r:id="rId19" w:history="1">
        <w:r w:rsidRPr="00382DF1">
          <w:rPr>
            <w:rStyle w:val="-"/>
            <w:lang w:val="en-US"/>
          </w:rPr>
          <w:t> </w:t>
        </w:r>
      </w:hyperlink>
    </w:p>
    <w:p w14:paraId="703CE989" w14:textId="77777777" w:rsidR="007A2D0C" w:rsidRPr="00382DF1" w:rsidRDefault="007A2D0C" w:rsidP="007A2D0C">
      <w:pPr>
        <w:jc w:val="both"/>
        <w:rPr>
          <w:lang w:val="en-US"/>
        </w:rPr>
      </w:pPr>
      <w:r w:rsidRPr="00382DF1">
        <w:rPr>
          <w:lang w:val="en-US"/>
        </w:rPr>
        <w:t xml:space="preserve">Hindrikson, M., et al. (2021). Wolf–dog hybridization in Europe: A review. </w:t>
      </w:r>
      <w:r w:rsidRPr="00382DF1">
        <w:rPr>
          <w:i/>
          <w:iCs/>
          <w:lang w:val="en-US"/>
        </w:rPr>
        <w:t>Global Ecology and Conservation</w:t>
      </w:r>
      <w:r w:rsidRPr="00382DF1">
        <w:rPr>
          <w:lang w:val="en-US"/>
        </w:rPr>
        <w:t>, 27, e01572.</w:t>
      </w:r>
      <w:hyperlink r:id="rId20" w:history="1">
        <w:r w:rsidRPr="00382DF1">
          <w:rPr>
            <w:rStyle w:val="-"/>
            <w:lang w:val="en-US"/>
          </w:rPr>
          <w:t> </w:t>
        </w:r>
      </w:hyperlink>
    </w:p>
    <w:p w14:paraId="6BD82C5F" w14:textId="77777777" w:rsidR="007A2D0C" w:rsidRPr="00382DF1" w:rsidRDefault="007A2D0C" w:rsidP="007A2D0C">
      <w:pPr>
        <w:jc w:val="both"/>
        <w:rPr>
          <w:lang w:val="en-US"/>
        </w:rPr>
      </w:pPr>
      <w:r w:rsidRPr="00382DF1">
        <w:rPr>
          <w:lang w:val="en-US"/>
        </w:rPr>
        <w:t xml:space="preserve">Hughes, J. M., &amp; Macdonald, D. W. (2013). A review of the interactions between free-ranging domestic dogs and wildlife. </w:t>
      </w:r>
      <w:r w:rsidRPr="00382DF1">
        <w:rPr>
          <w:i/>
          <w:iCs/>
          <w:lang w:val="en-US"/>
        </w:rPr>
        <w:t>Biological Conservation</w:t>
      </w:r>
      <w:r w:rsidRPr="00382DF1">
        <w:rPr>
          <w:lang w:val="en-US"/>
        </w:rPr>
        <w:t>, 157, 341–351.</w:t>
      </w:r>
      <w:hyperlink r:id="rId21" w:history="1">
        <w:r w:rsidRPr="00382DF1">
          <w:rPr>
            <w:rStyle w:val="-"/>
            <w:lang w:val="en-US"/>
          </w:rPr>
          <w:t> </w:t>
        </w:r>
      </w:hyperlink>
    </w:p>
    <w:p w14:paraId="5F2B1F3D" w14:textId="77777777" w:rsidR="007A2D0C" w:rsidRPr="00382DF1" w:rsidRDefault="007A2D0C" w:rsidP="007A2D0C">
      <w:pPr>
        <w:jc w:val="both"/>
        <w:rPr>
          <w:lang w:val="en-US"/>
        </w:rPr>
      </w:pPr>
      <w:r w:rsidRPr="00382DF1">
        <w:rPr>
          <w:lang w:val="en-US"/>
        </w:rPr>
        <w:t xml:space="preserve">Iacolina, L., et al. (2016). Hybridisation in European canids: A review of current knowledge and conservation implications. </w:t>
      </w:r>
      <w:r w:rsidRPr="00382DF1">
        <w:rPr>
          <w:i/>
          <w:iCs/>
          <w:lang w:val="en-US"/>
        </w:rPr>
        <w:t>Biological Conservation</w:t>
      </w:r>
      <w:r w:rsidRPr="00382DF1">
        <w:rPr>
          <w:lang w:val="en-US"/>
        </w:rPr>
        <w:t>.</w:t>
      </w:r>
      <w:hyperlink r:id="rId22" w:history="1">
        <w:r w:rsidRPr="00382DF1">
          <w:rPr>
            <w:rStyle w:val="-"/>
            <w:lang w:val="en-US"/>
          </w:rPr>
          <w:t> </w:t>
        </w:r>
      </w:hyperlink>
    </w:p>
    <w:p w14:paraId="145A4233" w14:textId="77777777" w:rsidR="007A2D0C" w:rsidRPr="00382DF1" w:rsidRDefault="007A2D0C" w:rsidP="007A2D0C">
      <w:pPr>
        <w:jc w:val="both"/>
        <w:rPr>
          <w:lang w:val="en-US"/>
        </w:rPr>
      </w:pPr>
      <w:r w:rsidRPr="00382DF1">
        <w:rPr>
          <w:lang w:val="en-US"/>
        </w:rPr>
        <w:t>International Wolf Center. (n.d.). Wolf-dog hybrids.</w:t>
      </w:r>
      <w:hyperlink r:id="rId23" w:history="1">
        <w:r w:rsidRPr="00382DF1">
          <w:rPr>
            <w:rStyle w:val="-"/>
            <w:lang w:val="en-US"/>
          </w:rPr>
          <w:t> </w:t>
        </w:r>
      </w:hyperlink>
    </w:p>
    <w:p w14:paraId="65AA6C9A" w14:textId="77777777" w:rsidR="007A2D0C" w:rsidRPr="00382DF1" w:rsidRDefault="007A2D0C" w:rsidP="007A2D0C">
      <w:pPr>
        <w:jc w:val="both"/>
        <w:rPr>
          <w:lang w:val="en-US"/>
        </w:rPr>
      </w:pPr>
      <w:r w:rsidRPr="00382DF1">
        <w:rPr>
          <w:lang w:val="en-US"/>
        </w:rPr>
        <w:t xml:space="preserve">Last, J. (2025, August 11). Demand for wolf-dog hybrid pets is surging—and that’s a huge problem. </w:t>
      </w:r>
      <w:r w:rsidRPr="00382DF1">
        <w:rPr>
          <w:i/>
          <w:iCs/>
          <w:lang w:val="en-US"/>
        </w:rPr>
        <w:t>National Geographic</w:t>
      </w:r>
      <w:r w:rsidRPr="00382DF1">
        <w:rPr>
          <w:lang w:val="en-US"/>
        </w:rPr>
        <w:t>.</w:t>
      </w:r>
      <w:hyperlink r:id="rId24" w:history="1">
        <w:r w:rsidRPr="00382DF1">
          <w:rPr>
            <w:rStyle w:val="-"/>
            <w:lang w:val="en-US"/>
          </w:rPr>
          <w:t> </w:t>
        </w:r>
      </w:hyperlink>
    </w:p>
    <w:p w14:paraId="56153420" w14:textId="77777777" w:rsidR="007A2D0C" w:rsidRPr="00382DF1" w:rsidRDefault="007A2D0C" w:rsidP="007A2D0C">
      <w:pPr>
        <w:jc w:val="both"/>
        <w:rPr>
          <w:lang w:val="en-US"/>
        </w:rPr>
      </w:pPr>
      <w:r w:rsidRPr="00382DF1">
        <w:rPr>
          <w:lang w:val="en-US"/>
        </w:rPr>
        <w:t xml:space="preserve">Randi, E., et al. (2014). Multilocus detection of wolf–dog hybridization in Europe. </w:t>
      </w:r>
      <w:r w:rsidRPr="00382DF1">
        <w:rPr>
          <w:i/>
          <w:iCs/>
          <w:lang w:val="en-US"/>
        </w:rPr>
        <w:t>Molecular Ecology</w:t>
      </w:r>
      <w:r w:rsidRPr="00382DF1">
        <w:rPr>
          <w:lang w:val="en-US"/>
        </w:rPr>
        <w:t>.</w:t>
      </w:r>
      <w:hyperlink r:id="rId25" w:history="1">
        <w:r w:rsidRPr="00382DF1">
          <w:rPr>
            <w:rStyle w:val="-"/>
            <w:lang w:val="en-US"/>
          </w:rPr>
          <w:t> </w:t>
        </w:r>
      </w:hyperlink>
    </w:p>
    <w:p w14:paraId="067D83D9" w14:textId="77777777" w:rsidR="007A2D0C" w:rsidRPr="00382DF1" w:rsidRDefault="007A2D0C" w:rsidP="007A2D0C">
      <w:pPr>
        <w:jc w:val="both"/>
        <w:rPr>
          <w:lang w:val="en-US"/>
        </w:rPr>
      </w:pPr>
      <w:r w:rsidRPr="00382DF1">
        <w:rPr>
          <w:lang w:val="en-US"/>
        </w:rPr>
        <w:lastRenderedPageBreak/>
        <w:t>Sapienza University of Rome. (n.d.). Wolf-dog hybridisation in Europe: Risk to biodiversity.</w:t>
      </w:r>
      <w:hyperlink r:id="rId26" w:history="1">
        <w:r w:rsidRPr="00382DF1">
          <w:rPr>
            <w:rStyle w:val="-"/>
            <w:lang w:val="en-US"/>
          </w:rPr>
          <w:t> </w:t>
        </w:r>
      </w:hyperlink>
    </w:p>
    <w:p w14:paraId="1837D59B" w14:textId="77777777" w:rsidR="007A2D0C" w:rsidRPr="007A2D0C" w:rsidRDefault="007A2D0C" w:rsidP="007A2D0C">
      <w:pPr>
        <w:jc w:val="both"/>
      </w:pPr>
      <w:r w:rsidRPr="00382DF1">
        <w:rPr>
          <w:lang w:val="en-US"/>
        </w:rPr>
        <w:t xml:space="preserve">University of California, Davis. (n.d.). Wolf hybrid test. </w:t>
      </w:r>
      <w:r w:rsidRPr="007A2D0C">
        <w:rPr>
          <w:i/>
          <w:iCs/>
        </w:rPr>
        <w:t>Veterinary Genetics Laboratory</w:t>
      </w:r>
      <w:r w:rsidRPr="007A2D0C">
        <w:t>.</w:t>
      </w:r>
      <w:hyperlink r:id="rId27" w:history="1">
        <w:r w:rsidRPr="007A2D0C">
          <w:rPr>
            <w:rStyle w:val="-"/>
          </w:rPr>
          <w:t> </w:t>
        </w:r>
      </w:hyperlink>
    </w:p>
    <w:p w14:paraId="310A5082" w14:textId="77777777" w:rsidR="007A2D0C" w:rsidRPr="00CB3A31" w:rsidRDefault="007A2D0C" w:rsidP="007A2D0C">
      <w:pPr>
        <w:jc w:val="both"/>
      </w:pPr>
    </w:p>
    <w:p w14:paraId="32AF0793" w14:textId="77777777" w:rsidR="007A2D0C" w:rsidRPr="00CB3A31" w:rsidRDefault="007A2D0C" w:rsidP="007A2D0C">
      <w:pPr>
        <w:jc w:val="both"/>
      </w:pPr>
    </w:p>
    <w:p w14:paraId="5CC8A5D9" w14:textId="77777777" w:rsidR="007A2D0C" w:rsidRPr="00CB3A31" w:rsidRDefault="007A2D0C" w:rsidP="007A2D0C">
      <w:pPr>
        <w:jc w:val="both"/>
      </w:pPr>
    </w:p>
    <w:p w14:paraId="4C6C111B" w14:textId="77777777" w:rsidR="007A2D0C" w:rsidRPr="00CB3A31" w:rsidRDefault="007A2D0C" w:rsidP="007A2D0C">
      <w:pPr>
        <w:jc w:val="both"/>
      </w:pPr>
    </w:p>
    <w:p w14:paraId="6A45C0A1" w14:textId="77777777" w:rsidR="007A2D0C" w:rsidRPr="00CB3A31" w:rsidRDefault="007A2D0C" w:rsidP="007A2D0C">
      <w:pPr>
        <w:jc w:val="both"/>
      </w:pPr>
    </w:p>
    <w:p w14:paraId="2913018B" w14:textId="77777777" w:rsidR="007A2D0C" w:rsidRPr="00CB3A31" w:rsidRDefault="007A2D0C" w:rsidP="007A2D0C">
      <w:pPr>
        <w:jc w:val="both"/>
      </w:pPr>
    </w:p>
    <w:p w14:paraId="7C76B80D" w14:textId="77777777" w:rsidR="007A2D0C" w:rsidRPr="00CB3A31" w:rsidRDefault="007A2D0C" w:rsidP="007A2D0C">
      <w:pPr>
        <w:jc w:val="both"/>
      </w:pPr>
    </w:p>
    <w:p w14:paraId="4B4B9DDE" w14:textId="77777777" w:rsidR="007A2D0C" w:rsidRPr="00CB3A31" w:rsidRDefault="007A2D0C" w:rsidP="007A2D0C">
      <w:pPr>
        <w:jc w:val="both"/>
      </w:pPr>
    </w:p>
    <w:p w14:paraId="66318860" w14:textId="77777777" w:rsidR="007A2D0C" w:rsidRPr="00CB3A31" w:rsidRDefault="007A2D0C" w:rsidP="007A2D0C">
      <w:pPr>
        <w:jc w:val="both"/>
      </w:pPr>
    </w:p>
    <w:p w14:paraId="48432F7E" w14:textId="77777777" w:rsidR="007A2D0C" w:rsidRPr="00CB3A31" w:rsidRDefault="007A2D0C" w:rsidP="007A2D0C">
      <w:pPr>
        <w:jc w:val="both"/>
      </w:pPr>
    </w:p>
    <w:p w14:paraId="14056185" w14:textId="77777777" w:rsidR="007A2D0C" w:rsidRPr="00CB3A31" w:rsidRDefault="007A2D0C" w:rsidP="007A2D0C">
      <w:pPr>
        <w:jc w:val="both"/>
      </w:pPr>
    </w:p>
    <w:p w14:paraId="5DEFE159" w14:textId="77777777" w:rsidR="007A2D0C" w:rsidRPr="00CB3A31" w:rsidRDefault="007A2D0C" w:rsidP="007A2D0C">
      <w:pPr>
        <w:jc w:val="both"/>
      </w:pPr>
    </w:p>
    <w:p w14:paraId="11B830D0" w14:textId="77777777" w:rsidR="007A2D0C" w:rsidRPr="00CB3A31" w:rsidRDefault="007A2D0C" w:rsidP="007A2D0C">
      <w:pPr>
        <w:jc w:val="both"/>
      </w:pPr>
    </w:p>
    <w:p w14:paraId="33177971" w14:textId="77777777" w:rsidR="007A2D0C" w:rsidRPr="00CB3A31" w:rsidRDefault="007A2D0C" w:rsidP="007A2D0C">
      <w:pPr>
        <w:jc w:val="both"/>
      </w:pPr>
    </w:p>
    <w:p w14:paraId="193FE7D5" w14:textId="77777777" w:rsidR="007A2D0C" w:rsidRPr="00CB3A31" w:rsidRDefault="007A2D0C" w:rsidP="007A2D0C">
      <w:pPr>
        <w:jc w:val="both"/>
      </w:pPr>
    </w:p>
    <w:p w14:paraId="731B6D67" w14:textId="77777777" w:rsidR="007A2D0C" w:rsidRPr="00CB3A31" w:rsidRDefault="007A2D0C" w:rsidP="007A2D0C">
      <w:pPr>
        <w:jc w:val="both"/>
      </w:pPr>
    </w:p>
    <w:p w14:paraId="1BD87CD8" w14:textId="77777777" w:rsidR="007A2D0C" w:rsidRPr="00CB3A31" w:rsidRDefault="007A2D0C" w:rsidP="007A2D0C">
      <w:pPr>
        <w:jc w:val="both"/>
      </w:pPr>
    </w:p>
    <w:p w14:paraId="626A3E41" w14:textId="77777777" w:rsidR="007A2D0C" w:rsidRPr="00CB3A31" w:rsidRDefault="007A2D0C" w:rsidP="007A2D0C">
      <w:pPr>
        <w:jc w:val="both"/>
      </w:pPr>
    </w:p>
    <w:p w14:paraId="44B13405" w14:textId="77777777" w:rsidR="007A2D0C" w:rsidRPr="00CB3A31" w:rsidRDefault="007A2D0C" w:rsidP="007A2D0C">
      <w:pPr>
        <w:jc w:val="both"/>
      </w:pPr>
    </w:p>
    <w:p w14:paraId="0080BCA8" w14:textId="77777777" w:rsidR="007A2D0C" w:rsidRPr="00CB3A31" w:rsidRDefault="007A2D0C" w:rsidP="007A2D0C">
      <w:pPr>
        <w:jc w:val="both"/>
      </w:pPr>
    </w:p>
    <w:p w14:paraId="4D412F09" w14:textId="77777777" w:rsidR="007A2D0C" w:rsidRPr="00CB3A31" w:rsidRDefault="007A2D0C" w:rsidP="007A2D0C">
      <w:pPr>
        <w:jc w:val="both"/>
      </w:pPr>
    </w:p>
    <w:p w14:paraId="628A1EE7" w14:textId="77777777" w:rsidR="007A2D0C" w:rsidRPr="00CB3A31" w:rsidRDefault="007A2D0C" w:rsidP="007A2D0C">
      <w:pPr>
        <w:jc w:val="both"/>
      </w:pPr>
    </w:p>
    <w:p w14:paraId="447AD5AB" w14:textId="77777777" w:rsidR="007A2D0C" w:rsidRPr="00CB3A31" w:rsidRDefault="007A2D0C" w:rsidP="007A2D0C">
      <w:pPr>
        <w:jc w:val="both"/>
      </w:pPr>
    </w:p>
    <w:p w14:paraId="0C470761" w14:textId="77777777" w:rsidR="007A2D0C" w:rsidRPr="00CB3A31" w:rsidRDefault="007A2D0C" w:rsidP="007A2D0C">
      <w:pPr>
        <w:jc w:val="both"/>
      </w:pPr>
    </w:p>
    <w:p w14:paraId="4D575878" w14:textId="77777777" w:rsidR="007A2D0C" w:rsidRPr="00CB3A31" w:rsidRDefault="007A2D0C" w:rsidP="007A2D0C">
      <w:pPr>
        <w:jc w:val="both"/>
      </w:pPr>
    </w:p>
    <w:p w14:paraId="673B8454" w14:textId="77777777" w:rsidR="007A2D0C" w:rsidRPr="00CB3A31" w:rsidRDefault="007A2D0C" w:rsidP="007A2D0C">
      <w:pPr>
        <w:jc w:val="both"/>
      </w:pPr>
    </w:p>
    <w:p w14:paraId="38B2F45B" w14:textId="77777777" w:rsidR="007A2D0C" w:rsidRPr="00CB3A31" w:rsidRDefault="007A2D0C" w:rsidP="007A2D0C">
      <w:pPr>
        <w:jc w:val="both"/>
      </w:pPr>
    </w:p>
    <w:p w14:paraId="0DE50B5F" w14:textId="77777777" w:rsidR="007A2D0C" w:rsidRPr="00CB3A31" w:rsidRDefault="007A2D0C" w:rsidP="007A2D0C">
      <w:pPr>
        <w:jc w:val="both"/>
      </w:pPr>
    </w:p>
    <w:p w14:paraId="2C69DA90" w14:textId="77777777" w:rsidR="007A2D0C" w:rsidRPr="00CB3A31" w:rsidRDefault="007A2D0C" w:rsidP="007A2D0C">
      <w:pPr>
        <w:jc w:val="both"/>
      </w:pPr>
    </w:p>
    <w:p w14:paraId="73BF63B7" w14:textId="77777777" w:rsidR="007A2D0C" w:rsidRPr="007A2D0C" w:rsidRDefault="007A2D0C" w:rsidP="007A2D0C">
      <w:pPr>
        <w:jc w:val="both"/>
      </w:pPr>
      <w:r w:rsidRPr="007A2D0C">
        <w:rPr>
          <w:b/>
          <w:bCs/>
        </w:rPr>
        <w:lastRenderedPageBreak/>
        <w:t>Από το Σκοτάδι στην Καινοτομία: Τι μας Διδάσκουν οι Νυχτερίδες</w:t>
      </w:r>
    </w:p>
    <w:p w14:paraId="1061512E" w14:textId="77777777" w:rsidR="007A2D0C" w:rsidRPr="007A2D0C" w:rsidRDefault="007A2D0C" w:rsidP="007A2D0C">
      <w:pPr>
        <w:jc w:val="both"/>
      </w:pPr>
      <w:r w:rsidRPr="007A2D0C">
        <w:t>Βλασταρίδης Μάριος-Αργύριος</w:t>
      </w:r>
      <w:r w:rsidRPr="007A2D0C">
        <w:rPr>
          <w:vertAlign w:val="superscript"/>
        </w:rPr>
        <w:t>1</w:t>
      </w:r>
      <w:r w:rsidRPr="007A2D0C">
        <w:t>, Παπαδοπούλου Ευαγγελία</w:t>
      </w:r>
      <w:r w:rsidRPr="007A2D0C">
        <w:rPr>
          <w:vertAlign w:val="superscript"/>
        </w:rPr>
        <w:t>1</w:t>
      </w:r>
      <w:r w:rsidRPr="007A2D0C">
        <w:t>, Χατζηθεοδώρου Γιώργος</w:t>
      </w:r>
      <w:r w:rsidRPr="007A2D0C">
        <w:rPr>
          <w:vertAlign w:val="superscript"/>
        </w:rPr>
        <w:t>1</w:t>
      </w:r>
      <w:r w:rsidRPr="007A2D0C">
        <w:t>, Ξενούλης Παναγιώτης</w:t>
      </w:r>
      <w:r w:rsidRPr="007A2D0C">
        <w:rPr>
          <w:vertAlign w:val="superscript"/>
        </w:rPr>
        <w:t>2</w:t>
      </w:r>
    </w:p>
    <w:p w14:paraId="00740232" w14:textId="77777777" w:rsidR="007A2D0C" w:rsidRPr="007A2D0C" w:rsidRDefault="007A2D0C" w:rsidP="007A2D0C">
      <w:pPr>
        <w:numPr>
          <w:ilvl w:val="0"/>
          <w:numId w:val="29"/>
        </w:numPr>
        <w:jc w:val="both"/>
      </w:pPr>
      <w:r w:rsidRPr="007A2D0C">
        <w:t>Προπτυχιακός/ή φοιτητής/τρια, Τμήμα Κτηνιατρικής, Σχολή Επιστημών Υγείας, Πανεπιστήμιο Θεσσαλίας.</w:t>
      </w:r>
    </w:p>
    <w:p w14:paraId="7D84D947" w14:textId="77777777" w:rsidR="007A2D0C" w:rsidRPr="007A2D0C" w:rsidRDefault="007A2D0C" w:rsidP="007A2D0C">
      <w:pPr>
        <w:numPr>
          <w:ilvl w:val="0"/>
          <w:numId w:val="29"/>
        </w:numPr>
        <w:jc w:val="both"/>
      </w:pPr>
      <w:r w:rsidRPr="007A2D0C">
        <w:t>Καθηγητής Παθολογίας ζώων συντροφιάς,Τμήμα Κτηνιατρικής, Σχολή Επιστημών Υγείας, Πανεπιστήμιο Θεσσαλίας</w:t>
      </w:r>
    </w:p>
    <w:p w14:paraId="3D3352A2" w14:textId="77777777" w:rsidR="007A2D0C" w:rsidRPr="007A2D0C" w:rsidRDefault="007A2D0C" w:rsidP="007A2D0C">
      <w:pPr>
        <w:ind w:left="720"/>
        <w:jc w:val="both"/>
      </w:pPr>
    </w:p>
    <w:p w14:paraId="6C9083EF" w14:textId="77777777" w:rsidR="007A2D0C" w:rsidRPr="007A2D0C" w:rsidRDefault="007A2D0C" w:rsidP="007A2D0C">
      <w:pPr>
        <w:jc w:val="both"/>
      </w:pPr>
      <w:r w:rsidRPr="007A2D0C">
        <w:rPr>
          <w:b/>
          <w:bCs/>
        </w:rPr>
        <w:t>Περίληψη</w:t>
      </w:r>
    </w:p>
    <w:p w14:paraId="7F22590A" w14:textId="77777777" w:rsidR="007A2D0C" w:rsidRPr="007A2D0C" w:rsidRDefault="007A2D0C" w:rsidP="007A2D0C">
      <w:pPr>
        <w:jc w:val="both"/>
      </w:pPr>
      <w:r w:rsidRPr="007A2D0C">
        <w:t> Η παρουσίαση αναλύει 3 ιδιαίτερα χαρακτηριστικά των νυχτερίδων. Αρχικά εξερευνάται το  πώς οι νυχτερίδες χρησιμοποιούν τον ηχοεντοπισμό για την ανάλυση ακουστικών σκηνών. Εξετάζονται οι προσαρμοστικές αλλαγές στη συχνότητα, τη διάρκεια και την κατεύθυνση των σημάτων κατά το κυνήγι. Επιπλέον, συζητούνται οι μέθοδοι αυτόματης ταυτοποίησης ειδών για την παρακολούθηση και διατήρησή τους. Τέλος, αναδεικνύεται πώς οι συμπεριφορές αυτές εμπνέουν τεχνολογικές καινοτομίες σε συστήματα πλοήγησης.  Στη συνέχεια  αναλύονται  οι μοναδικές βιομηχανικές προσαρμογές των νυχτερίδων, εστιάζοντας κυρίως στον Μηχανισμό Κλειδώματος Τενόντων (TLM) που τους επιτρέπει να κρέμονται ανάποδα χωρίς κατανάλωση ενέργειας. Αυτή η ανατομική ιδιαιτερότητα ανάρτησης των νυχτερίδων έχει αποτελέσει πηγή έμπνευσης για ρομπότ της NASA και προηγμένα drones γεγονός που αναδεικνύει την συμβολή της βιομημησης στην ανάπτυξη της τεχνολογίας. Τέλος εξετάζεται  το «μεταβολικό παράδοξο» των νεκταροφάγων νυχτερίδων, οι οποίες καταναλώνουν μεγάλες ποσότητες ζάχαρης χωρίς τοξικές συνέπειες. Η ανοχή τους οφείλεται σε μηχανισμούς όπως η άμεση οξείδωση των σακχάρων στους μύες πτήσης και οι προσαρμογές στα ένζυμα ALDOB και PDH. Παράλληλα, το πάγκρεάς τους διαθέτει αυξημένα β-κύτταρα για ταχύτατη ρύθμιση της γλυκόζης. Αυτές οι προσαρμογές προσφέρουν πολύτιμες γνώσεις για την αντιμετώπιση του διαβήτη τύπου 2.</w:t>
      </w:r>
    </w:p>
    <w:p w14:paraId="63BEC027" w14:textId="77777777" w:rsidR="007A2D0C" w:rsidRPr="007A2D0C" w:rsidRDefault="007A2D0C" w:rsidP="007A2D0C">
      <w:pPr>
        <w:jc w:val="both"/>
      </w:pPr>
    </w:p>
    <w:p w14:paraId="27DE8B2F" w14:textId="77777777" w:rsidR="007A2D0C" w:rsidRPr="00382DF1" w:rsidRDefault="007A2D0C" w:rsidP="007A2D0C">
      <w:pPr>
        <w:jc w:val="both"/>
        <w:rPr>
          <w:lang w:val="en-US"/>
        </w:rPr>
      </w:pPr>
      <w:r w:rsidRPr="007A2D0C">
        <w:rPr>
          <w:b/>
          <w:bCs/>
        </w:rPr>
        <w:t>Βιβλιογραφία</w:t>
      </w:r>
    </w:p>
    <w:p w14:paraId="1F8E5CF2" w14:textId="77777777" w:rsidR="007A2D0C" w:rsidRPr="00382DF1" w:rsidRDefault="007A2D0C" w:rsidP="007A2D0C">
      <w:pPr>
        <w:jc w:val="both"/>
        <w:rPr>
          <w:lang w:val="en-US"/>
        </w:rPr>
      </w:pPr>
      <w:r w:rsidRPr="00382DF1">
        <w:rPr>
          <w:lang w:val="en-US"/>
        </w:rPr>
        <w:t>Candanosa, R. M. (2019, October 18).</w:t>
      </w:r>
      <w:r w:rsidRPr="00382DF1">
        <w:rPr>
          <w:i/>
          <w:iCs/>
          <w:lang w:val="en-US"/>
        </w:rPr>
        <w:t> A robot inspired by bats to make flying drones safer and more energy-efficient.</w:t>
      </w:r>
      <w:r w:rsidRPr="00382DF1">
        <w:rPr>
          <w:lang w:val="en-US"/>
        </w:rPr>
        <w:t xml:space="preserve"> Northeastern Global News. </w:t>
      </w:r>
    </w:p>
    <w:p w14:paraId="339085B5" w14:textId="77777777" w:rsidR="007A2D0C" w:rsidRPr="00382DF1" w:rsidRDefault="007A2D0C" w:rsidP="007A2D0C">
      <w:pPr>
        <w:jc w:val="both"/>
        <w:rPr>
          <w:lang w:val="en-US"/>
        </w:rPr>
      </w:pPr>
      <w:r w:rsidRPr="00382DF1">
        <w:rPr>
          <w:lang w:val="en-US"/>
        </w:rPr>
        <w:t xml:space="preserve">Howell, D. J., &amp; Pylka, J. (1977). </w:t>
      </w:r>
      <w:r w:rsidRPr="00382DF1">
        <w:rPr>
          <w:i/>
          <w:iCs/>
          <w:lang w:val="en-US"/>
        </w:rPr>
        <w:t>Why bats hang upside down: A biomechanical hypothesis.</w:t>
      </w:r>
      <w:r w:rsidRPr="00382DF1">
        <w:rPr>
          <w:lang w:val="en-US"/>
        </w:rPr>
        <w:t> Journal of Theoretical Biology, 69(4), 625–631. </w:t>
      </w:r>
    </w:p>
    <w:p w14:paraId="4A6649C5" w14:textId="77777777" w:rsidR="007A2D0C" w:rsidRPr="00382DF1" w:rsidRDefault="007A2D0C" w:rsidP="007A2D0C">
      <w:pPr>
        <w:jc w:val="both"/>
        <w:rPr>
          <w:lang w:val="en-US"/>
        </w:rPr>
      </w:pPr>
      <w:r w:rsidRPr="00382DF1">
        <w:rPr>
          <w:lang w:val="en-US"/>
        </w:rPr>
        <w:t>Kanis, S. (2016, November 8).</w:t>
      </w:r>
      <w:r w:rsidRPr="00382DF1">
        <w:rPr>
          <w:i/>
          <w:iCs/>
          <w:lang w:val="en-US"/>
        </w:rPr>
        <w:t> What is Astrobee? NASA. </w:t>
      </w:r>
    </w:p>
    <w:p w14:paraId="5128DC50" w14:textId="77777777" w:rsidR="007A2D0C" w:rsidRPr="00382DF1" w:rsidRDefault="007A2D0C" w:rsidP="007A2D0C">
      <w:pPr>
        <w:jc w:val="both"/>
        <w:rPr>
          <w:lang w:val="en-US"/>
        </w:rPr>
      </w:pPr>
      <w:r w:rsidRPr="00382DF1">
        <w:rPr>
          <w:lang w:val="en-US"/>
        </w:rPr>
        <w:t xml:space="preserve">Kelm, D. H., Simon, R., Kuhlow, D., Voigt, C. C., &amp; Ristow, M. (2011). </w:t>
      </w:r>
      <w:r w:rsidRPr="00382DF1">
        <w:rPr>
          <w:i/>
          <w:iCs/>
          <w:lang w:val="en-US"/>
        </w:rPr>
        <w:t>High activity enables life on a high-sugar diet: Blood glucose regulation in nectar-feeding bats.</w:t>
      </w:r>
      <w:r w:rsidRPr="00382DF1">
        <w:rPr>
          <w:lang w:val="en-US"/>
        </w:rPr>
        <w:t> Proceedings of the Royal Society B: Biological Sciences, 278(1724), 3490–3496. </w:t>
      </w:r>
    </w:p>
    <w:p w14:paraId="2798C96C" w14:textId="77777777" w:rsidR="007A2D0C" w:rsidRPr="00382DF1" w:rsidRDefault="007A2D0C" w:rsidP="007A2D0C">
      <w:pPr>
        <w:jc w:val="both"/>
        <w:rPr>
          <w:lang w:val="en-US"/>
        </w:rPr>
      </w:pPr>
      <w:r w:rsidRPr="00382DF1">
        <w:rPr>
          <w:lang w:val="en-US"/>
        </w:rPr>
        <w:t>Meadows, R. (2015).</w:t>
      </w:r>
      <w:r w:rsidRPr="00382DF1">
        <w:rPr>
          <w:i/>
          <w:iCs/>
          <w:lang w:val="en-US"/>
        </w:rPr>
        <w:t xml:space="preserve"> How bats land upside down.</w:t>
      </w:r>
      <w:r w:rsidRPr="00382DF1">
        <w:rPr>
          <w:lang w:val="en-US"/>
        </w:rPr>
        <w:t> PLOS Biology, 13(11), e1002298.</w:t>
      </w:r>
    </w:p>
    <w:p w14:paraId="2B73FE57" w14:textId="77777777" w:rsidR="007A2D0C" w:rsidRPr="00382DF1" w:rsidRDefault="007A2D0C" w:rsidP="007A2D0C">
      <w:pPr>
        <w:jc w:val="both"/>
        <w:rPr>
          <w:lang w:val="en-US"/>
        </w:rPr>
      </w:pPr>
      <w:r w:rsidRPr="00382DF1">
        <w:rPr>
          <w:lang w:val="en-US"/>
        </w:rPr>
        <w:t xml:space="preserve">Moss, C. F., &amp; Surlykke, A. (2010). </w:t>
      </w:r>
      <w:r w:rsidRPr="00382DF1">
        <w:rPr>
          <w:i/>
          <w:iCs/>
          <w:lang w:val="en-US"/>
        </w:rPr>
        <w:t>Probing the natural scene by echolocation in bats. </w:t>
      </w:r>
      <w:r w:rsidRPr="00382DF1">
        <w:rPr>
          <w:lang w:val="en-US"/>
        </w:rPr>
        <w:t>Frontiers in Behavioral Neuroscience, 4, 33. </w:t>
      </w:r>
    </w:p>
    <w:p w14:paraId="1BF11BBC" w14:textId="77777777" w:rsidR="007A2D0C" w:rsidRPr="00382DF1" w:rsidRDefault="007A2D0C" w:rsidP="007A2D0C">
      <w:pPr>
        <w:jc w:val="both"/>
        <w:rPr>
          <w:lang w:val="en-US"/>
        </w:rPr>
      </w:pPr>
      <w:r w:rsidRPr="00382DF1">
        <w:rPr>
          <w:lang w:val="en-US"/>
        </w:rPr>
        <w:lastRenderedPageBreak/>
        <w:t>Owen, J. (2015, November 16). </w:t>
      </w:r>
      <w:r w:rsidRPr="00382DF1">
        <w:rPr>
          <w:i/>
          <w:iCs/>
          <w:lang w:val="en-US"/>
        </w:rPr>
        <w:t xml:space="preserve">Mystery solved: How bats can land upside down. </w:t>
      </w:r>
      <w:r w:rsidRPr="00382DF1">
        <w:rPr>
          <w:lang w:val="en-US"/>
        </w:rPr>
        <w:t>National Geographic. </w:t>
      </w:r>
    </w:p>
    <w:p w14:paraId="0BC1C3C2" w14:textId="77777777" w:rsidR="007A2D0C" w:rsidRPr="00382DF1" w:rsidRDefault="007A2D0C" w:rsidP="007A2D0C">
      <w:pPr>
        <w:jc w:val="both"/>
        <w:rPr>
          <w:lang w:val="en-US"/>
        </w:rPr>
      </w:pPr>
      <w:r w:rsidRPr="00382DF1">
        <w:rPr>
          <w:lang w:val="en-US"/>
        </w:rPr>
        <w:t xml:space="preserve">Peng, X., He, X., Sun, Y., Liang, J., Xie, H., Wang, J., &amp; Zhang, L. (2019). </w:t>
      </w:r>
      <w:r w:rsidRPr="00382DF1">
        <w:rPr>
          <w:i/>
          <w:iCs/>
          <w:lang w:val="en-US"/>
        </w:rPr>
        <w:t>Difference in glucose tolerance between phytophagous and insectivorous bats. </w:t>
      </w:r>
      <w:r w:rsidRPr="00382DF1">
        <w:rPr>
          <w:lang w:val="en-US"/>
        </w:rPr>
        <w:t>Journal of Comparative Physiology B, 189(6), 751–756. </w:t>
      </w:r>
    </w:p>
    <w:p w14:paraId="237F8F64" w14:textId="77777777" w:rsidR="007A2D0C" w:rsidRPr="00382DF1" w:rsidRDefault="007A2D0C" w:rsidP="007A2D0C">
      <w:pPr>
        <w:jc w:val="both"/>
        <w:rPr>
          <w:lang w:val="en-US"/>
        </w:rPr>
      </w:pPr>
      <w:r w:rsidRPr="00382DF1">
        <w:rPr>
          <w:lang w:val="en-US"/>
        </w:rPr>
        <w:t xml:space="preserve">Pino-Aedo, L., &amp; Muñoz-Sáez, A. (2026). </w:t>
      </w:r>
      <w:r w:rsidRPr="00382DF1">
        <w:rPr>
          <w:i/>
          <w:iCs/>
          <w:lang w:val="en-US"/>
        </w:rPr>
        <w:t>A systematic review of bat echolocation analysis methods and their implications for monitoring and conservation. </w:t>
      </w:r>
      <w:r w:rsidRPr="00382DF1">
        <w:rPr>
          <w:lang w:val="en-US"/>
        </w:rPr>
        <w:t>Discover Conservation, 3, 17.</w:t>
      </w:r>
    </w:p>
    <w:p w14:paraId="6FACC5B8" w14:textId="77777777" w:rsidR="007A2D0C" w:rsidRPr="00382DF1" w:rsidRDefault="007A2D0C" w:rsidP="007A2D0C">
      <w:pPr>
        <w:jc w:val="both"/>
        <w:rPr>
          <w:lang w:val="en-US"/>
        </w:rPr>
      </w:pPr>
      <w:r w:rsidRPr="00382DF1">
        <w:rPr>
          <w:lang w:val="en-US"/>
        </w:rPr>
        <w:t xml:space="preserve">Potter, J. H. T., Drinkwater, R., Davies, K. T. J., Nesi, N., Lim, M. C. W., Yohe, L. R., Chi, H., Zhang, X., Levantis, I., Lim, B. K., Witt, C. C., Tsagkogeorga, G., dos Reis, M., Liu, Y., Furey, W., Whitley, M. J., Aksentijevic, D., Dávalos, L. M., &amp; Rossiter, S. J. (2021). </w:t>
      </w:r>
      <w:r w:rsidRPr="00382DF1">
        <w:rPr>
          <w:i/>
          <w:iCs/>
          <w:lang w:val="en-US"/>
        </w:rPr>
        <w:t>Nectar-feeding bats and birds show parallel molecular adaptations in sugar metabolism enzymes.</w:t>
      </w:r>
      <w:r w:rsidRPr="00382DF1">
        <w:rPr>
          <w:lang w:val="en-US"/>
        </w:rPr>
        <w:t> Current Biology, 31(20), 4667–4674.e6. </w:t>
      </w:r>
    </w:p>
    <w:p w14:paraId="522A0E3E" w14:textId="77777777" w:rsidR="007A2D0C" w:rsidRPr="00382DF1" w:rsidRDefault="007A2D0C" w:rsidP="007A2D0C">
      <w:pPr>
        <w:jc w:val="both"/>
        <w:rPr>
          <w:lang w:val="en-US"/>
        </w:rPr>
      </w:pPr>
      <w:r w:rsidRPr="00382DF1">
        <w:rPr>
          <w:lang w:val="en-US"/>
        </w:rPr>
        <w:t xml:space="preserve">Quinn, T. H., &amp; Baumel, J. J. (1993). </w:t>
      </w:r>
      <w:r w:rsidRPr="00382DF1">
        <w:rPr>
          <w:i/>
          <w:iCs/>
          <w:lang w:val="en-US"/>
        </w:rPr>
        <w:t>Chiropteran tendon locking mechanism.</w:t>
      </w:r>
      <w:r w:rsidRPr="00382DF1">
        <w:rPr>
          <w:lang w:val="en-US"/>
        </w:rPr>
        <w:t> Journal of Morphology, 216(2), 197–208. </w:t>
      </w:r>
    </w:p>
    <w:p w14:paraId="327137AB" w14:textId="77777777" w:rsidR="007A2D0C" w:rsidRPr="00382DF1" w:rsidRDefault="007A2D0C" w:rsidP="007A2D0C">
      <w:pPr>
        <w:jc w:val="both"/>
        <w:rPr>
          <w:lang w:val="en-US"/>
        </w:rPr>
      </w:pPr>
      <w:r w:rsidRPr="00382DF1">
        <w:rPr>
          <w:lang w:val="en-US"/>
        </w:rPr>
        <w:t>Ramezani, A. (2020).</w:t>
      </w:r>
      <w:r w:rsidRPr="00382DF1">
        <w:rPr>
          <w:i/>
          <w:iCs/>
          <w:lang w:val="en-US"/>
        </w:rPr>
        <w:t xml:space="preserve"> Towards biomimicry of a bat-style perching maneuver on structures: The manipulation of inertial dynamics.</w:t>
      </w:r>
      <w:r w:rsidRPr="00382DF1">
        <w:rPr>
          <w:lang w:val="en-US"/>
        </w:rPr>
        <w:t xml:space="preserve"> In 2020 IEEE International Conference on Robotics and Automation (ICRA) (pp. 7015–7021). IEEE.</w:t>
      </w:r>
    </w:p>
    <w:p w14:paraId="3C71581D" w14:textId="77777777" w:rsidR="007A2D0C" w:rsidRPr="00382DF1" w:rsidRDefault="007A2D0C" w:rsidP="007A2D0C">
      <w:pPr>
        <w:jc w:val="both"/>
        <w:rPr>
          <w:lang w:val="en-US"/>
        </w:rPr>
      </w:pPr>
      <w:r w:rsidRPr="00382DF1">
        <w:rPr>
          <w:lang w:val="en-US"/>
        </w:rPr>
        <w:t>Shen, B., Han, X., Zhang, J., Rossiter, S. J., &amp; Zhang, S. (2012).</w:t>
      </w:r>
      <w:r w:rsidRPr="00382DF1">
        <w:rPr>
          <w:i/>
          <w:iCs/>
          <w:lang w:val="en-US"/>
        </w:rPr>
        <w:t xml:space="preserve"> Adaptive evolution in the glucose transporter 4 gene Slc2a4 in Old World fruit bats (Family: Pteropodidae)</w:t>
      </w:r>
      <w:r w:rsidRPr="00382DF1">
        <w:rPr>
          <w:lang w:val="en-US"/>
        </w:rPr>
        <w:t>. PLoS ONE, 7(4), e33197. </w:t>
      </w:r>
    </w:p>
    <w:p w14:paraId="634E24D4" w14:textId="77777777" w:rsidR="007A2D0C" w:rsidRPr="00382DF1" w:rsidRDefault="007A2D0C" w:rsidP="007A2D0C">
      <w:pPr>
        <w:jc w:val="both"/>
        <w:rPr>
          <w:lang w:val="en-US"/>
        </w:rPr>
      </w:pPr>
      <w:r w:rsidRPr="00382DF1">
        <w:rPr>
          <w:lang w:val="en-US"/>
        </w:rPr>
        <w:t xml:space="preserve">Sterbing-D’Angelo, S., Chadha, M., Chiu, C., Falk, B., Xian, W., Barcelo, J., Zook, J. M., &amp; Moss, C. F. (2011). </w:t>
      </w:r>
      <w:r w:rsidRPr="00382DF1">
        <w:rPr>
          <w:i/>
          <w:iCs/>
          <w:lang w:val="en-US"/>
        </w:rPr>
        <w:t>Bat wing sensors support flight control.</w:t>
      </w:r>
      <w:r w:rsidRPr="00382DF1">
        <w:rPr>
          <w:lang w:val="en-US"/>
        </w:rPr>
        <w:t> Proceedings of the National Academy of Sciences, 108(27), 11291–11296.</w:t>
      </w:r>
    </w:p>
    <w:p w14:paraId="47E7C01E" w14:textId="77777777" w:rsidR="007A2D0C" w:rsidRPr="00382DF1" w:rsidRDefault="007A2D0C" w:rsidP="007A2D0C">
      <w:pPr>
        <w:jc w:val="both"/>
        <w:rPr>
          <w:lang w:val="en-US"/>
        </w:rPr>
      </w:pPr>
      <w:r w:rsidRPr="00382DF1">
        <w:rPr>
          <w:lang w:val="en-US"/>
        </w:rPr>
        <w:t>Suarez, R. K., &amp; Welch, K. C. (2017).</w:t>
      </w:r>
      <w:r w:rsidRPr="00382DF1">
        <w:rPr>
          <w:i/>
          <w:iCs/>
          <w:lang w:val="en-US"/>
        </w:rPr>
        <w:t xml:space="preserve"> Sugar metabolism in hummingbirds and nectar bats. </w:t>
      </w:r>
      <w:r w:rsidRPr="00382DF1">
        <w:rPr>
          <w:lang w:val="en-US"/>
        </w:rPr>
        <w:t>Nutrients, 9(7), 743. </w:t>
      </w:r>
    </w:p>
    <w:p w14:paraId="20C21658" w14:textId="77777777" w:rsidR="007A2D0C" w:rsidRPr="00382DF1" w:rsidRDefault="007A2D0C" w:rsidP="007A2D0C">
      <w:pPr>
        <w:jc w:val="both"/>
        <w:rPr>
          <w:lang w:val="en-US"/>
        </w:rPr>
      </w:pPr>
      <w:r w:rsidRPr="00382DF1">
        <w:rPr>
          <w:lang w:val="en-US"/>
        </w:rPr>
        <w:t xml:space="preserve">Welch, K. C., Herrera, L. G. M., &amp; Suarez, R. K. (2011). </w:t>
      </w:r>
      <w:r w:rsidRPr="00382DF1">
        <w:rPr>
          <w:i/>
          <w:iCs/>
          <w:lang w:val="en-US"/>
        </w:rPr>
        <w:t>Oxidation of dietary sugar during hovering flight in small vertebrate nectarivores. </w:t>
      </w:r>
      <w:r w:rsidRPr="00382DF1">
        <w:rPr>
          <w:lang w:val="en-US"/>
        </w:rPr>
        <w:t>Journal of Experimental Biology, 214(19), 3324–3324. </w:t>
      </w:r>
    </w:p>
    <w:p w14:paraId="50DFE078" w14:textId="77777777" w:rsidR="007A2D0C" w:rsidRPr="00CB3A31" w:rsidRDefault="007A2D0C" w:rsidP="007A2D0C">
      <w:pPr>
        <w:jc w:val="both"/>
      </w:pPr>
      <w:r w:rsidRPr="00382DF1">
        <w:rPr>
          <w:lang w:val="en-US"/>
        </w:rPr>
        <w:t xml:space="preserve">Zhang, C., Ji, L., Li, Z., Lucas, J. R., Feng, J., Sun, C., &amp; Jiang, T. (2024). </w:t>
      </w:r>
      <w:r w:rsidRPr="00382DF1">
        <w:rPr>
          <w:i/>
          <w:iCs/>
          <w:lang w:val="en-US"/>
        </w:rPr>
        <w:t>Resting posture drives the evolution of agonistic displays in bats.</w:t>
      </w:r>
      <w:r w:rsidRPr="00382DF1">
        <w:rPr>
          <w:lang w:val="en-US"/>
        </w:rPr>
        <w:t> </w:t>
      </w:r>
      <w:r w:rsidRPr="007A2D0C">
        <w:t>Evolution, 78(5), 964–970. </w:t>
      </w:r>
    </w:p>
    <w:p w14:paraId="1AEE4651" w14:textId="77777777" w:rsidR="007A2D0C" w:rsidRPr="00CB3A31" w:rsidRDefault="007A2D0C" w:rsidP="007A2D0C">
      <w:pPr>
        <w:jc w:val="both"/>
      </w:pPr>
    </w:p>
    <w:p w14:paraId="6F8D779E" w14:textId="77777777" w:rsidR="007A2D0C" w:rsidRPr="00CB3A31" w:rsidRDefault="007A2D0C" w:rsidP="007A2D0C">
      <w:pPr>
        <w:jc w:val="both"/>
      </w:pPr>
    </w:p>
    <w:p w14:paraId="35FE9121" w14:textId="77777777" w:rsidR="007A2D0C" w:rsidRPr="00CB3A31" w:rsidRDefault="007A2D0C" w:rsidP="007A2D0C">
      <w:pPr>
        <w:jc w:val="both"/>
      </w:pPr>
    </w:p>
    <w:p w14:paraId="176AA8F2" w14:textId="77777777" w:rsidR="007A2D0C" w:rsidRPr="00CB3A31" w:rsidRDefault="007A2D0C" w:rsidP="007A2D0C">
      <w:pPr>
        <w:jc w:val="both"/>
      </w:pPr>
    </w:p>
    <w:p w14:paraId="3827B595" w14:textId="77777777" w:rsidR="007A2D0C" w:rsidRPr="00CB3A31" w:rsidRDefault="007A2D0C" w:rsidP="007A2D0C">
      <w:pPr>
        <w:jc w:val="both"/>
      </w:pPr>
    </w:p>
    <w:p w14:paraId="22A36FB3" w14:textId="77777777" w:rsidR="007A2D0C" w:rsidRPr="00CB3A31" w:rsidRDefault="007A2D0C" w:rsidP="007A2D0C">
      <w:pPr>
        <w:jc w:val="both"/>
      </w:pPr>
    </w:p>
    <w:p w14:paraId="12AE2CE9" w14:textId="77777777" w:rsidR="007A2D0C" w:rsidRPr="00CB3A31" w:rsidRDefault="007A2D0C" w:rsidP="007A2D0C">
      <w:pPr>
        <w:jc w:val="both"/>
      </w:pPr>
    </w:p>
    <w:p w14:paraId="20E37663" w14:textId="77777777" w:rsidR="007A2D0C" w:rsidRPr="007A2D0C" w:rsidRDefault="007A2D0C" w:rsidP="007A2D0C">
      <w:pPr>
        <w:jc w:val="both"/>
      </w:pPr>
    </w:p>
    <w:p w14:paraId="37B345C5" w14:textId="77777777" w:rsidR="007A2D0C" w:rsidRPr="007A2D0C" w:rsidRDefault="007A2D0C" w:rsidP="007A2D0C">
      <w:pPr>
        <w:jc w:val="both"/>
      </w:pPr>
      <w:r w:rsidRPr="007A2D0C">
        <w:rPr>
          <w:b/>
          <w:bCs/>
        </w:rPr>
        <w:lastRenderedPageBreak/>
        <w:t>Ανάλυση δεδομένων και εφαρμογή πρωτοκόλλων εκβρασμών κητωδών στη Μεσόγειο Θάλασσα &amp; Κριτήρια ανθρωπογενούς αλληλεπίδρασης</w:t>
      </w:r>
    </w:p>
    <w:p w14:paraId="738858CD" w14:textId="7F86A6CB" w:rsidR="007A2D0C" w:rsidRPr="007A2D0C" w:rsidRDefault="007A2D0C" w:rsidP="007A2D0C">
      <w:pPr>
        <w:jc w:val="both"/>
      </w:pPr>
      <w:r w:rsidRPr="007A2D0C">
        <w:t>Σταυρίδου Φωτεινή</w:t>
      </w:r>
      <w:r w:rsidRPr="007A2D0C">
        <w:rPr>
          <w:vertAlign w:val="superscript"/>
        </w:rPr>
        <w:t>1</w:t>
      </w:r>
      <w:r w:rsidRPr="007A2D0C">
        <w:t>,</w:t>
      </w:r>
      <w:r w:rsidR="00CB3A31">
        <w:t xml:space="preserve"> </w:t>
      </w:r>
      <w:r w:rsidRPr="007A2D0C">
        <w:t>Τζηρίνη Μαρία</w:t>
      </w:r>
      <w:r w:rsidRPr="007A2D0C">
        <w:rPr>
          <w:vertAlign w:val="superscript"/>
        </w:rPr>
        <w:t>1</w:t>
      </w:r>
      <w:r w:rsidRPr="007A2D0C">
        <w:t>, Κομνηνού Αναστασία</w:t>
      </w:r>
      <w:r w:rsidRPr="007A2D0C">
        <w:rPr>
          <w:vertAlign w:val="superscript"/>
        </w:rPr>
        <w:t>2</w:t>
      </w:r>
    </w:p>
    <w:p w14:paraId="50C3A031" w14:textId="77777777" w:rsidR="007A2D0C" w:rsidRPr="007A2D0C" w:rsidRDefault="007A2D0C" w:rsidP="007A2D0C">
      <w:pPr>
        <w:numPr>
          <w:ilvl w:val="0"/>
          <w:numId w:val="30"/>
        </w:numPr>
        <w:jc w:val="both"/>
      </w:pPr>
      <w:r w:rsidRPr="007A2D0C">
        <w:t>Προπτυχιακή φοιτήτρια, Τμήμα Κτηνιατρικής, Σχολή Επιστημών Υγείας, Αριστοτέλειο Πανεπιστήμιο Θεσσαλονίκης</w:t>
      </w:r>
    </w:p>
    <w:p w14:paraId="7BE54B0B" w14:textId="77777777" w:rsidR="007A2D0C" w:rsidRPr="007A2D0C" w:rsidRDefault="007A2D0C" w:rsidP="007A2D0C">
      <w:pPr>
        <w:numPr>
          <w:ilvl w:val="0"/>
          <w:numId w:val="30"/>
        </w:numPr>
        <w:jc w:val="both"/>
      </w:pPr>
      <w:r w:rsidRPr="007A2D0C">
        <w:t>Καθηγήτρια Χειρουργικής–Συγκριτικής Οφθαλμολογίας και Κτηνιατρικής Κατοικίδιων Εξωτικών και Άγριων Ζώων, Κλινική Ζώων Συντροφιάς, Τομέας Κλινικών, Τμήμα Κτηνιατρικής, Σχολή Επιστημών Υγείας, Αριστοτέλειο Πανεπιστήμιο Θεσσαλονίκης</w:t>
      </w:r>
    </w:p>
    <w:p w14:paraId="267CDDA2" w14:textId="77777777" w:rsidR="007A2D0C" w:rsidRPr="007A2D0C" w:rsidRDefault="007A2D0C" w:rsidP="007A2D0C">
      <w:pPr>
        <w:jc w:val="both"/>
      </w:pPr>
    </w:p>
    <w:p w14:paraId="1F4F546A" w14:textId="77777777" w:rsidR="007A2D0C" w:rsidRPr="007A2D0C" w:rsidRDefault="007A2D0C" w:rsidP="007A2D0C">
      <w:pPr>
        <w:jc w:val="both"/>
      </w:pPr>
      <w:r w:rsidRPr="007A2D0C">
        <w:rPr>
          <w:b/>
          <w:bCs/>
        </w:rPr>
        <w:t>Περίληψη</w:t>
      </w:r>
    </w:p>
    <w:p w14:paraId="416621B4" w14:textId="77777777" w:rsidR="007A2D0C" w:rsidRPr="00CB3A31" w:rsidRDefault="007A2D0C" w:rsidP="007A2D0C">
      <w:pPr>
        <w:jc w:val="both"/>
      </w:pPr>
      <w:r w:rsidRPr="007A2D0C">
        <w:t>Η παρούσα βιβλιογραφική εργασία εξετάζει δεδομένα εκβρασμών κητωδών κατά μήκος της Μεσόγειου Θάλασσας, καθώς και την εφαρμογή σχετικών πρωτοκόλλων διαχείρισης των χωρών που βρέχονται από αυτή. Διερευνώνται τα αίτια εκβρασμών και η συχνότητά τους, με έμφαση στη διάκριση φυσικών και ανθρωπογενών παραγόντων. Παράλληλα, αναφέρονται τα πρωτόκολλα εκβρασμού διάφορων χωρών της Μεσογείου, με σκοπό την εκτίμηση του κάθε σχεδίου δράσης, αλλά και την εύρεση των ελλείψεων, ώστε να προταθούν αλλαγές. Ένα σημαντικό κομμάτι στο οποίο δίνεται προσοχή, είναι η αλληλεπίδραση με την αλιεία, καθώς η συμβίωση των κητωδών με την αλιευτική δραστηριότητα ήταν πάντοτε πολύπλοκη. Η μελέτη αυτή έχει σκοπό να συμβάλλει στην καλύτερη κατανόηση των προβλημάτων που αντιμετωπίζουν τα κητώδη και προτείνει βελτιώσεις στη διαχείριση, με στόχο την προστασία και διατήρηση των πληθυσμών τους στη Μεσόγειο και όχι μόνο.</w:t>
      </w:r>
    </w:p>
    <w:p w14:paraId="206A1CA2" w14:textId="77777777" w:rsidR="007A2D0C" w:rsidRPr="00CB3A31" w:rsidRDefault="007A2D0C" w:rsidP="007A2D0C">
      <w:pPr>
        <w:jc w:val="both"/>
      </w:pPr>
    </w:p>
    <w:p w14:paraId="0627BCE7" w14:textId="77777777" w:rsidR="007A2D0C" w:rsidRPr="00382DF1" w:rsidRDefault="007A2D0C" w:rsidP="007A2D0C">
      <w:pPr>
        <w:jc w:val="both"/>
        <w:rPr>
          <w:lang w:val="en-US"/>
        </w:rPr>
      </w:pPr>
      <w:r w:rsidRPr="007A2D0C">
        <w:rPr>
          <w:b/>
          <w:bCs/>
        </w:rPr>
        <w:t>Βιβλιογραφία</w:t>
      </w:r>
      <w:r w:rsidRPr="00382DF1">
        <w:rPr>
          <w:b/>
          <w:bCs/>
          <w:lang w:val="en-US"/>
        </w:rPr>
        <w:t> </w:t>
      </w:r>
    </w:p>
    <w:p w14:paraId="3D869A79" w14:textId="77777777" w:rsidR="007A2D0C" w:rsidRPr="00382DF1" w:rsidRDefault="007A2D0C" w:rsidP="007A2D0C">
      <w:pPr>
        <w:jc w:val="both"/>
        <w:rPr>
          <w:lang w:val="en-US"/>
        </w:rPr>
      </w:pPr>
      <w:r w:rsidRPr="00382DF1">
        <w:rPr>
          <w:lang w:val="en-US"/>
        </w:rPr>
        <w:t xml:space="preserve">National Institute of Oceanography and Fisheries (NIOF). (n.d.). </w:t>
      </w:r>
      <w:r w:rsidRPr="00382DF1">
        <w:rPr>
          <w:i/>
          <w:iCs/>
          <w:lang w:val="en-US"/>
        </w:rPr>
        <w:t>Home</w:t>
      </w:r>
      <w:r w:rsidRPr="00382DF1">
        <w:rPr>
          <w:lang w:val="en-US"/>
        </w:rPr>
        <w:t>.</w:t>
      </w:r>
      <w:hyperlink r:id="rId28" w:history="1">
        <w:r w:rsidRPr="00382DF1">
          <w:rPr>
            <w:rStyle w:val="-"/>
            <w:lang w:val="en-US"/>
          </w:rPr>
          <w:t> </w:t>
        </w:r>
      </w:hyperlink>
    </w:p>
    <w:p w14:paraId="6FE0E268" w14:textId="77777777" w:rsidR="007A2D0C" w:rsidRPr="00382DF1" w:rsidRDefault="007A2D0C" w:rsidP="007A2D0C">
      <w:pPr>
        <w:jc w:val="both"/>
        <w:rPr>
          <w:lang w:val="fr-FR"/>
        </w:rPr>
      </w:pPr>
      <w:r w:rsidRPr="00382DF1">
        <w:rPr>
          <w:lang w:val="en-US"/>
        </w:rPr>
        <w:t xml:space="preserve"> Coordinadora para o Estudio dos Mamíferos Mariños (CEMMA). </w:t>
      </w:r>
      <w:r w:rsidRPr="00382DF1">
        <w:rPr>
          <w:lang w:val="fr-FR"/>
        </w:rPr>
        <w:t xml:space="preserve">(n.d.). </w:t>
      </w:r>
      <w:r w:rsidRPr="00382DF1">
        <w:rPr>
          <w:i/>
          <w:iCs/>
          <w:lang w:val="fr-FR"/>
        </w:rPr>
        <w:t>Home</w:t>
      </w:r>
      <w:r w:rsidRPr="00382DF1">
        <w:rPr>
          <w:lang w:val="fr-FR"/>
        </w:rPr>
        <w:t>.</w:t>
      </w:r>
      <w:hyperlink r:id="rId29" w:history="1">
        <w:r w:rsidRPr="00382DF1">
          <w:rPr>
            <w:rStyle w:val="-"/>
            <w:lang w:val="fr-FR"/>
          </w:rPr>
          <w:t> </w:t>
        </w:r>
      </w:hyperlink>
    </w:p>
    <w:p w14:paraId="215A9071" w14:textId="77777777" w:rsidR="007A2D0C" w:rsidRPr="00382DF1" w:rsidRDefault="007A2D0C" w:rsidP="007A2D0C">
      <w:pPr>
        <w:jc w:val="both"/>
        <w:rPr>
          <w:lang w:val="en-US"/>
        </w:rPr>
      </w:pPr>
      <w:r w:rsidRPr="00382DF1">
        <w:rPr>
          <w:lang w:val="fr-FR"/>
        </w:rPr>
        <w:t xml:space="preserve"> Sociedad Española de Cetáceos (SEC). </w:t>
      </w:r>
      <w:r w:rsidRPr="00382DF1">
        <w:rPr>
          <w:lang w:val="en-US"/>
        </w:rPr>
        <w:t xml:space="preserve">(n.d.). </w:t>
      </w:r>
      <w:r w:rsidRPr="00382DF1">
        <w:rPr>
          <w:i/>
          <w:iCs/>
          <w:lang w:val="en-US"/>
        </w:rPr>
        <w:t>Home</w:t>
      </w:r>
      <w:r w:rsidRPr="00382DF1">
        <w:rPr>
          <w:lang w:val="en-US"/>
        </w:rPr>
        <w:t>.</w:t>
      </w:r>
      <w:hyperlink r:id="rId30" w:history="1">
        <w:r w:rsidRPr="00382DF1">
          <w:rPr>
            <w:rStyle w:val="-"/>
            <w:lang w:val="en-US"/>
          </w:rPr>
          <w:t> </w:t>
        </w:r>
      </w:hyperlink>
    </w:p>
    <w:p w14:paraId="2A63FED1" w14:textId="77777777" w:rsidR="007A2D0C" w:rsidRPr="00382DF1" w:rsidRDefault="007A2D0C" w:rsidP="007A2D0C">
      <w:pPr>
        <w:jc w:val="both"/>
        <w:rPr>
          <w:lang w:val="en-US"/>
        </w:rPr>
      </w:pPr>
      <w:r w:rsidRPr="00382DF1">
        <w:rPr>
          <w:lang w:val="en-US"/>
        </w:rPr>
        <w:t xml:space="preserve">Blue World Institute of Marine Research and Conservation. (n.d.). </w:t>
      </w:r>
      <w:r w:rsidRPr="00382DF1">
        <w:rPr>
          <w:i/>
          <w:iCs/>
          <w:lang w:val="en-US"/>
        </w:rPr>
        <w:t>Home</w:t>
      </w:r>
      <w:r w:rsidRPr="00382DF1">
        <w:rPr>
          <w:lang w:val="en-US"/>
        </w:rPr>
        <w:t>.</w:t>
      </w:r>
      <w:hyperlink r:id="rId31" w:history="1">
        <w:r w:rsidRPr="00382DF1">
          <w:rPr>
            <w:rStyle w:val="-"/>
            <w:lang w:val="en-US"/>
          </w:rPr>
          <w:t> </w:t>
        </w:r>
      </w:hyperlink>
    </w:p>
    <w:p w14:paraId="59336181" w14:textId="77777777" w:rsidR="007A2D0C" w:rsidRPr="00382DF1" w:rsidRDefault="007A2D0C" w:rsidP="007A2D0C">
      <w:pPr>
        <w:jc w:val="both"/>
        <w:rPr>
          <w:lang w:val="en-US"/>
        </w:rPr>
      </w:pPr>
      <w:r w:rsidRPr="00382DF1">
        <w:rPr>
          <w:lang w:val="en-US"/>
        </w:rPr>
        <w:t xml:space="preserve">Istituto Superiore per la Protezione e la Ricerca Ambientale (ISPRA). (n.d.). </w:t>
      </w:r>
      <w:r w:rsidRPr="00382DF1">
        <w:rPr>
          <w:i/>
          <w:iCs/>
          <w:lang w:val="en-US"/>
        </w:rPr>
        <w:t>Home</w:t>
      </w:r>
      <w:r w:rsidRPr="00382DF1">
        <w:rPr>
          <w:lang w:val="en-US"/>
        </w:rPr>
        <w:t>.</w:t>
      </w:r>
      <w:hyperlink r:id="rId32" w:history="1">
        <w:r w:rsidRPr="00382DF1">
          <w:rPr>
            <w:rStyle w:val="-"/>
            <w:lang w:val="en-US"/>
          </w:rPr>
          <w:t> </w:t>
        </w:r>
      </w:hyperlink>
    </w:p>
    <w:p w14:paraId="233079F1" w14:textId="77777777" w:rsidR="007A2D0C" w:rsidRPr="00382DF1" w:rsidRDefault="007A2D0C" w:rsidP="007A2D0C">
      <w:pPr>
        <w:jc w:val="both"/>
        <w:rPr>
          <w:lang w:val="en-US"/>
        </w:rPr>
      </w:pPr>
      <w:r w:rsidRPr="00382DF1">
        <w:rPr>
          <w:lang w:val="en-US"/>
        </w:rPr>
        <w:t xml:space="preserve">Turkish Marine Research Foundation (TÜDAV). (n.d.). </w:t>
      </w:r>
      <w:r w:rsidRPr="00382DF1">
        <w:rPr>
          <w:i/>
          <w:iCs/>
          <w:lang w:val="en-US"/>
        </w:rPr>
        <w:t>Home</w:t>
      </w:r>
      <w:r w:rsidRPr="00382DF1">
        <w:rPr>
          <w:lang w:val="en-US"/>
        </w:rPr>
        <w:t>.</w:t>
      </w:r>
      <w:hyperlink r:id="rId33" w:history="1">
        <w:r w:rsidRPr="00382DF1">
          <w:rPr>
            <w:rStyle w:val="-"/>
            <w:lang w:val="en-US"/>
          </w:rPr>
          <w:t> </w:t>
        </w:r>
      </w:hyperlink>
    </w:p>
    <w:p w14:paraId="15C2D17E" w14:textId="77777777" w:rsidR="007A2D0C" w:rsidRPr="00382DF1" w:rsidRDefault="007A2D0C" w:rsidP="007A2D0C">
      <w:pPr>
        <w:jc w:val="both"/>
        <w:rPr>
          <w:lang w:val="en-US"/>
        </w:rPr>
      </w:pPr>
      <w:r w:rsidRPr="00382DF1">
        <w:rPr>
          <w:lang w:val="en-US"/>
        </w:rPr>
        <w:t xml:space="preserve">ACCOBAMS. (n.d.). </w:t>
      </w:r>
      <w:r w:rsidRPr="00382DF1">
        <w:rPr>
          <w:i/>
          <w:iCs/>
          <w:lang w:val="en-US"/>
        </w:rPr>
        <w:t>Resolutions</w:t>
      </w:r>
      <w:r w:rsidRPr="00382DF1">
        <w:rPr>
          <w:lang w:val="en-US"/>
        </w:rPr>
        <w:t>.</w:t>
      </w:r>
      <w:hyperlink r:id="rId34" w:history="1">
        <w:r w:rsidRPr="00382DF1">
          <w:rPr>
            <w:rStyle w:val="-"/>
            <w:lang w:val="en-US"/>
          </w:rPr>
          <w:t> </w:t>
        </w:r>
      </w:hyperlink>
    </w:p>
    <w:p w14:paraId="6DEB986D" w14:textId="77777777" w:rsidR="007A2D0C" w:rsidRPr="00382DF1" w:rsidRDefault="007A2D0C" w:rsidP="007A2D0C">
      <w:pPr>
        <w:jc w:val="both"/>
        <w:rPr>
          <w:lang w:val="en-US"/>
        </w:rPr>
      </w:pPr>
      <w:r w:rsidRPr="00382DF1">
        <w:rPr>
          <w:lang w:val="en-US"/>
        </w:rPr>
        <w:t xml:space="preserve">ACCOBAMS. (2020). </w:t>
      </w:r>
      <w:r w:rsidRPr="00382DF1">
        <w:rPr>
          <w:i/>
          <w:iCs/>
          <w:lang w:val="en-US"/>
        </w:rPr>
        <w:t>Review on the functioning of MEDACES</w:t>
      </w:r>
      <w:r w:rsidRPr="00382DF1">
        <w:rPr>
          <w:lang w:val="en-US"/>
        </w:rPr>
        <w:t xml:space="preserve"> (MOP6.Inf27).</w:t>
      </w:r>
      <w:hyperlink r:id="rId35" w:history="1">
        <w:r w:rsidRPr="00382DF1">
          <w:rPr>
            <w:rStyle w:val="-"/>
            <w:lang w:val="en-US"/>
          </w:rPr>
          <w:t> </w:t>
        </w:r>
      </w:hyperlink>
    </w:p>
    <w:p w14:paraId="02437CA5" w14:textId="77777777" w:rsidR="007A2D0C" w:rsidRPr="007A2D0C" w:rsidRDefault="007A2D0C" w:rsidP="007A2D0C">
      <w:pPr>
        <w:jc w:val="both"/>
      </w:pPr>
      <w:r w:rsidRPr="007A2D0C">
        <w:t xml:space="preserve">Υπουργείο Περιβάλλοντος και Ενέργειας. (n.d.). </w:t>
      </w:r>
      <w:r w:rsidRPr="007A2D0C">
        <w:rPr>
          <w:i/>
          <w:iCs/>
        </w:rPr>
        <w:t>Εφαρμογή Σύμβασης CITES</w:t>
      </w:r>
      <w:r w:rsidRPr="007A2D0C">
        <w:t>.</w:t>
      </w:r>
      <w:hyperlink r:id="rId36" w:history="1">
        <w:r w:rsidRPr="007A2D0C">
          <w:rPr>
            <w:rStyle w:val="-"/>
          </w:rPr>
          <w:t> </w:t>
        </w:r>
      </w:hyperlink>
    </w:p>
    <w:p w14:paraId="721180E8" w14:textId="77777777" w:rsidR="007A2D0C" w:rsidRPr="00382DF1" w:rsidRDefault="007A2D0C" w:rsidP="007A2D0C">
      <w:pPr>
        <w:jc w:val="both"/>
        <w:rPr>
          <w:lang w:val="en-US"/>
        </w:rPr>
      </w:pPr>
      <w:r w:rsidRPr="00382DF1">
        <w:rPr>
          <w:lang w:val="en-US"/>
        </w:rPr>
        <w:t xml:space="preserve">ASCOBANS. (n.d.). </w:t>
      </w:r>
      <w:r w:rsidRPr="00382DF1">
        <w:rPr>
          <w:i/>
          <w:iCs/>
          <w:lang w:val="en-US"/>
        </w:rPr>
        <w:t>Monitoring marine mammals strandings French coast</w:t>
      </w:r>
      <w:r w:rsidRPr="00382DF1">
        <w:rPr>
          <w:lang w:val="en-US"/>
        </w:rPr>
        <w:t xml:space="preserve"> (AC25/Inf.2.4).</w:t>
      </w:r>
      <w:hyperlink r:id="rId37" w:history="1">
        <w:r w:rsidRPr="00382DF1">
          <w:rPr>
            <w:rStyle w:val="-"/>
            <w:lang w:val="en-US"/>
          </w:rPr>
          <w:t> </w:t>
        </w:r>
      </w:hyperlink>
    </w:p>
    <w:p w14:paraId="248B429D" w14:textId="77777777" w:rsidR="007A2D0C" w:rsidRPr="00382DF1" w:rsidRDefault="007A2D0C" w:rsidP="007A2D0C">
      <w:pPr>
        <w:jc w:val="both"/>
        <w:rPr>
          <w:lang w:val="fr-FR"/>
        </w:rPr>
      </w:pPr>
      <w:r w:rsidRPr="00382DF1">
        <w:rPr>
          <w:lang w:val="fr-FR"/>
        </w:rPr>
        <w:t xml:space="preserve">Observatoire Pelagis. (n.d.). </w:t>
      </w:r>
      <w:r w:rsidRPr="00382DF1">
        <w:rPr>
          <w:i/>
          <w:iCs/>
          <w:lang w:val="fr-FR"/>
        </w:rPr>
        <w:t>Stranding</w:t>
      </w:r>
      <w:r w:rsidRPr="00382DF1">
        <w:rPr>
          <w:lang w:val="fr-FR"/>
        </w:rPr>
        <w:t>.</w:t>
      </w:r>
      <w:hyperlink r:id="rId38" w:history="1">
        <w:r w:rsidRPr="00382DF1">
          <w:rPr>
            <w:rStyle w:val="-"/>
            <w:lang w:val="fr-FR"/>
          </w:rPr>
          <w:t> </w:t>
        </w:r>
      </w:hyperlink>
    </w:p>
    <w:p w14:paraId="0D875508" w14:textId="77777777" w:rsidR="007A2D0C" w:rsidRPr="00382DF1" w:rsidRDefault="007A2D0C" w:rsidP="007A2D0C">
      <w:pPr>
        <w:jc w:val="both"/>
        <w:rPr>
          <w:lang w:val="en-US"/>
        </w:rPr>
      </w:pPr>
      <w:r w:rsidRPr="00382DF1">
        <w:rPr>
          <w:lang w:val="en-US"/>
        </w:rPr>
        <w:t xml:space="preserve">National Center for Biotechnology Information (NCBI). (2022). </w:t>
      </w:r>
      <w:r w:rsidRPr="00382DF1">
        <w:rPr>
          <w:i/>
          <w:iCs/>
          <w:lang w:val="en-US"/>
        </w:rPr>
        <w:t>PubMed Article 35574848</w:t>
      </w:r>
      <w:r w:rsidRPr="00382DF1">
        <w:rPr>
          <w:lang w:val="en-US"/>
        </w:rPr>
        <w:t>.</w:t>
      </w:r>
      <w:hyperlink r:id="rId39" w:history="1">
        <w:r w:rsidRPr="00382DF1">
          <w:rPr>
            <w:rStyle w:val="-"/>
            <w:lang w:val="en-US"/>
          </w:rPr>
          <w:t> </w:t>
        </w:r>
      </w:hyperlink>
    </w:p>
    <w:p w14:paraId="1BD5DF23" w14:textId="77777777" w:rsidR="007A2D0C" w:rsidRPr="00382DF1" w:rsidRDefault="007A2D0C" w:rsidP="007A2D0C">
      <w:pPr>
        <w:jc w:val="both"/>
        <w:rPr>
          <w:lang w:val="en-US"/>
        </w:rPr>
      </w:pPr>
      <w:r w:rsidRPr="00382DF1">
        <w:rPr>
          <w:lang w:val="en-US"/>
        </w:rPr>
        <w:lastRenderedPageBreak/>
        <w:t xml:space="preserve">GEOMAR Helmholtz Centre for Ocean Research Kiel. (n.d.). </w:t>
      </w:r>
      <w:r w:rsidRPr="00382DF1">
        <w:rPr>
          <w:i/>
          <w:iCs/>
          <w:lang w:val="en-US"/>
        </w:rPr>
        <w:t>What climate change means for the Mediterranean Sea</w:t>
      </w:r>
      <w:r w:rsidRPr="00382DF1">
        <w:rPr>
          <w:lang w:val="en-US"/>
        </w:rPr>
        <w:t>.</w:t>
      </w:r>
      <w:hyperlink r:id="rId40" w:history="1">
        <w:r w:rsidRPr="00382DF1">
          <w:rPr>
            <w:rStyle w:val="-"/>
            <w:lang w:val="en-US"/>
          </w:rPr>
          <w:t> </w:t>
        </w:r>
      </w:hyperlink>
    </w:p>
    <w:p w14:paraId="76DE0346" w14:textId="77777777" w:rsidR="007A2D0C" w:rsidRPr="00382DF1" w:rsidRDefault="007A2D0C" w:rsidP="007A2D0C">
      <w:pPr>
        <w:jc w:val="both"/>
        <w:rPr>
          <w:lang w:val="en-US"/>
        </w:rPr>
      </w:pPr>
      <w:r w:rsidRPr="00382DF1">
        <w:rPr>
          <w:lang w:val="en-US"/>
        </w:rPr>
        <w:t xml:space="preserve">National Institute of Oceanography and Applied Geophysics (OGS). (n.d.). </w:t>
      </w:r>
      <w:r w:rsidRPr="00382DF1">
        <w:rPr>
          <w:i/>
          <w:iCs/>
          <w:lang w:val="en-US"/>
        </w:rPr>
        <w:t>Climate change disrupts Mediterranean seafloor ecosystems, threatening hundreds of species</w:t>
      </w:r>
      <w:r w:rsidRPr="00382DF1">
        <w:rPr>
          <w:lang w:val="en-US"/>
        </w:rPr>
        <w:t>.</w:t>
      </w:r>
      <w:hyperlink r:id="rId41" w:history="1">
        <w:r w:rsidRPr="00382DF1">
          <w:rPr>
            <w:rStyle w:val="-"/>
            <w:lang w:val="en-US"/>
          </w:rPr>
          <w:t> </w:t>
        </w:r>
      </w:hyperlink>
    </w:p>
    <w:p w14:paraId="3E309229" w14:textId="77777777" w:rsidR="007A2D0C" w:rsidRPr="00382DF1" w:rsidRDefault="007A2D0C" w:rsidP="007A2D0C">
      <w:pPr>
        <w:jc w:val="both"/>
        <w:rPr>
          <w:lang w:val="en-US"/>
        </w:rPr>
      </w:pPr>
      <w:r w:rsidRPr="00382DF1">
        <w:rPr>
          <w:lang w:val="en-US"/>
        </w:rPr>
        <w:t xml:space="preserve">Regional Activity Centre for Specially Protected Areas (RAC/SPA). (n.d.). </w:t>
      </w:r>
      <w:r w:rsidRPr="00382DF1">
        <w:rPr>
          <w:i/>
          <w:iCs/>
          <w:lang w:val="en-US"/>
        </w:rPr>
        <w:t>Action plan for the conservation of cetaceans in the Mediterranean Sea</w:t>
      </w:r>
      <w:r w:rsidRPr="00382DF1">
        <w:rPr>
          <w:lang w:val="en-US"/>
        </w:rPr>
        <w:t>.</w:t>
      </w:r>
      <w:hyperlink r:id="rId42" w:history="1">
        <w:r w:rsidRPr="00382DF1">
          <w:rPr>
            <w:rStyle w:val="-"/>
            <w:lang w:val="en-US"/>
          </w:rPr>
          <w:t> </w:t>
        </w:r>
      </w:hyperlink>
    </w:p>
    <w:p w14:paraId="686400F0" w14:textId="77777777" w:rsidR="007A2D0C" w:rsidRPr="007A2D0C" w:rsidRDefault="007A2D0C" w:rsidP="007A2D0C">
      <w:pPr>
        <w:jc w:val="both"/>
      </w:pPr>
      <w:r w:rsidRPr="00382DF1">
        <w:rPr>
          <w:lang w:val="fr-FR"/>
        </w:rPr>
        <w:t xml:space="preserve">Notarbartolo di Sciara, G. (Ed.). </w:t>
      </w:r>
      <w:r w:rsidRPr="00382DF1">
        <w:rPr>
          <w:lang w:val="en-US"/>
        </w:rPr>
        <w:t xml:space="preserve">(2002). </w:t>
      </w:r>
      <w:r w:rsidRPr="00382DF1">
        <w:rPr>
          <w:i/>
          <w:iCs/>
          <w:lang w:val="en-US"/>
        </w:rPr>
        <w:t>Cetaceans of the Mediterranean and Black Seas: State of knowledge and conservation strategies</w:t>
      </w:r>
      <w:r w:rsidRPr="00382DF1">
        <w:rPr>
          <w:lang w:val="en-US"/>
        </w:rPr>
        <w:t xml:space="preserve">. </w:t>
      </w:r>
      <w:r w:rsidRPr="007A2D0C">
        <w:t>ACCOBAMS.</w:t>
      </w:r>
      <w:hyperlink r:id="rId43" w:history="1">
        <w:r w:rsidRPr="007A2D0C">
          <w:rPr>
            <w:rStyle w:val="-"/>
          </w:rPr>
          <w:t> </w:t>
        </w:r>
      </w:hyperlink>
    </w:p>
    <w:p w14:paraId="5F84F36B" w14:textId="77777777" w:rsidR="007A2D0C" w:rsidRPr="007A2D0C" w:rsidRDefault="007A2D0C" w:rsidP="007A2D0C">
      <w:pPr>
        <w:jc w:val="both"/>
      </w:pPr>
      <w:r w:rsidRPr="007A2D0C">
        <w:t xml:space="preserve">ARION - Ερευνητικό Κέντρο Διάσωσης και Περίθαλψης Κητωδών. (n.d.). </w:t>
      </w:r>
      <w:r w:rsidRPr="007A2D0C">
        <w:rPr>
          <w:i/>
          <w:iCs/>
        </w:rPr>
        <w:t>Αρχική</w:t>
      </w:r>
      <w:r w:rsidRPr="007A2D0C">
        <w:t>.</w:t>
      </w:r>
      <w:hyperlink r:id="rId44" w:history="1">
        <w:r w:rsidRPr="007A2D0C">
          <w:rPr>
            <w:rStyle w:val="-"/>
          </w:rPr>
          <w:t> </w:t>
        </w:r>
      </w:hyperlink>
    </w:p>
    <w:p w14:paraId="0A7B2FDC" w14:textId="77777777" w:rsidR="007A2D0C" w:rsidRPr="00382DF1" w:rsidRDefault="007A2D0C" w:rsidP="007A2D0C">
      <w:pPr>
        <w:jc w:val="both"/>
        <w:rPr>
          <w:lang w:val="en-US"/>
        </w:rPr>
      </w:pPr>
      <w:r w:rsidRPr="00382DF1">
        <w:rPr>
          <w:lang w:val="en-US"/>
        </w:rPr>
        <w:t xml:space="preserve">OceanCare. (2023). </w:t>
      </w:r>
      <w:r w:rsidRPr="00382DF1">
        <w:rPr>
          <w:i/>
          <w:iCs/>
          <w:lang w:val="en-US"/>
        </w:rPr>
        <w:t>Under pressure: Chapter 04 strandings</w:t>
      </w:r>
      <w:r w:rsidRPr="00382DF1">
        <w:rPr>
          <w:lang w:val="en-US"/>
        </w:rPr>
        <w:t>.</w:t>
      </w:r>
      <w:hyperlink r:id="rId45" w:history="1">
        <w:r w:rsidRPr="00382DF1">
          <w:rPr>
            <w:rStyle w:val="-"/>
            <w:lang w:val="en-US"/>
          </w:rPr>
          <w:t> </w:t>
        </w:r>
      </w:hyperlink>
    </w:p>
    <w:p w14:paraId="32E7B22F" w14:textId="77777777" w:rsidR="007A2D0C" w:rsidRPr="00382DF1" w:rsidRDefault="007A2D0C" w:rsidP="007A2D0C">
      <w:pPr>
        <w:jc w:val="both"/>
        <w:rPr>
          <w:lang w:val="fr-FR"/>
        </w:rPr>
      </w:pPr>
      <w:r w:rsidRPr="00382DF1">
        <w:rPr>
          <w:lang w:val="en-US"/>
        </w:rPr>
        <w:t xml:space="preserve">Cerema. </w:t>
      </w:r>
      <w:r w:rsidRPr="00382DF1">
        <w:rPr>
          <w:lang w:val="fr-FR"/>
        </w:rPr>
        <w:t xml:space="preserve">(2021). </w:t>
      </w:r>
      <w:r w:rsidRPr="00382DF1">
        <w:rPr>
          <w:i/>
          <w:iCs/>
          <w:lang w:val="fr-FR"/>
        </w:rPr>
        <w:t>Résumé rapport étude ZMPV</w:t>
      </w:r>
      <w:r w:rsidRPr="00382DF1">
        <w:rPr>
          <w:lang w:val="fr-FR"/>
        </w:rPr>
        <w:t>.</w:t>
      </w:r>
      <w:hyperlink r:id="rId46" w:history="1">
        <w:r w:rsidRPr="00382DF1">
          <w:rPr>
            <w:rStyle w:val="-"/>
            <w:lang w:val="fr-FR"/>
          </w:rPr>
          <w:t> </w:t>
        </w:r>
      </w:hyperlink>
    </w:p>
    <w:p w14:paraId="7DAB95CE" w14:textId="77777777" w:rsidR="007A2D0C" w:rsidRPr="00382DF1" w:rsidRDefault="007A2D0C" w:rsidP="007A2D0C">
      <w:pPr>
        <w:jc w:val="both"/>
        <w:rPr>
          <w:lang w:val="en-US"/>
        </w:rPr>
      </w:pPr>
      <w:r w:rsidRPr="00382DF1">
        <w:rPr>
          <w:lang w:val="fr-FR"/>
        </w:rPr>
        <w:t xml:space="preserve">ISPRA. </w:t>
      </w:r>
      <w:r w:rsidRPr="00382DF1">
        <w:rPr>
          <w:lang w:val="en-US"/>
        </w:rPr>
        <w:t xml:space="preserve">(n.d.). </w:t>
      </w:r>
      <w:r w:rsidRPr="00382DF1">
        <w:rPr>
          <w:i/>
          <w:iCs/>
          <w:lang w:val="en-US"/>
        </w:rPr>
        <w:t>Climate change and cetaceans in the Mediterranean: a strong reduction in the conditions suitable</w:t>
      </w:r>
      <w:r w:rsidRPr="00382DF1">
        <w:rPr>
          <w:lang w:val="en-US"/>
        </w:rPr>
        <w:t>.</w:t>
      </w:r>
      <w:hyperlink r:id="rId47" w:history="1">
        <w:r w:rsidRPr="00382DF1">
          <w:rPr>
            <w:rStyle w:val="-"/>
            <w:lang w:val="en-US"/>
          </w:rPr>
          <w:t> </w:t>
        </w:r>
      </w:hyperlink>
    </w:p>
    <w:p w14:paraId="3A9EECC8" w14:textId="77777777" w:rsidR="007A2D0C" w:rsidRPr="00382DF1" w:rsidRDefault="007A2D0C" w:rsidP="007A2D0C">
      <w:pPr>
        <w:jc w:val="both"/>
        <w:rPr>
          <w:lang w:val="en-US"/>
        </w:rPr>
      </w:pPr>
      <w:r w:rsidRPr="00382DF1">
        <w:rPr>
          <w:lang w:val="en-US"/>
        </w:rPr>
        <w:t xml:space="preserve">International Whaling Commission (IWC). (n.d.). </w:t>
      </w:r>
      <w:r w:rsidRPr="00382DF1">
        <w:rPr>
          <w:i/>
          <w:iCs/>
          <w:lang w:val="en-US"/>
        </w:rPr>
        <w:t>Vessel strikes</w:t>
      </w:r>
      <w:r w:rsidRPr="00382DF1">
        <w:rPr>
          <w:lang w:val="en-US"/>
        </w:rPr>
        <w:t>.</w:t>
      </w:r>
      <w:hyperlink r:id="rId48" w:history="1">
        <w:r w:rsidRPr="00382DF1">
          <w:rPr>
            <w:rStyle w:val="-"/>
            <w:lang w:val="en-US"/>
          </w:rPr>
          <w:t> </w:t>
        </w:r>
      </w:hyperlink>
    </w:p>
    <w:p w14:paraId="7DEE92B0" w14:textId="77777777" w:rsidR="007A2D0C" w:rsidRPr="00382DF1" w:rsidRDefault="007A2D0C" w:rsidP="007A2D0C">
      <w:pPr>
        <w:jc w:val="both"/>
        <w:rPr>
          <w:lang w:val="en-US"/>
        </w:rPr>
      </w:pPr>
      <w:r w:rsidRPr="00382DF1">
        <w:rPr>
          <w:lang w:val="en-US"/>
        </w:rPr>
        <w:t xml:space="preserve">Dolphin Biology &amp; Conservation. (n.d.). </w:t>
      </w:r>
      <w:r w:rsidRPr="00382DF1">
        <w:rPr>
          <w:i/>
          <w:iCs/>
          <w:lang w:val="en-US"/>
        </w:rPr>
        <w:t>Action Plan Ceta 2010-2015 GR</w:t>
      </w:r>
      <w:r w:rsidRPr="00382DF1">
        <w:rPr>
          <w:lang w:val="en-US"/>
        </w:rPr>
        <w:t>.</w:t>
      </w:r>
      <w:hyperlink r:id="rId49" w:history="1">
        <w:r w:rsidRPr="00382DF1">
          <w:rPr>
            <w:rStyle w:val="-"/>
            <w:lang w:val="en-US"/>
          </w:rPr>
          <w:t> </w:t>
        </w:r>
      </w:hyperlink>
    </w:p>
    <w:p w14:paraId="447E6891" w14:textId="77777777" w:rsidR="007A2D0C" w:rsidRPr="00382DF1" w:rsidRDefault="007A2D0C" w:rsidP="007A2D0C">
      <w:pPr>
        <w:jc w:val="both"/>
        <w:rPr>
          <w:lang w:val="en-US"/>
        </w:rPr>
      </w:pPr>
      <w:r w:rsidRPr="00382DF1">
        <w:rPr>
          <w:lang w:val="en-US"/>
        </w:rPr>
        <w:t xml:space="preserve">International Whaling Commission (IWC). (n.d.). </w:t>
      </w:r>
      <w:r w:rsidRPr="00382DF1">
        <w:rPr>
          <w:i/>
          <w:iCs/>
          <w:lang w:val="en-US"/>
        </w:rPr>
        <w:t>Vessel strikes</w:t>
      </w:r>
      <w:r w:rsidRPr="00382DF1">
        <w:rPr>
          <w:lang w:val="en-US"/>
        </w:rPr>
        <w:t>.</w:t>
      </w:r>
      <w:hyperlink r:id="rId50" w:history="1">
        <w:r w:rsidRPr="00382DF1">
          <w:rPr>
            <w:rStyle w:val="-"/>
            <w:lang w:val="en-US"/>
          </w:rPr>
          <w:t> </w:t>
        </w:r>
      </w:hyperlink>
    </w:p>
    <w:p w14:paraId="407E5B9E" w14:textId="77777777" w:rsidR="007A2D0C" w:rsidRPr="00382DF1" w:rsidRDefault="007A2D0C" w:rsidP="007A2D0C">
      <w:pPr>
        <w:jc w:val="both"/>
        <w:rPr>
          <w:lang w:val="en-US"/>
        </w:rPr>
      </w:pPr>
      <w:r w:rsidRPr="00382DF1">
        <w:rPr>
          <w:lang w:val="en-US"/>
        </w:rPr>
        <w:t xml:space="preserve">ScienceDirect. (n.d.). </w:t>
      </w:r>
      <w:r w:rsidRPr="00382DF1">
        <w:rPr>
          <w:i/>
          <w:iCs/>
          <w:lang w:val="en-US"/>
        </w:rPr>
        <w:t>Article S0964569123000108</w:t>
      </w:r>
      <w:r w:rsidRPr="00382DF1">
        <w:rPr>
          <w:lang w:val="en-US"/>
        </w:rPr>
        <w:t>.</w:t>
      </w:r>
      <w:hyperlink r:id="rId51" w:history="1">
        <w:r w:rsidRPr="00382DF1">
          <w:rPr>
            <w:rStyle w:val="-"/>
            <w:lang w:val="en-US"/>
          </w:rPr>
          <w:t> </w:t>
        </w:r>
      </w:hyperlink>
    </w:p>
    <w:p w14:paraId="4A8D872D" w14:textId="77777777" w:rsidR="007A2D0C" w:rsidRPr="00382DF1" w:rsidRDefault="007A2D0C" w:rsidP="007A2D0C">
      <w:pPr>
        <w:jc w:val="both"/>
        <w:rPr>
          <w:lang w:val="en-US"/>
        </w:rPr>
      </w:pPr>
      <w:r w:rsidRPr="00382DF1">
        <w:rPr>
          <w:lang w:val="en-US"/>
        </w:rPr>
        <w:t xml:space="preserve">Panigada, S. (2006). </w:t>
      </w:r>
      <w:r w:rsidRPr="00382DF1">
        <w:rPr>
          <w:i/>
          <w:iCs/>
          <w:lang w:val="en-US"/>
        </w:rPr>
        <w:t>Rorqual commun collision</w:t>
      </w:r>
      <w:r w:rsidRPr="00382DF1">
        <w:rPr>
          <w:lang w:val="en-US"/>
        </w:rPr>
        <w:t>.</w:t>
      </w:r>
      <w:hyperlink r:id="rId52" w:history="1">
        <w:r w:rsidRPr="00382DF1">
          <w:rPr>
            <w:rStyle w:val="-"/>
            <w:lang w:val="en-US"/>
          </w:rPr>
          <w:t> </w:t>
        </w:r>
      </w:hyperlink>
    </w:p>
    <w:p w14:paraId="3287ADD4" w14:textId="77777777" w:rsidR="007A2D0C" w:rsidRPr="00382DF1" w:rsidRDefault="007A2D0C" w:rsidP="007A2D0C">
      <w:pPr>
        <w:jc w:val="both"/>
        <w:rPr>
          <w:lang w:val="en-US"/>
        </w:rPr>
      </w:pPr>
      <w:r w:rsidRPr="00382DF1">
        <w:rPr>
          <w:lang w:val="en-US"/>
        </w:rPr>
        <w:t xml:space="preserve">ResearchGate. (n.d.). </w:t>
      </w:r>
      <w:r w:rsidRPr="00382DF1">
        <w:rPr>
          <w:i/>
          <w:iCs/>
          <w:lang w:val="en-US"/>
        </w:rPr>
        <w:t>Fatal ship strikes recorded in the Mediterranean Sea each year</w:t>
      </w:r>
      <w:r w:rsidRPr="00382DF1">
        <w:rPr>
          <w:lang w:val="en-US"/>
        </w:rPr>
        <w:t xml:space="preserve"> [Figure].</w:t>
      </w:r>
      <w:hyperlink r:id="rId53" w:history="1">
        <w:r w:rsidRPr="00382DF1">
          <w:rPr>
            <w:rStyle w:val="-"/>
            <w:lang w:val="en-US"/>
          </w:rPr>
          <w:t> </w:t>
        </w:r>
      </w:hyperlink>
    </w:p>
    <w:p w14:paraId="1A2467BF" w14:textId="77777777" w:rsidR="007A2D0C" w:rsidRPr="00382DF1" w:rsidRDefault="007A2D0C" w:rsidP="007A2D0C">
      <w:pPr>
        <w:jc w:val="both"/>
        <w:rPr>
          <w:lang w:val="en-US"/>
        </w:rPr>
      </w:pPr>
      <w:r w:rsidRPr="00382DF1">
        <w:rPr>
          <w:lang w:val="en-US"/>
        </w:rPr>
        <w:t xml:space="preserve">Dolphin Biology &amp; Conservation. (n.d.). </w:t>
      </w:r>
      <w:r w:rsidRPr="00382DF1">
        <w:rPr>
          <w:i/>
          <w:iCs/>
          <w:lang w:val="en-US"/>
        </w:rPr>
        <w:t>Action Plan Ceta 2010-2015 GR</w:t>
      </w:r>
      <w:r w:rsidRPr="00382DF1">
        <w:rPr>
          <w:lang w:val="en-US"/>
        </w:rPr>
        <w:t>.</w:t>
      </w:r>
      <w:hyperlink r:id="rId54" w:history="1">
        <w:r w:rsidRPr="00382DF1">
          <w:rPr>
            <w:rStyle w:val="-"/>
            <w:lang w:val="en-US"/>
          </w:rPr>
          <w:t> </w:t>
        </w:r>
      </w:hyperlink>
    </w:p>
    <w:p w14:paraId="01ACDA0A" w14:textId="77777777" w:rsidR="007A2D0C" w:rsidRPr="00382DF1" w:rsidRDefault="007A2D0C" w:rsidP="007A2D0C">
      <w:pPr>
        <w:jc w:val="both"/>
        <w:rPr>
          <w:lang w:val="en-US"/>
        </w:rPr>
      </w:pPr>
      <w:r w:rsidRPr="00382DF1">
        <w:rPr>
          <w:lang w:val="en-US"/>
        </w:rPr>
        <w:t xml:space="preserve">MedTrends. (n.d.). </w:t>
      </w:r>
      <w:r w:rsidRPr="00382DF1">
        <w:rPr>
          <w:i/>
          <w:iCs/>
          <w:lang w:val="en-US"/>
        </w:rPr>
        <w:t>MedTrends CY-Report</w:t>
      </w:r>
      <w:r w:rsidRPr="00382DF1">
        <w:rPr>
          <w:lang w:val="en-US"/>
        </w:rPr>
        <w:t>.</w:t>
      </w:r>
      <w:hyperlink r:id="rId55" w:history="1">
        <w:r w:rsidRPr="00382DF1">
          <w:rPr>
            <w:rStyle w:val="-"/>
            <w:lang w:val="en-US"/>
          </w:rPr>
          <w:t> </w:t>
        </w:r>
      </w:hyperlink>
    </w:p>
    <w:p w14:paraId="5F356854" w14:textId="77777777" w:rsidR="007A2D0C" w:rsidRPr="007A2D0C" w:rsidRDefault="007A2D0C" w:rsidP="007A2D0C">
      <w:pPr>
        <w:jc w:val="both"/>
      </w:pPr>
      <w:r w:rsidRPr="007A2D0C">
        <w:t xml:space="preserve">Ινστιτούτο Κητολογικών Ερευνών Πέλαγος. (n.d.). </w:t>
      </w:r>
      <w:r w:rsidRPr="007A2D0C">
        <w:rPr>
          <w:i/>
          <w:iCs/>
        </w:rPr>
        <w:t>Εγχειρίδιο Θάλασσα</w:t>
      </w:r>
      <w:r w:rsidRPr="007A2D0C">
        <w:t>.</w:t>
      </w:r>
      <w:hyperlink r:id="rId56" w:history="1">
        <w:r w:rsidRPr="007A2D0C">
          <w:rPr>
            <w:rStyle w:val="-"/>
          </w:rPr>
          <w:t> </w:t>
        </w:r>
      </w:hyperlink>
    </w:p>
    <w:p w14:paraId="1EF04F4A" w14:textId="77777777" w:rsidR="007A2D0C" w:rsidRPr="007A2D0C" w:rsidRDefault="007A2D0C" w:rsidP="007A2D0C">
      <w:pPr>
        <w:jc w:val="both"/>
      </w:pPr>
      <w:r w:rsidRPr="007A2D0C">
        <w:t xml:space="preserve">Frontiers in Marine Science. (2024). </w:t>
      </w:r>
      <w:r w:rsidRPr="007A2D0C">
        <w:rPr>
          <w:i/>
          <w:iCs/>
        </w:rPr>
        <w:t>Article 10.3389/fmars.2024.1364527</w:t>
      </w:r>
      <w:r w:rsidRPr="007A2D0C">
        <w:t>.</w:t>
      </w:r>
      <w:hyperlink r:id="rId57" w:history="1">
        <w:r w:rsidRPr="007A2D0C">
          <w:rPr>
            <w:rStyle w:val="-"/>
          </w:rPr>
          <w:t> </w:t>
        </w:r>
      </w:hyperlink>
    </w:p>
    <w:p w14:paraId="041E7C2A" w14:textId="77777777" w:rsidR="007A2D0C" w:rsidRPr="007A2D0C" w:rsidRDefault="007A2D0C" w:rsidP="007A2D0C">
      <w:pPr>
        <w:jc w:val="both"/>
      </w:pPr>
      <w:r w:rsidRPr="007A2D0C">
        <w:t xml:space="preserve">Frontiers in Marine Science. (2022). </w:t>
      </w:r>
      <w:r w:rsidRPr="007A2D0C">
        <w:rPr>
          <w:i/>
          <w:iCs/>
        </w:rPr>
        <w:t>Article 10.3389/fmars.2022.867287</w:t>
      </w:r>
      <w:r w:rsidRPr="007A2D0C">
        <w:t>.</w:t>
      </w:r>
      <w:hyperlink r:id="rId58" w:history="1">
        <w:r w:rsidRPr="007A2D0C">
          <w:rPr>
            <w:rStyle w:val="-"/>
          </w:rPr>
          <w:t> </w:t>
        </w:r>
      </w:hyperlink>
    </w:p>
    <w:p w14:paraId="208E062A" w14:textId="77777777" w:rsidR="007A2D0C" w:rsidRPr="007A2D0C" w:rsidRDefault="007A2D0C" w:rsidP="007A2D0C">
      <w:pPr>
        <w:jc w:val="both"/>
      </w:pPr>
      <w:r w:rsidRPr="007A2D0C">
        <w:t xml:space="preserve">Frontiers in Marine Science. (2019). </w:t>
      </w:r>
      <w:r w:rsidRPr="007A2D0C">
        <w:rPr>
          <w:i/>
          <w:iCs/>
        </w:rPr>
        <w:t>Article 10.3389/fmars.2019.00486</w:t>
      </w:r>
      <w:r w:rsidRPr="007A2D0C">
        <w:t>.</w:t>
      </w:r>
      <w:hyperlink r:id="rId59" w:history="1">
        <w:r w:rsidRPr="007A2D0C">
          <w:rPr>
            <w:rStyle w:val="-"/>
          </w:rPr>
          <w:t> </w:t>
        </w:r>
      </w:hyperlink>
    </w:p>
    <w:p w14:paraId="038F47DD" w14:textId="77777777" w:rsidR="007A2D0C" w:rsidRPr="00382DF1" w:rsidRDefault="007A2D0C" w:rsidP="007A2D0C">
      <w:pPr>
        <w:jc w:val="both"/>
        <w:rPr>
          <w:lang w:val="fr-FR"/>
        </w:rPr>
      </w:pPr>
      <w:r w:rsidRPr="007A2D0C">
        <w:t xml:space="preserve">Frontiers in Marine Science. </w:t>
      </w:r>
      <w:r w:rsidRPr="00382DF1">
        <w:rPr>
          <w:lang w:val="en-US"/>
        </w:rPr>
        <w:t xml:space="preserve">(2025). </w:t>
      </w:r>
      <w:r w:rsidRPr="00382DF1">
        <w:rPr>
          <w:i/>
          <w:iCs/>
          <w:lang w:val="en-US"/>
        </w:rPr>
        <w:t>Article 10.3389/fmars.2025.1713820</w:t>
      </w:r>
      <w:r w:rsidRPr="00382DF1">
        <w:rPr>
          <w:lang w:val="en-US"/>
        </w:rPr>
        <w:t>.</w:t>
      </w:r>
      <w:hyperlink r:id="rId60" w:history="1">
        <w:r w:rsidRPr="00382DF1">
          <w:rPr>
            <w:rStyle w:val="-"/>
            <w:lang w:val="en-US"/>
          </w:rPr>
          <w:t xml:space="preserve"> </w:t>
        </w:r>
      </w:hyperlink>
      <w:r w:rsidRPr="00382DF1">
        <w:rPr>
          <w:lang w:val="en-US"/>
        </w:rPr>
        <w:t xml:space="preserve">Frantzis, A. (2009). </w:t>
      </w:r>
      <w:r w:rsidRPr="00382DF1">
        <w:rPr>
          <w:i/>
          <w:iCs/>
          <w:lang w:val="en-US"/>
        </w:rPr>
        <w:t>Cetaceans of the Greek Seas</w:t>
      </w:r>
      <w:r w:rsidRPr="00382DF1">
        <w:rPr>
          <w:lang w:val="en-US"/>
        </w:rPr>
        <w:t xml:space="preserve"> (Monograph 06). </w:t>
      </w:r>
      <w:r w:rsidRPr="00382DF1">
        <w:rPr>
          <w:lang w:val="fr-FR"/>
        </w:rPr>
        <w:t>National Documentation Centre (EKT).</w:t>
      </w:r>
      <w:hyperlink r:id="rId61" w:history="1">
        <w:r w:rsidRPr="00382DF1">
          <w:rPr>
            <w:rStyle w:val="-"/>
            <w:lang w:val="fr-FR"/>
          </w:rPr>
          <w:t> </w:t>
        </w:r>
      </w:hyperlink>
    </w:p>
    <w:p w14:paraId="2AC48B28" w14:textId="77777777" w:rsidR="007A2D0C" w:rsidRPr="00382DF1" w:rsidRDefault="007A2D0C" w:rsidP="007A2D0C">
      <w:pPr>
        <w:jc w:val="both"/>
        <w:rPr>
          <w:lang w:val="en-US"/>
        </w:rPr>
      </w:pPr>
      <w:r w:rsidRPr="00382DF1">
        <w:rPr>
          <w:lang w:val="fr-FR"/>
        </w:rPr>
        <w:t xml:space="preserve">Bearzi, G., Agazzi, S., Gonzalvo, J., Costa, M., Bonizzoni, S., Politi, E., Piroddi, C., &amp; Reeves, R. R. (2008). </w:t>
      </w:r>
      <w:r w:rsidRPr="00382DF1">
        <w:rPr>
          <w:i/>
          <w:iCs/>
          <w:lang w:val="en-US"/>
        </w:rPr>
        <w:t>Overfishing and the disappearance of short-beaked common dolphins from western Greece</w:t>
      </w:r>
      <w:r w:rsidRPr="00382DF1">
        <w:rPr>
          <w:lang w:val="en-US"/>
        </w:rPr>
        <w:t>. ResearchGate.</w:t>
      </w:r>
      <w:hyperlink r:id="rId62" w:history="1">
        <w:r w:rsidRPr="00382DF1">
          <w:rPr>
            <w:rStyle w:val="-"/>
            <w:lang w:val="en-US"/>
          </w:rPr>
          <w:t> </w:t>
        </w:r>
      </w:hyperlink>
    </w:p>
    <w:p w14:paraId="511B34E7" w14:textId="77777777" w:rsidR="007A2D0C" w:rsidRPr="00382DF1" w:rsidRDefault="007A2D0C" w:rsidP="007A2D0C">
      <w:pPr>
        <w:jc w:val="both"/>
        <w:rPr>
          <w:lang w:val="en-US"/>
        </w:rPr>
      </w:pPr>
      <w:r w:rsidRPr="00382DF1">
        <w:rPr>
          <w:lang w:val="en-US"/>
        </w:rPr>
        <w:t xml:space="preserve">ACCOBAMS. (2019). </w:t>
      </w:r>
      <w:r w:rsidRPr="00382DF1">
        <w:rPr>
          <w:i/>
          <w:iCs/>
          <w:lang w:val="en-US"/>
        </w:rPr>
        <w:t>Best practices strandings</w:t>
      </w:r>
      <w:r w:rsidRPr="00382DF1">
        <w:rPr>
          <w:lang w:val="en-US"/>
        </w:rPr>
        <w:t xml:space="preserve"> (Res.7.14).</w:t>
      </w:r>
      <w:hyperlink r:id="rId63" w:history="1">
        <w:r w:rsidRPr="00382DF1">
          <w:rPr>
            <w:rStyle w:val="-"/>
            <w:lang w:val="en-US"/>
          </w:rPr>
          <w:t> </w:t>
        </w:r>
      </w:hyperlink>
    </w:p>
    <w:p w14:paraId="1BC964AD" w14:textId="77777777" w:rsidR="007A2D0C" w:rsidRPr="00382DF1" w:rsidRDefault="007A2D0C" w:rsidP="007A2D0C">
      <w:pPr>
        <w:jc w:val="both"/>
        <w:rPr>
          <w:lang w:val="fr-FR"/>
        </w:rPr>
      </w:pPr>
      <w:r w:rsidRPr="00382DF1">
        <w:rPr>
          <w:lang w:val="en-US"/>
        </w:rPr>
        <w:t xml:space="preserve">National Center for Biotechnology Information (NCBI). </w:t>
      </w:r>
      <w:r w:rsidRPr="00382DF1">
        <w:rPr>
          <w:lang w:val="fr-FR"/>
        </w:rPr>
        <w:t xml:space="preserve">(n.d.). </w:t>
      </w:r>
      <w:r w:rsidRPr="00382DF1">
        <w:rPr>
          <w:i/>
          <w:iCs/>
          <w:lang w:val="fr-FR"/>
        </w:rPr>
        <w:t>Article PMC12390030</w:t>
      </w:r>
      <w:r w:rsidRPr="00382DF1">
        <w:rPr>
          <w:lang w:val="fr-FR"/>
        </w:rPr>
        <w:t>.</w:t>
      </w:r>
    </w:p>
    <w:p w14:paraId="182803C3" w14:textId="77777777" w:rsidR="007A2D0C" w:rsidRPr="00382DF1" w:rsidRDefault="007A2D0C" w:rsidP="007A2D0C">
      <w:pPr>
        <w:jc w:val="both"/>
        <w:rPr>
          <w:lang w:val="fr-FR"/>
        </w:rPr>
      </w:pPr>
      <w:r w:rsidRPr="00382DF1">
        <w:rPr>
          <w:lang w:val="fr-FR"/>
        </w:rPr>
        <w:t xml:space="preserve">Cerema. (2021). </w:t>
      </w:r>
      <w:r w:rsidRPr="00382DF1">
        <w:rPr>
          <w:i/>
          <w:iCs/>
          <w:lang w:val="fr-FR"/>
        </w:rPr>
        <w:t>Résumé rapport étude ZMPV</w:t>
      </w:r>
      <w:r w:rsidRPr="00382DF1">
        <w:rPr>
          <w:lang w:val="fr-FR"/>
        </w:rPr>
        <w:t>.</w:t>
      </w:r>
      <w:hyperlink r:id="rId64" w:history="1">
        <w:r w:rsidRPr="00382DF1">
          <w:rPr>
            <w:rStyle w:val="-"/>
            <w:lang w:val="fr-FR"/>
          </w:rPr>
          <w:t> </w:t>
        </w:r>
      </w:hyperlink>
    </w:p>
    <w:p w14:paraId="52250B2F" w14:textId="77777777" w:rsidR="007A2D0C" w:rsidRPr="00382DF1" w:rsidRDefault="007A2D0C" w:rsidP="007A2D0C">
      <w:pPr>
        <w:jc w:val="both"/>
        <w:rPr>
          <w:lang w:val="en-US"/>
        </w:rPr>
      </w:pPr>
      <w:r w:rsidRPr="00382DF1">
        <w:rPr>
          <w:lang w:val="en-US"/>
        </w:rPr>
        <w:t xml:space="preserve">Friend of the Sea. (2020). </w:t>
      </w:r>
      <w:r w:rsidRPr="00382DF1">
        <w:rPr>
          <w:i/>
          <w:iCs/>
          <w:lang w:val="en-US"/>
        </w:rPr>
        <w:t>Global update 2020: Whales ship strikes dossier</w:t>
      </w:r>
      <w:r w:rsidRPr="00382DF1">
        <w:rPr>
          <w:lang w:val="en-US"/>
        </w:rPr>
        <w:t>.</w:t>
      </w:r>
      <w:hyperlink r:id="rId65" w:history="1">
        <w:r w:rsidRPr="00382DF1">
          <w:rPr>
            <w:rStyle w:val="-"/>
            <w:lang w:val="en-US"/>
          </w:rPr>
          <w:t> </w:t>
        </w:r>
      </w:hyperlink>
    </w:p>
    <w:p w14:paraId="722ADE84" w14:textId="77777777" w:rsidR="007A2D0C" w:rsidRPr="00382DF1" w:rsidRDefault="007A2D0C" w:rsidP="007A2D0C">
      <w:pPr>
        <w:jc w:val="both"/>
        <w:rPr>
          <w:lang w:val="en-US"/>
        </w:rPr>
      </w:pPr>
      <w:r w:rsidRPr="00382DF1">
        <w:rPr>
          <w:lang w:val="en-US"/>
        </w:rPr>
        <w:lastRenderedPageBreak/>
        <w:t xml:space="preserve">ACCOBAMS. (2021). </w:t>
      </w:r>
      <w:r w:rsidRPr="00382DF1">
        <w:rPr>
          <w:i/>
          <w:iCs/>
          <w:lang w:val="en-US"/>
        </w:rPr>
        <w:t>Addressing mortalities and injuries to cetaceans from ship strikes in the Mediterranean</w:t>
      </w:r>
      <w:r w:rsidRPr="00382DF1">
        <w:rPr>
          <w:lang w:val="en-US"/>
        </w:rPr>
        <w:t xml:space="preserve"> (SC14.Doc26).</w:t>
      </w:r>
      <w:hyperlink r:id="rId66" w:history="1">
        <w:r w:rsidRPr="00382DF1">
          <w:rPr>
            <w:rStyle w:val="-"/>
            <w:lang w:val="en-US"/>
          </w:rPr>
          <w:t> </w:t>
        </w:r>
      </w:hyperlink>
    </w:p>
    <w:p w14:paraId="71A762FD" w14:textId="77777777" w:rsidR="007A2D0C" w:rsidRPr="00382DF1" w:rsidRDefault="007A2D0C" w:rsidP="007A2D0C">
      <w:pPr>
        <w:jc w:val="both"/>
        <w:rPr>
          <w:lang w:val="en-US"/>
        </w:rPr>
      </w:pPr>
      <w:r w:rsidRPr="00382DF1">
        <w:rPr>
          <w:lang w:val="en-US"/>
        </w:rPr>
        <w:t xml:space="preserve">Mediterranean Programme for International Environmental Law and Negotiation (MEPIELAN). (2024). </w:t>
      </w:r>
      <w:r w:rsidRPr="00382DF1">
        <w:rPr>
          <w:i/>
          <w:iCs/>
          <w:lang w:val="en-US"/>
        </w:rPr>
        <w:t>The North-Western Mediterranean particularly sensitive sea area</w:t>
      </w:r>
      <w:r w:rsidRPr="00382DF1">
        <w:rPr>
          <w:lang w:val="en-US"/>
        </w:rPr>
        <w:t>.</w:t>
      </w:r>
      <w:hyperlink r:id="rId67" w:history="1">
        <w:r w:rsidRPr="00382DF1">
          <w:rPr>
            <w:rStyle w:val="-"/>
            <w:lang w:val="en-US"/>
          </w:rPr>
          <w:t> </w:t>
        </w:r>
      </w:hyperlink>
    </w:p>
    <w:p w14:paraId="257D3536" w14:textId="77777777" w:rsidR="007A2D0C" w:rsidRPr="00382DF1" w:rsidRDefault="007A2D0C" w:rsidP="007A2D0C">
      <w:pPr>
        <w:jc w:val="both"/>
        <w:rPr>
          <w:lang w:val="en-US"/>
        </w:rPr>
      </w:pPr>
    </w:p>
    <w:p w14:paraId="759C7EF1" w14:textId="77777777" w:rsidR="007A2D0C" w:rsidRPr="00382DF1" w:rsidRDefault="007A2D0C" w:rsidP="007A2D0C">
      <w:pPr>
        <w:jc w:val="both"/>
        <w:rPr>
          <w:lang w:val="en-US"/>
        </w:rPr>
      </w:pPr>
    </w:p>
    <w:p w14:paraId="2A7EC610" w14:textId="77777777" w:rsidR="007A2D0C" w:rsidRPr="00382DF1" w:rsidRDefault="007A2D0C" w:rsidP="007A2D0C">
      <w:pPr>
        <w:jc w:val="both"/>
        <w:rPr>
          <w:lang w:val="en-US"/>
        </w:rPr>
      </w:pPr>
    </w:p>
    <w:p w14:paraId="62BE5178" w14:textId="77777777" w:rsidR="007A2D0C" w:rsidRPr="00382DF1" w:rsidRDefault="007A2D0C" w:rsidP="007A2D0C">
      <w:pPr>
        <w:jc w:val="both"/>
        <w:rPr>
          <w:lang w:val="en-US"/>
        </w:rPr>
      </w:pPr>
    </w:p>
    <w:p w14:paraId="01B647AA" w14:textId="77777777" w:rsidR="007A2D0C" w:rsidRPr="00382DF1" w:rsidRDefault="007A2D0C" w:rsidP="007A2D0C">
      <w:pPr>
        <w:jc w:val="both"/>
        <w:rPr>
          <w:lang w:val="en-US"/>
        </w:rPr>
      </w:pPr>
    </w:p>
    <w:p w14:paraId="049599B6" w14:textId="77777777" w:rsidR="007A2D0C" w:rsidRPr="00382DF1" w:rsidRDefault="007A2D0C" w:rsidP="007A2D0C">
      <w:pPr>
        <w:jc w:val="both"/>
        <w:rPr>
          <w:lang w:val="en-US"/>
        </w:rPr>
      </w:pPr>
    </w:p>
    <w:p w14:paraId="1882407B" w14:textId="77777777" w:rsidR="007A2D0C" w:rsidRPr="00382DF1" w:rsidRDefault="007A2D0C" w:rsidP="007A2D0C">
      <w:pPr>
        <w:jc w:val="both"/>
        <w:rPr>
          <w:lang w:val="en-US"/>
        </w:rPr>
      </w:pPr>
    </w:p>
    <w:p w14:paraId="3F67E8BC" w14:textId="77777777" w:rsidR="007A2D0C" w:rsidRPr="00382DF1" w:rsidRDefault="007A2D0C" w:rsidP="007A2D0C">
      <w:pPr>
        <w:jc w:val="both"/>
        <w:rPr>
          <w:lang w:val="en-US"/>
        </w:rPr>
      </w:pPr>
    </w:p>
    <w:p w14:paraId="262AACDB" w14:textId="77777777" w:rsidR="007A2D0C" w:rsidRPr="00382DF1" w:rsidRDefault="007A2D0C" w:rsidP="007A2D0C">
      <w:pPr>
        <w:jc w:val="both"/>
        <w:rPr>
          <w:lang w:val="en-US"/>
        </w:rPr>
      </w:pPr>
    </w:p>
    <w:p w14:paraId="0AE37026" w14:textId="77777777" w:rsidR="007A2D0C" w:rsidRPr="00382DF1" w:rsidRDefault="007A2D0C" w:rsidP="007A2D0C">
      <w:pPr>
        <w:jc w:val="both"/>
        <w:rPr>
          <w:lang w:val="en-US"/>
        </w:rPr>
      </w:pPr>
    </w:p>
    <w:p w14:paraId="334EEE16" w14:textId="77777777" w:rsidR="007A2D0C" w:rsidRPr="00382DF1" w:rsidRDefault="007A2D0C" w:rsidP="007A2D0C">
      <w:pPr>
        <w:jc w:val="both"/>
        <w:rPr>
          <w:lang w:val="en-US"/>
        </w:rPr>
      </w:pPr>
    </w:p>
    <w:p w14:paraId="74BB9D1E" w14:textId="77777777" w:rsidR="007A2D0C" w:rsidRPr="00382DF1" w:rsidRDefault="007A2D0C" w:rsidP="007A2D0C">
      <w:pPr>
        <w:jc w:val="both"/>
        <w:rPr>
          <w:lang w:val="en-US"/>
        </w:rPr>
      </w:pPr>
    </w:p>
    <w:p w14:paraId="577A13CF" w14:textId="77777777" w:rsidR="007A2D0C" w:rsidRPr="00382DF1" w:rsidRDefault="007A2D0C" w:rsidP="007A2D0C">
      <w:pPr>
        <w:jc w:val="both"/>
        <w:rPr>
          <w:lang w:val="en-US"/>
        </w:rPr>
      </w:pPr>
    </w:p>
    <w:p w14:paraId="7D172FD7" w14:textId="77777777" w:rsidR="007A2D0C" w:rsidRPr="00382DF1" w:rsidRDefault="007A2D0C" w:rsidP="007A2D0C">
      <w:pPr>
        <w:jc w:val="both"/>
        <w:rPr>
          <w:lang w:val="en-US"/>
        </w:rPr>
      </w:pPr>
    </w:p>
    <w:p w14:paraId="143BEFC1" w14:textId="77777777" w:rsidR="007A2D0C" w:rsidRPr="00382DF1" w:rsidRDefault="007A2D0C" w:rsidP="007A2D0C">
      <w:pPr>
        <w:jc w:val="both"/>
        <w:rPr>
          <w:lang w:val="en-US"/>
        </w:rPr>
      </w:pPr>
    </w:p>
    <w:p w14:paraId="19E521F6" w14:textId="77777777" w:rsidR="007A2D0C" w:rsidRPr="00382DF1" w:rsidRDefault="007A2D0C" w:rsidP="007A2D0C">
      <w:pPr>
        <w:jc w:val="both"/>
        <w:rPr>
          <w:lang w:val="en-US"/>
        </w:rPr>
      </w:pPr>
    </w:p>
    <w:p w14:paraId="77B24808" w14:textId="77777777" w:rsidR="007A2D0C" w:rsidRPr="00382DF1" w:rsidRDefault="007A2D0C" w:rsidP="007A2D0C">
      <w:pPr>
        <w:jc w:val="both"/>
        <w:rPr>
          <w:lang w:val="en-US"/>
        </w:rPr>
      </w:pPr>
    </w:p>
    <w:p w14:paraId="59FCF4CD" w14:textId="77777777" w:rsidR="007A2D0C" w:rsidRPr="00382DF1" w:rsidRDefault="007A2D0C" w:rsidP="007A2D0C">
      <w:pPr>
        <w:jc w:val="both"/>
        <w:rPr>
          <w:lang w:val="en-US"/>
        </w:rPr>
      </w:pPr>
    </w:p>
    <w:p w14:paraId="672737E9" w14:textId="77777777" w:rsidR="007A2D0C" w:rsidRPr="00382DF1" w:rsidRDefault="007A2D0C" w:rsidP="007A2D0C">
      <w:pPr>
        <w:jc w:val="both"/>
        <w:rPr>
          <w:lang w:val="en-US"/>
        </w:rPr>
      </w:pPr>
    </w:p>
    <w:p w14:paraId="10F33BD0" w14:textId="77777777" w:rsidR="007A2D0C" w:rsidRPr="00382DF1" w:rsidRDefault="007A2D0C" w:rsidP="007A2D0C">
      <w:pPr>
        <w:jc w:val="both"/>
        <w:rPr>
          <w:lang w:val="en-US"/>
        </w:rPr>
      </w:pPr>
    </w:p>
    <w:p w14:paraId="62C91101" w14:textId="77777777" w:rsidR="007A2D0C" w:rsidRPr="00382DF1" w:rsidRDefault="007A2D0C" w:rsidP="007A2D0C">
      <w:pPr>
        <w:jc w:val="both"/>
        <w:rPr>
          <w:lang w:val="en-US"/>
        </w:rPr>
      </w:pPr>
    </w:p>
    <w:p w14:paraId="0D7B1297" w14:textId="77777777" w:rsidR="007A2D0C" w:rsidRPr="00382DF1" w:rsidRDefault="007A2D0C" w:rsidP="007A2D0C">
      <w:pPr>
        <w:jc w:val="both"/>
        <w:rPr>
          <w:lang w:val="en-US"/>
        </w:rPr>
      </w:pPr>
    </w:p>
    <w:p w14:paraId="6EAB3507" w14:textId="77777777" w:rsidR="00161FFC" w:rsidRPr="00382DF1" w:rsidRDefault="00161FFC" w:rsidP="007A2D0C">
      <w:pPr>
        <w:jc w:val="both"/>
        <w:rPr>
          <w:lang w:val="en-US"/>
        </w:rPr>
      </w:pPr>
    </w:p>
    <w:p w14:paraId="562FBD08" w14:textId="77777777" w:rsidR="00161FFC" w:rsidRPr="00382DF1" w:rsidRDefault="00161FFC" w:rsidP="007A2D0C">
      <w:pPr>
        <w:jc w:val="both"/>
        <w:rPr>
          <w:lang w:val="en-US"/>
        </w:rPr>
      </w:pPr>
    </w:p>
    <w:p w14:paraId="7554AC6C" w14:textId="77777777" w:rsidR="00161FFC" w:rsidRPr="00382DF1" w:rsidRDefault="00161FFC" w:rsidP="007A2D0C">
      <w:pPr>
        <w:jc w:val="both"/>
        <w:rPr>
          <w:lang w:val="en-US"/>
        </w:rPr>
      </w:pPr>
    </w:p>
    <w:p w14:paraId="3E9936E0" w14:textId="77777777" w:rsidR="00161FFC" w:rsidRPr="00382DF1" w:rsidRDefault="00161FFC" w:rsidP="007A2D0C">
      <w:pPr>
        <w:jc w:val="both"/>
        <w:rPr>
          <w:lang w:val="en-US"/>
        </w:rPr>
      </w:pPr>
    </w:p>
    <w:p w14:paraId="6B5F3BC3" w14:textId="77777777" w:rsidR="00161FFC" w:rsidRPr="00382DF1" w:rsidRDefault="00161FFC" w:rsidP="007A2D0C">
      <w:pPr>
        <w:jc w:val="both"/>
        <w:rPr>
          <w:lang w:val="en-US"/>
        </w:rPr>
      </w:pPr>
    </w:p>
    <w:p w14:paraId="09AE8AC8" w14:textId="77777777" w:rsidR="00161FFC" w:rsidRPr="00382DF1" w:rsidRDefault="00161FFC" w:rsidP="00161FFC">
      <w:pPr>
        <w:tabs>
          <w:tab w:val="num" w:pos="720"/>
        </w:tabs>
        <w:rPr>
          <w:b/>
          <w:bCs/>
          <w:lang w:val="en-US"/>
        </w:rPr>
      </w:pPr>
    </w:p>
    <w:p w14:paraId="3B9C394D" w14:textId="218FF337" w:rsidR="00161FFC" w:rsidRPr="00382DF1" w:rsidRDefault="00161FFC" w:rsidP="00161FFC">
      <w:pPr>
        <w:tabs>
          <w:tab w:val="num" w:pos="720"/>
        </w:tabs>
        <w:rPr>
          <w:b/>
          <w:bCs/>
          <w:lang w:val="en-US"/>
        </w:rPr>
      </w:pPr>
      <w:r>
        <w:rPr>
          <w:b/>
          <w:bCs/>
        </w:rPr>
        <w:lastRenderedPageBreak/>
        <w:t>Αλληλεπίδραση</w:t>
      </w:r>
      <w:r w:rsidRPr="00382DF1">
        <w:rPr>
          <w:b/>
          <w:bCs/>
          <w:lang w:val="en-US"/>
        </w:rPr>
        <w:t xml:space="preserve"> </w:t>
      </w:r>
      <w:r>
        <w:rPr>
          <w:b/>
          <w:bCs/>
        </w:rPr>
        <w:t>των</w:t>
      </w:r>
      <w:r w:rsidRPr="00382DF1">
        <w:rPr>
          <w:b/>
          <w:bCs/>
          <w:lang w:val="en-US"/>
        </w:rPr>
        <w:t xml:space="preserve"> </w:t>
      </w:r>
      <w:r>
        <w:rPr>
          <w:b/>
          <w:bCs/>
        </w:rPr>
        <w:t>Δελφινιών</w:t>
      </w:r>
      <w:r w:rsidRPr="00382DF1">
        <w:rPr>
          <w:b/>
          <w:bCs/>
          <w:lang w:val="en-US"/>
        </w:rPr>
        <w:t xml:space="preserve"> </w:t>
      </w:r>
      <w:r>
        <w:rPr>
          <w:b/>
          <w:bCs/>
        </w:rPr>
        <w:t>με</w:t>
      </w:r>
      <w:r w:rsidRPr="00382DF1">
        <w:rPr>
          <w:b/>
          <w:bCs/>
          <w:lang w:val="en-US"/>
        </w:rPr>
        <w:t xml:space="preserve"> </w:t>
      </w:r>
      <w:r>
        <w:rPr>
          <w:b/>
          <w:bCs/>
        </w:rPr>
        <w:t>τις</w:t>
      </w:r>
      <w:r w:rsidRPr="00382DF1">
        <w:rPr>
          <w:b/>
          <w:bCs/>
          <w:lang w:val="en-US"/>
        </w:rPr>
        <w:t xml:space="preserve"> </w:t>
      </w:r>
      <w:r>
        <w:rPr>
          <w:b/>
          <w:bCs/>
        </w:rPr>
        <w:t>Υδατοκαλλιέργειες</w:t>
      </w:r>
      <w:r w:rsidRPr="00382DF1">
        <w:rPr>
          <w:b/>
          <w:bCs/>
          <w:lang w:val="en-US"/>
        </w:rPr>
        <w:t xml:space="preserve"> </w:t>
      </w:r>
      <w:r>
        <w:rPr>
          <w:b/>
          <w:bCs/>
        </w:rPr>
        <w:t>στη</w:t>
      </w:r>
      <w:r w:rsidRPr="00382DF1">
        <w:rPr>
          <w:b/>
          <w:bCs/>
          <w:lang w:val="en-US"/>
        </w:rPr>
        <w:t xml:space="preserve"> </w:t>
      </w:r>
      <w:r>
        <w:rPr>
          <w:b/>
          <w:bCs/>
        </w:rPr>
        <w:t>Μεσόγειο</w:t>
      </w:r>
      <w:r w:rsidRPr="00382DF1">
        <w:rPr>
          <w:b/>
          <w:bCs/>
          <w:lang w:val="en-US"/>
        </w:rPr>
        <w:t xml:space="preserve"> </w:t>
      </w:r>
      <w:r>
        <w:rPr>
          <w:b/>
          <w:bCs/>
        </w:rPr>
        <w:t>Θάλασσα</w:t>
      </w:r>
      <w:r w:rsidRPr="00382DF1">
        <w:rPr>
          <w:b/>
          <w:bCs/>
          <w:lang w:val="en-US"/>
        </w:rPr>
        <w:t xml:space="preserve">, </w:t>
      </w:r>
      <w:r>
        <w:rPr>
          <w:b/>
          <w:bCs/>
        </w:rPr>
        <w:t>με</w:t>
      </w:r>
      <w:r w:rsidRPr="00382DF1">
        <w:rPr>
          <w:b/>
          <w:bCs/>
          <w:lang w:val="en-US"/>
        </w:rPr>
        <w:t xml:space="preserve"> </w:t>
      </w:r>
      <w:r>
        <w:rPr>
          <w:b/>
          <w:bCs/>
        </w:rPr>
        <w:t>ιδιαίτερη</w:t>
      </w:r>
      <w:r w:rsidRPr="00382DF1">
        <w:rPr>
          <w:b/>
          <w:bCs/>
          <w:lang w:val="en-US"/>
        </w:rPr>
        <w:t xml:space="preserve"> </w:t>
      </w:r>
      <w:r>
        <w:rPr>
          <w:b/>
          <w:bCs/>
        </w:rPr>
        <w:t>αναφορά</w:t>
      </w:r>
      <w:r w:rsidRPr="00382DF1">
        <w:rPr>
          <w:b/>
          <w:bCs/>
          <w:lang w:val="en-US"/>
        </w:rPr>
        <w:t xml:space="preserve"> </w:t>
      </w:r>
      <w:r>
        <w:rPr>
          <w:b/>
          <w:bCs/>
        </w:rPr>
        <w:t>στοο</w:t>
      </w:r>
      <w:r w:rsidRPr="00382DF1">
        <w:rPr>
          <w:b/>
          <w:bCs/>
          <w:lang w:val="en-US"/>
        </w:rPr>
        <w:t xml:space="preserve"> </w:t>
      </w:r>
      <w:r>
        <w:rPr>
          <w:b/>
          <w:bCs/>
        </w:rPr>
        <w:t>ρινοδέλφινο</w:t>
      </w:r>
      <w:r w:rsidRPr="00382DF1">
        <w:rPr>
          <w:b/>
          <w:bCs/>
          <w:lang w:val="en-US"/>
        </w:rPr>
        <w:t xml:space="preserve"> (</w:t>
      </w:r>
      <w:r w:rsidRPr="00382DF1">
        <w:rPr>
          <w:b/>
          <w:bCs/>
          <w:i/>
          <w:iCs/>
          <w:lang w:val="en-US"/>
        </w:rPr>
        <w:t>Tursiops truncatus</w:t>
      </w:r>
      <w:r w:rsidRPr="00382DF1">
        <w:rPr>
          <w:b/>
          <w:bCs/>
          <w:lang w:val="en-US"/>
        </w:rPr>
        <w:t>)</w:t>
      </w:r>
    </w:p>
    <w:p w14:paraId="6581C64B" w14:textId="2A7C560B" w:rsidR="00161FFC" w:rsidRDefault="00161FFC" w:rsidP="00161FFC">
      <w:pPr>
        <w:tabs>
          <w:tab w:val="num" w:pos="720"/>
        </w:tabs>
      </w:pPr>
      <w:r>
        <w:t>Παπαγιάννη Ελένη</w:t>
      </w:r>
      <w:r>
        <w:rPr>
          <w:vertAlign w:val="superscript"/>
        </w:rPr>
        <w:t>1</w:t>
      </w:r>
      <w:r>
        <w:t>, Κομνηνού Αναστασία</w:t>
      </w:r>
      <w:r>
        <w:rPr>
          <w:vertAlign w:val="superscript"/>
        </w:rPr>
        <w:t>2</w:t>
      </w:r>
    </w:p>
    <w:p w14:paraId="7750243A" w14:textId="725AA14C" w:rsidR="00161FFC" w:rsidRPr="00161FFC" w:rsidRDefault="00161FFC">
      <w:pPr>
        <w:pStyle w:val="a6"/>
        <w:numPr>
          <w:ilvl w:val="0"/>
          <w:numId w:val="31"/>
        </w:numPr>
        <w:tabs>
          <w:tab w:val="num" w:pos="720"/>
        </w:tabs>
      </w:pPr>
      <w:r>
        <w:t>Προπτυχιακή Φοιτήτρια, Τμήμα Κτηνιατρικής, Σχολή Επιστημών Υγείας, Αριστοτέλειο Πανεπιστήμιο Θεσσαλονίκης</w:t>
      </w:r>
    </w:p>
    <w:p w14:paraId="789EA7D1" w14:textId="6AE56695" w:rsidR="007A2D0C" w:rsidRDefault="007A2D0C">
      <w:pPr>
        <w:pStyle w:val="a6"/>
        <w:numPr>
          <w:ilvl w:val="0"/>
          <w:numId w:val="31"/>
        </w:numPr>
        <w:jc w:val="both"/>
      </w:pPr>
      <w:r w:rsidRPr="00CB3A31">
        <w:t>Καθηγήτρια, Κτηνιατρική Χειρουργική- Συγκριτική Οφθαλμολογία- Ιατρική Εξωτικών και Άγριων Ζώων Τμήμα Κτηνιατρικής, Σχολή Επιστημών Υγείας, Αριστοτέλειο Πανεπιστήμιο Θεσσαλονίκης</w:t>
      </w:r>
    </w:p>
    <w:p w14:paraId="66C897FD" w14:textId="77777777" w:rsidR="00CB3A31" w:rsidRPr="00CB3A31" w:rsidRDefault="00CB3A31" w:rsidP="00CB3A31">
      <w:pPr>
        <w:pStyle w:val="a6"/>
        <w:jc w:val="both"/>
      </w:pPr>
    </w:p>
    <w:p w14:paraId="799905D1" w14:textId="77777777" w:rsidR="007A2D0C" w:rsidRPr="007A2D0C" w:rsidRDefault="007A2D0C" w:rsidP="007A2D0C">
      <w:pPr>
        <w:jc w:val="both"/>
      </w:pPr>
      <w:r w:rsidRPr="007A2D0C">
        <w:rPr>
          <w:b/>
          <w:bCs/>
        </w:rPr>
        <w:t>Περίληψη</w:t>
      </w:r>
    </w:p>
    <w:p w14:paraId="7E811DBB" w14:textId="77777777" w:rsidR="007A2D0C" w:rsidRPr="007A2D0C" w:rsidRDefault="007A2D0C" w:rsidP="007A2D0C">
      <w:pPr>
        <w:jc w:val="both"/>
      </w:pPr>
      <w:r w:rsidRPr="007A2D0C">
        <w:t>Τα θαλάσσια θηλαστικά, ως κορυφαίοι θηρευτές και είδη «ομπρέλα», αποτελούν κρίσιμους δείκτες για την υγεία των θαλάσσιων οικοσυστημάτων. Οι αυξανόμενες ανθρωπογενείς πιέσεις, όπως οι υδατοκαλλιέργειες, έχουν δημιουργήσει νέες συνθήκες αλληλεπίδρασης με την θαλάσσια πανίδα. Τα ρινοδέλφινα (Tursiops truncatus) λειτουργούν συχνά ως ευκαιριακοί θηρευτές και επιλέγουν τις υδατοκαλλιέργειες για να τραφούν τόσο με τα άγρια ψάρια που συγκεντρώνονται γύρω από τους κλωβούς όσο και τα εκτρεφόμενα. Υπάρχουν όμως αμφίδρομες αρνητικές συνέπειες. Συγκεκριμένα, παρατηρούνται υλικές ζημιές στις μονάδες και πτώση της παραγωγής, ενώ αντίστοιχα τα δελφίνια εκτίθενται σε κινδύνους τραυματισμού, παγίδευσης ή και έκθεσης σε αντιβιοτικά μέσω της τροφής. Επιπρόσθετα, παρατηρείται διαφοροποίηση στην κοινωνική δομή των δελφινιών, οδηγώντας στο σχηματισμό υποπληθυσμών που εξειδικεύονται πλέον στο κυνήγι εντός της υδατοκαλλιέργειας. Το γεγονός αυτό πιθανόν να επιφέρει αρνητικό αντίκτυπο στις επόμενες γενιές, καθώς η μετάδοση της γνώσης περιορίζεται εντός των νέων υποπληθυσμών. Παρόλο που έχουν αναπτυχθεί σύγχρονες μέθοδοι, όπως οι ακουστικές συσκευές (ADD), για τον περιορισμό των παραπάνω αλληλεπιδράσεων, η αποτελεσματικότητα τους είναι αμφιλεγόμενη λόγω της υψηλής προσαρμοστικότητας που χαρακτηρίζει τα δελφίνια. Η παρούσα βιβλιογραφική ανασκόπηση, με δεδομένα από μελέτες πεδίου στη Μεσόγειο θάλασσα, αναδεικνύει την ανάγκη για περαιτέρω έρευνα και κατανόηση των αλλαγές στις κοινωνικές δομές των δελφινιών και ανάγκη για βιώσιμες στρατηγικές συνύπαρξης της θαλάσσιας πανίδας με την οικονομική δραστηριότητα.</w:t>
      </w:r>
    </w:p>
    <w:p w14:paraId="3A5E840C" w14:textId="77777777" w:rsidR="007A2D0C" w:rsidRPr="007A2D0C" w:rsidRDefault="007A2D0C" w:rsidP="007A2D0C">
      <w:pPr>
        <w:jc w:val="both"/>
      </w:pPr>
    </w:p>
    <w:p w14:paraId="56FC969A" w14:textId="77777777" w:rsidR="007A2D0C" w:rsidRPr="00382DF1" w:rsidRDefault="007A2D0C" w:rsidP="007A2D0C">
      <w:pPr>
        <w:jc w:val="both"/>
        <w:rPr>
          <w:lang w:val="en-US"/>
        </w:rPr>
      </w:pPr>
      <w:r w:rsidRPr="007A2D0C">
        <w:rPr>
          <w:b/>
          <w:bCs/>
        </w:rPr>
        <w:t>Βιβλιογραφία</w:t>
      </w:r>
      <w:r w:rsidRPr="00382DF1">
        <w:rPr>
          <w:b/>
          <w:bCs/>
          <w:lang w:val="fr-FR"/>
        </w:rPr>
        <w:br/>
      </w:r>
      <w:r w:rsidRPr="00382DF1">
        <w:rPr>
          <w:lang w:val="fr-FR"/>
        </w:rPr>
        <w:t xml:space="preserve">Agrelo, M. et al. </w:t>
      </w:r>
      <w:r w:rsidRPr="00382DF1">
        <w:rPr>
          <w:lang w:val="en-US"/>
        </w:rPr>
        <w:t xml:space="preserve">(2019) Spatial behavioural response of coastal bottlenose dolphins to habitat disturbance in southern Brazil. </w:t>
      </w:r>
      <w:r w:rsidRPr="00382DF1">
        <w:rPr>
          <w:i/>
          <w:iCs/>
          <w:lang w:val="en-US"/>
        </w:rPr>
        <w:t>Aquat. Conserv. Mar. Freshw. Ecosyst</w:t>
      </w:r>
      <w:r w:rsidRPr="00382DF1">
        <w:rPr>
          <w:lang w:val="en-US"/>
        </w:rPr>
        <w:t>. 29: 1949–1958 </w:t>
      </w:r>
    </w:p>
    <w:p w14:paraId="332A6E68" w14:textId="77777777" w:rsidR="007A2D0C" w:rsidRPr="00382DF1" w:rsidRDefault="007A2D0C" w:rsidP="007A2D0C">
      <w:pPr>
        <w:jc w:val="both"/>
        <w:rPr>
          <w:lang w:val="en-US"/>
        </w:rPr>
      </w:pPr>
      <w:r w:rsidRPr="00382DF1">
        <w:rPr>
          <w:lang w:val="en-US"/>
        </w:rPr>
        <w:t xml:space="preserve">Andres, C., Cardona, L., Gonzalvo, J. (2021). Common bottlenose dolphin (Tursiops truncatus) interaction with fish farms in the Gulf of Ambracia, western Greece </w:t>
      </w:r>
      <w:r w:rsidRPr="00382DF1">
        <w:rPr>
          <w:i/>
          <w:iCs/>
          <w:lang w:val="en-US"/>
        </w:rPr>
        <w:t>Aquatic Conserv: Mar Freshw Ecosyst</w:t>
      </w:r>
      <w:r w:rsidRPr="00382DF1">
        <w:rPr>
          <w:lang w:val="en-US"/>
        </w:rPr>
        <w:t>. 2021: 1 – 12</w:t>
      </w:r>
    </w:p>
    <w:p w14:paraId="7DDA6B29" w14:textId="77777777" w:rsidR="007A2D0C" w:rsidRPr="00382DF1" w:rsidRDefault="007A2D0C" w:rsidP="007A2D0C">
      <w:pPr>
        <w:jc w:val="both"/>
        <w:rPr>
          <w:lang w:val="en-US"/>
        </w:rPr>
      </w:pPr>
      <w:r w:rsidRPr="00382DF1">
        <w:rPr>
          <w:lang w:val="en-US"/>
        </w:rPr>
        <w:t xml:space="preserve">Ansmann, I.C, Parra, J.G, Chilvers, B.L., Lanyon, J.M. (2012) Dolphins restructure social system after reduction of commercial fisheries, </w:t>
      </w:r>
      <w:r w:rsidRPr="00382DF1">
        <w:rPr>
          <w:i/>
          <w:iCs/>
          <w:lang w:val="en-US"/>
        </w:rPr>
        <w:t>Animal Behaviour</w:t>
      </w:r>
      <w:r w:rsidRPr="00382DF1">
        <w:rPr>
          <w:lang w:val="en-US"/>
        </w:rPr>
        <w:t>, 84: 575-581, </w:t>
      </w:r>
    </w:p>
    <w:p w14:paraId="57023E5A" w14:textId="77777777" w:rsidR="00CB3A31" w:rsidRPr="00CB3A31" w:rsidRDefault="007A2D0C" w:rsidP="007A2D0C">
      <w:pPr>
        <w:jc w:val="both"/>
        <w:rPr>
          <w:lang w:val="en-GB"/>
        </w:rPr>
      </w:pPr>
      <w:r w:rsidRPr="00382DF1">
        <w:rPr>
          <w:lang w:val="en-US"/>
        </w:rPr>
        <w:t xml:space="preserve">Andersen, M.S., Forney, F.A., Cole, T.V.N., et al. (2008) Differentiating Serious and Non-serious Injury of Marine Mammals: Report of the Serious Injury Technical Workshop. </w:t>
      </w:r>
      <w:r w:rsidRPr="00382DF1">
        <w:rPr>
          <w:i/>
          <w:iCs/>
          <w:lang w:val="en-US"/>
        </w:rPr>
        <w:t>US National Oceanic and Atmospheric Administration</w:t>
      </w:r>
    </w:p>
    <w:p w14:paraId="305055A0" w14:textId="7CBC186E" w:rsidR="007A2D0C" w:rsidRPr="00382DF1" w:rsidRDefault="007A2D0C" w:rsidP="007A2D0C">
      <w:pPr>
        <w:jc w:val="both"/>
        <w:rPr>
          <w:lang w:val="en-US"/>
        </w:rPr>
      </w:pPr>
      <w:r w:rsidRPr="00382DF1">
        <w:rPr>
          <w:lang w:val="en-US"/>
        </w:rPr>
        <w:lastRenderedPageBreak/>
        <w:t xml:space="preserve">Barnhill, K. A., Scott, J., Clark, H. P., &amp; Smith, A. J. (2022). Human-bottlenose dolphin interactions within wildlife tourism, ocean recreation and fisheries. </w:t>
      </w:r>
      <w:r w:rsidRPr="00382DF1">
        <w:rPr>
          <w:i/>
          <w:iCs/>
          <w:lang w:val="en-US"/>
        </w:rPr>
        <w:t>Coastal Studies &amp; Society</w:t>
      </w:r>
      <w:r w:rsidRPr="00382DF1">
        <w:rPr>
          <w:lang w:val="en-US"/>
        </w:rPr>
        <w:t xml:space="preserve">, </w:t>
      </w:r>
      <w:r w:rsidRPr="00382DF1">
        <w:rPr>
          <w:i/>
          <w:iCs/>
          <w:lang w:val="en-US"/>
        </w:rPr>
        <w:t>1</w:t>
      </w:r>
      <w:r w:rsidRPr="00382DF1">
        <w:rPr>
          <w:lang w:val="en-US"/>
        </w:rPr>
        <w:t>(2-4), 140-155. </w:t>
      </w:r>
    </w:p>
    <w:p w14:paraId="14F19EB7" w14:textId="77777777" w:rsidR="007A2D0C" w:rsidRPr="00382DF1" w:rsidRDefault="007A2D0C" w:rsidP="007A2D0C">
      <w:pPr>
        <w:jc w:val="both"/>
        <w:rPr>
          <w:lang w:val="en-US"/>
        </w:rPr>
      </w:pPr>
      <w:r w:rsidRPr="00382DF1">
        <w:rPr>
          <w:lang w:val="en-US"/>
        </w:rPr>
        <w:t xml:space="preserve">Bath, G, ., Price, C, , Riley, K, Morris, J,A Jr. (2023) A global review of protected species interactions with marine aquaculture. </w:t>
      </w:r>
      <w:r w:rsidRPr="00382DF1">
        <w:rPr>
          <w:i/>
          <w:iCs/>
          <w:lang w:val="en-US"/>
        </w:rPr>
        <w:t>Rev Aquac</w:t>
      </w:r>
      <w:r w:rsidRPr="00382DF1">
        <w:rPr>
          <w:lang w:val="en-US"/>
        </w:rPr>
        <w:t>.; 15(4): 1686-1719. </w:t>
      </w:r>
    </w:p>
    <w:p w14:paraId="14627FD1" w14:textId="77777777" w:rsidR="007A2D0C" w:rsidRPr="00382DF1" w:rsidRDefault="007A2D0C" w:rsidP="007A2D0C">
      <w:pPr>
        <w:jc w:val="both"/>
        <w:rPr>
          <w:lang w:val="en-US"/>
        </w:rPr>
      </w:pPr>
      <w:r w:rsidRPr="00382DF1">
        <w:rPr>
          <w:lang w:val="en-US"/>
        </w:rPr>
        <w:t xml:space="preserve">Bailey, H., Thompson, P. (2006), Quantitative analysis of bottlenose dolphin movement patterns and their relationship with foraging. </w:t>
      </w:r>
      <w:r w:rsidRPr="00382DF1">
        <w:rPr>
          <w:i/>
          <w:iCs/>
          <w:lang w:val="en-US"/>
        </w:rPr>
        <w:t xml:space="preserve">Journal of Animal Ecology, </w:t>
      </w:r>
      <w:r w:rsidRPr="00382DF1">
        <w:rPr>
          <w:lang w:val="en-US"/>
        </w:rPr>
        <w:t>75: 456-465. </w:t>
      </w:r>
    </w:p>
    <w:p w14:paraId="21CE2448" w14:textId="77777777" w:rsidR="007A2D0C" w:rsidRPr="00382DF1" w:rsidRDefault="007A2D0C" w:rsidP="007A2D0C">
      <w:pPr>
        <w:jc w:val="both"/>
        <w:rPr>
          <w:lang w:val="en-US"/>
        </w:rPr>
      </w:pPr>
      <w:r w:rsidRPr="00382DF1">
        <w:rPr>
          <w:lang w:val="en-US"/>
        </w:rPr>
        <w:t xml:space="preserve">Bearzi, G., Agazzi, S., Bonizzoni, S., Costa, M., Azzellino, A. (2008). Dolphins in a bottle: abundance, residency patterns and conservation of bottlenose dolphins Tursiops truncatus in the semi-closed eutrophic Amvrakikos Gulf, Greece, </w:t>
      </w:r>
      <w:r w:rsidRPr="00382DF1">
        <w:rPr>
          <w:i/>
          <w:iCs/>
          <w:lang w:val="en-US"/>
        </w:rPr>
        <w:t>Aquatic Conserv: Mar. Freshw. Ecosyst</w:t>
      </w:r>
      <w:r w:rsidRPr="00382DF1">
        <w:rPr>
          <w:lang w:val="en-US"/>
        </w:rPr>
        <w:t>. 18: 130 – 146</w:t>
      </w:r>
    </w:p>
    <w:p w14:paraId="7C52B033" w14:textId="77777777" w:rsidR="007A2D0C" w:rsidRPr="00233C2F" w:rsidRDefault="007A2D0C" w:rsidP="007A2D0C">
      <w:pPr>
        <w:jc w:val="both"/>
      </w:pPr>
      <w:r w:rsidRPr="00382DF1">
        <w:rPr>
          <w:lang w:val="en-US"/>
        </w:rPr>
        <w:t xml:space="preserve">Bearzi, G., Fortuna, C. M., Reeves, R. R. (2008). Ecology and conservation of common bottlenose dolphins Tursiops truncatus in the Mediterranean Sea. </w:t>
      </w:r>
      <w:r w:rsidRPr="007A2D0C">
        <w:rPr>
          <w:i/>
          <w:iCs/>
        </w:rPr>
        <w:t>Mammal</w:t>
      </w:r>
      <w:r w:rsidRPr="00233C2F">
        <w:rPr>
          <w:i/>
          <w:iCs/>
        </w:rPr>
        <w:t xml:space="preserve"> </w:t>
      </w:r>
      <w:r w:rsidRPr="007A2D0C">
        <w:rPr>
          <w:i/>
          <w:iCs/>
        </w:rPr>
        <w:t>Review</w:t>
      </w:r>
      <w:r w:rsidRPr="00233C2F">
        <w:rPr>
          <w:i/>
          <w:iCs/>
        </w:rPr>
        <w:t xml:space="preserve">, </w:t>
      </w:r>
      <w:r w:rsidRPr="00233C2F">
        <w:t>39: 92 – 123</w:t>
      </w:r>
    </w:p>
    <w:p w14:paraId="69632D6F" w14:textId="0C1EEF6B" w:rsidR="00CB3A31" w:rsidRPr="00233C2F" w:rsidRDefault="00CB3A31">
      <w:r w:rsidRPr="00233C2F">
        <w:br w:type="page"/>
      </w:r>
    </w:p>
    <w:p w14:paraId="6C7FB9CD" w14:textId="77777777" w:rsidR="00CB3A31" w:rsidRPr="00CB3A31" w:rsidRDefault="00CB3A31" w:rsidP="00CB3A31">
      <w:pPr>
        <w:jc w:val="both"/>
      </w:pPr>
      <w:r w:rsidRPr="00CB3A31">
        <w:rPr>
          <w:b/>
          <w:bCs/>
        </w:rPr>
        <w:lastRenderedPageBreak/>
        <w:t>Μελέτη της νευρογένεσης στον εγκέφαλο του νεαρού και του ηλικιωμένου σκύλου: πιθανές εφαρμογές στην διαχείριση νευρολογικών νοσημάτων</w:t>
      </w:r>
    </w:p>
    <w:p w14:paraId="7B07DEC3" w14:textId="171A1787" w:rsidR="00CB3A31" w:rsidRPr="00CB3A31" w:rsidRDefault="00CB3A31" w:rsidP="00CB3A31">
      <w:pPr>
        <w:jc w:val="both"/>
      </w:pPr>
      <w:r w:rsidRPr="00CB3A31">
        <w:t>Ιωσηφίδης Γεώργιος</w:t>
      </w:r>
      <w:r w:rsidR="00844433" w:rsidRPr="00CB3A31">
        <w:rPr>
          <w:vertAlign w:val="superscript"/>
        </w:rPr>
        <w:t>1</w:t>
      </w:r>
      <w:r w:rsidR="00844433" w:rsidRPr="00CB3A31">
        <w:t>, Μπεκιάρη</w:t>
      </w:r>
      <w:r w:rsidRPr="00CB3A31">
        <w:t xml:space="preserve"> Χρυσάνθη</w:t>
      </w:r>
      <w:r w:rsidRPr="00CB3A31">
        <w:rPr>
          <w:vertAlign w:val="superscript"/>
        </w:rPr>
        <w:t>2</w:t>
      </w:r>
    </w:p>
    <w:p w14:paraId="77F9D141" w14:textId="77777777" w:rsidR="00CB3A31" w:rsidRPr="00CB3A31" w:rsidRDefault="00CB3A31">
      <w:pPr>
        <w:numPr>
          <w:ilvl w:val="0"/>
          <w:numId w:val="32"/>
        </w:numPr>
        <w:jc w:val="both"/>
      </w:pPr>
      <w:r w:rsidRPr="00CB3A31">
        <w:t>Προπτυχιακός φοιτητής, Σχολή Επιστημών Υγείας, Τμήμα Κτηνιατρικής,  Αριστοτέλειο Πανεπιστήμιο Θεσσαλονίκης</w:t>
      </w:r>
    </w:p>
    <w:p w14:paraId="45DD928A" w14:textId="77777777" w:rsidR="00CB3A31" w:rsidRPr="00CB3A31" w:rsidRDefault="00CB3A31">
      <w:pPr>
        <w:numPr>
          <w:ilvl w:val="0"/>
          <w:numId w:val="32"/>
        </w:numPr>
        <w:jc w:val="both"/>
      </w:pPr>
      <w:r w:rsidRPr="00CB3A31">
        <w:t>Επίκουρη καθηγήτρια, Εργαστήριο Ανατομικής, Ιστολογίας και Εμβρυολογίας, , Σχολή Επιστημών Υγείας, Τμήμα Κτηνιατρικής Αριστοτέλειο Πανεπιστήμιο Θεσσαλονίκης</w:t>
      </w:r>
    </w:p>
    <w:p w14:paraId="604B8F93" w14:textId="77777777" w:rsidR="00CB3A31" w:rsidRPr="00CB3A31" w:rsidRDefault="00CB3A31" w:rsidP="00CB3A31">
      <w:pPr>
        <w:jc w:val="both"/>
      </w:pPr>
    </w:p>
    <w:p w14:paraId="4DCFD344" w14:textId="77777777" w:rsidR="00CB3A31" w:rsidRPr="00CB3A31" w:rsidRDefault="00CB3A31" w:rsidP="00CB3A31">
      <w:pPr>
        <w:jc w:val="both"/>
      </w:pPr>
      <w:r w:rsidRPr="00CB3A31">
        <w:rPr>
          <w:b/>
          <w:bCs/>
        </w:rPr>
        <w:t>Περίληψη</w:t>
      </w:r>
    </w:p>
    <w:p w14:paraId="38E8C1E1" w14:textId="77777777" w:rsidR="00CB3A31" w:rsidRDefault="00CB3A31" w:rsidP="00CB3A31">
      <w:pPr>
        <w:jc w:val="both"/>
      </w:pPr>
      <w:r w:rsidRPr="00CB3A31">
        <w:t>Η νευρογένεση ορίζεται ως η παραγωγή νέων νευρικών κυττάρων στον εγκέφαλο. Ειδικότερα, αποτελεί τη διαδικασία κατά την οποία τα νευρικά στελεχιαία κύτταρα πολλαπλασιάζονται και διαφοροποιούνται προς νέους νευρώνες και αστροκύτταρα. Σύγχρονα δεδομένα αποδεικνύουν ότι η διαδικασία αυτή δεν τερματίζεται με την ολοκλήρωση της ανάπτυξης του κεντρικού νευρικού συστήματος, αλλά συνεχίζεται και κατά την ενήλικο ζωή. Ο ιππόκαμπος του εγκεφάλου, κρίσιμος για τη μνήμη και τη μάθηση, διατηρεί αυτή την ικανότητα παραγωγής νέων νευρικών κυττάρων, ωστόσο, αυτή φθίνει δραματικά με την πάροδο της ηλικίας, ενώ επηρεάζεται σημαντικά από νευρολογικές παθήσεις, όπως η επιληψία του κροταφικού λοβού και το σύνδρομο γνωστικής δυσλειτουργίας του σκύλου. Η παρούσα μελέτη επιχειρεί τη συγκριτική αξιολόγηση της νευρογένεσης στον ιππόκαμπο μεταξύ νεαρών και ηλικιωμένων σκύλων, αξιοποιώντας ανοσοϊστοχημικούς δείκτες για την ταυτοποίηση της ικανότητας πολλαπλασιασμού των νευρικών βλαστικών κυττάρων και των κυτταρικών πληθυσμών που προκύπτουν. Παράλληλα, συζητείται η δυνητική συμβολή της νευρογένεσης στη διαχείριση νευρολογικών παθήσεων του σκύλου, μέσω της διέγερσης ή της στοχευμένης τροποποίησής της.  </w:t>
      </w:r>
    </w:p>
    <w:p w14:paraId="6D5491C6" w14:textId="77777777" w:rsidR="00844433" w:rsidRPr="00844433" w:rsidRDefault="00844433" w:rsidP="00CB3A31">
      <w:pPr>
        <w:jc w:val="both"/>
      </w:pPr>
    </w:p>
    <w:p w14:paraId="546296F9" w14:textId="77777777" w:rsidR="00CB3A31" w:rsidRPr="00CB3A31" w:rsidRDefault="00CB3A31" w:rsidP="00CB3A31">
      <w:pPr>
        <w:jc w:val="both"/>
      </w:pPr>
      <w:r w:rsidRPr="00CB3A31">
        <w:rPr>
          <w:b/>
          <w:bCs/>
        </w:rPr>
        <w:t>Βιβλιογραφία</w:t>
      </w:r>
    </w:p>
    <w:p w14:paraId="65FA9784" w14:textId="60694400" w:rsidR="00CB3A31" w:rsidRPr="00233C2F" w:rsidRDefault="00CB3A31" w:rsidP="00CB3A31">
      <w:pPr>
        <w:jc w:val="both"/>
        <w:rPr>
          <w:lang w:val="en-GB"/>
        </w:rPr>
      </w:pPr>
      <w:r w:rsidRPr="00CB3A31">
        <w:t>Bekiari, C., Grivas, I., Tsingotjidou, A., &amp; Papadopoulos, G. C. (2020).</w:t>
      </w:r>
      <w:r w:rsidRPr="00CB3A31">
        <w:rPr>
          <w:i/>
          <w:iCs/>
        </w:rPr>
        <w:t xml:space="preserve"> </w:t>
      </w:r>
      <w:r w:rsidRPr="00382DF1">
        <w:rPr>
          <w:i/>
          <w:iCs/>
          <w:lang w:val="en-US"/>
        </w:rPr>
        <w:t>Adult neurogenesis and gliogenesis in the dorsal and ventral canine hippocampus</w:t>
      </w:r>
      <w:r w:rsidRPr="00382DF1">
        <w:rPr>
          <w:lang w:val="en-US"/>
        </w:rPr>
        <w:t>. </w:t>
      </w:r>
      <w:r w:rsidRPr="00382DF1">
        <w:rPr>
          <w:i/>
          <w:iCs/>
          <w:lang w:val="en-US"/>
        </w:rPr>
        <w:t>Journal of Comparative Neurology, 528</w:t>
      </w:r>
      <w:r w:rsidRPr="00382DF1">
        <w:rPr>
          <w:lang w:val="en-US"/>
        </w:rPr>
        <w:t>(7), 1216–1230. </w:t>
      </w:r>
    </w:p>
    <w:p w14:paraId="0DB9604C" w14:textId="4162A392" w:rsidR="00CB3A31" w:rsidRPr="00233C2F" w:rsidRDefault="00CB3A31" w:rsidP="00CB3A31">
      <w:pPr>
        <w:jc w:val="both"/>
        <w:rPr>
          <w:lang w:val="en-GB"/>
        </w:rPr>
      </w:pPr>
      <w:r w:rsidRPr="00382DF1">
        <w:rPr>
          <w:lang w:val="en-US"/>
        </w:rPr>
        <w:t>Borschensky, C. M., Woolley, J. S., Kipar, A., &amp; Herden, C. (2012).</w:t>
      </w:r>
      <w:r w:rsidRPr="00382DF1">
        <w:rPr>
          <w:i/>
          <w:iCs/>
          <w:lang w:val="en-US"/>
        </w:rPr>
        <w:t xml:space="preserve"> Neurogenesis in a young dog with epileptic seizures.</w:t>
      </w:r>
      <w:r w:rsidRPr="00382DF1">
        <w:rPr>
          <w:lang w:val="en-US"/>
        </w:rPr>
        <w:t> </w:t>
      </w:r>
      <w:r w:rsidRPr="00382DF1">
        <w:rPr>
          <w:i/>
          <w:iCs/>
          <w:lang w:val="en-US"/>
        </w:rPr>
        <w:t>Veterinary Pathology, 49</w:t>
      </w:r>
      <w:r w:rsidRPr="00382DF1">
        <w:rPr>
          <w:lang w:val="en-US"/>
        </w:rPr>
        <w:t>(5), 766–770.</w:t>
      </w:r>
    </w:p>
    <w:p w14:paraId="47A9E40B" w14:textId="0029DD47" w:rsidR="00CB3A31" w:rsidRPr="002617A2" w:rsidRDefault="00CB3A31" w:rsidP="00CB3A31">
      <w:pPr>
        <w:jc w:val="both"/>
        <w:rPr>
          <w:lang w:val="fr-FR"/>
        </w:rPr>
      </w:pPr>
      <w:r w:rsidRPr="00382DF1">
        <w:rPr>
          <w:lang w:val="en-US"/>
        </w:rPr>
        <w:t xml:space="preserve">Deng, W., Aimone, J. B., &amp; Gage, F. H. (2010). </w:t>
      </w:r>
      <w:r w:rsidRPr="00382DF1">
        <w:rPr>
          <w:i/>
          <w:iCs/>
          <w:lang w:val="en-US"/>
        </w:rPr>
        <w:t>New neurons and new memories: How does adult hippocampal neurogenesis affect learning and memory?</w:t>
      </w:r>
      <w:r w:rsidRPr="00382DF1">
        <w:rPr>
          <w:lang w:val="en-US"/>
        </w:rPr>
        <w:t> </w:t>
      </w:r>
      <w:r w:rsidRPr="00382DF1">
        <w:rPr>
          <w:i/>
          <w:iCs/>
          <w:lang w:val="fr-FR"/>
        </w:rPr>
        <w:t>Nature Reviews Neuroscience, 11</w:t>
      </w:r>
      <w:r w:rsidRPr="00382DF1">
        <w:rPr>
          <w:lang w:val="fr-FR"/>
        </w:rPr>
        <w:t>(5), 339–350. </w:t>
      </w:r>
    </w:p>
    <w:p w14:paraId="668CAD2F" w14:textId="796FA39E" w:rsidR="00CB3A31" w:rsidRPr="00233C2F" w:rsidRDefault="00CB3A31" w:rsidP="00844433">
      <w:pPr>
        <w:jc w:val="both"/>
        <w:rPr>
          <w:lang w:val="en-GB"/>
        </w:rPr>
      </w:pPr>
      <w:r w:rsidRPr="00382DF1">
        <w:rPr>
          <w:lang w:val="fr-FR"/>
        </w:rPr>
        <w:t xml:space="preserve">Fernández-Flores, F., García-Verdugo, J. M., Martín-Ibáñez, R., Herranz, C., Fondevila, D., Canals, J. M., Arús, C., &amp; Pumarola, M. (2018). </w:t>
      </w:r>
      <w:r w:rsidRPr="00382DF1">
        <w:rPr>
          <w:i/>
          <w:iCs/>
          <w:lang w:val="en-US"/>
        </w:rPr>
        <w:t>Characterization of the canine rostral ventricular-subventricular zone: Morphological, immunohistochemical, ultrastructural, and neurosphere assay studies</w:t>
      </w:r>
      <w:r w:rsidRPr="00382DF1">
        <w:rPr>
          <w:lang w:val="en-US"/>
        </w:rPr>
        <w:t>. </w:t>
      </w:r>
      <w:r w:rsidRPr="00382DF1">
        <w:rPr>
          <w:i/>
          <w:iCs/>
          <w:lang w:val="en-US"/>
        </w:rPr>
        <w:t>Journal of Comparative Neurology, 526</w:t>
      </w:r>
      <w:r w:rsidRPr="00382DF1">
        <w:rPr>
          <w:lang w:val="en-US"/>
        </w:rPr>
        <w:t>(4), 721–741. </w:t>
      </w:r>
    </w:p>
    <w:p w14:paraId="5C84DC9B" w14:textId="4AE4DB16" w:rsidR="00CB3A31" w:rsidRPr="00233C2F" w:rsidRDefault="00CB3A31" w:rsidP="00CB3A31">
      <w:pPr>
        <w:jc w:val="both"/>
        <w:rPr>
          <w:lang w:val="en-GB"/>
        </w:rPr>
      </w:pPr>
      <w:r w:rsidRPr="00382DF1">
        <w:rPr>
          <w:lang w:val="en-US"/>
        </w:rPr>
        <w:t xml:space="preserve">Jung, M.-A., Nahm, S.-S., Lee, M.-S., Lee, I.-H., Lee, A.-R., Jang, D.-P., Kim, Y.-B., Cho, Z.-H., &amp; Eom, K.-D. (2010). </w:t>
      </w:r>
      <w:r w:rsidRPr="00382DF1">
        <w:rPr>
          <w:i/>
          <w:iCs/>
          <w:lang w:val="en-US"/>
        </w:rPr>
        <w:t>Canine hippocampal formation composited into three-dimensional structure using MPRAGE.</w:t>
      </w:r>
      <w:r w:rsidRPr="00382DF1">
        <w:rPr>
          <w:lang w:val="en-US"/>
        </w:rPr>
        <w:t> </w:t>
      </w:r>
      <w:r w:rsidRPr="00382DF1">
        <w:rPr>
          <w:i/>
          <w:iCs/>
          <w:lang w:val="en-US"/>
        </w:rPr>
        <w:t>Journal of Veterinary Medical Science, 72</w:t>
      </w:r>
      <w:r w:rsidRPr="00382DF1">
        <w:rPr>
          <w:lang w:val="en-US"/>
        </w:rPr>
        <w:t>(7), 853–860. </w:t>
      </w:r>
    </w:p>
    <w:p w14:paraId="303BCAFB" w14:textId="48B5AA0B" w:rsidR="00CB3A31" w:rsidRPr="00233C2F" w:rsidRDefault="00CB3A31" w:rsidP="00CB3A31">
      <w:pPr>
        <w:jc w:val="both"/>
        <w:rPr>
          <w:lang w:val="en-GB"/>
        </w:rPr>
      </w:pPr>
      <w:r w:rsidRPr="00382DF1">
        <w:rPr>
          <w:lang w:val="en-US"/>
        </w:rPr>
        <w:lastRenderedPageBreak/>
        <w:t xml:space="preserve">Kempermann, G., Song, H., &amp; Gage, F. H. (2015). </w:t>
      </w:r>
      <w:r w:rsidRPr="00382DF1">
        <w:rPr>
          <w:i/>
          <w:iCs/>
          <w:lang w:val="en-US"/>
        </w:rPr>
        <w:t>Neurogenesis in the adult hippocampus. Cold Spring Harbor Perspectives in Biology, 7</w:t>
      </w:r>
      <w:r w:rsidRPr="00382DF1">
        <w:rPr>
          <w:lang w:val="en-US"/>
        </w:rPr>
        <w:t>(9), a018812.</w:t>
      </w:r>
    </w:p>
    <w:p w14:paraId="2EA2C095" w14:textId="7C4933AC" w:rsidR="00CB3A31" w:rsidRPr="00233C2F" w:rsidRDefault="00CB3A31" w:rsidP="00CB3A31">
      <w:pPr>
        <w:jc w:val="both"/>
        <w:rPr>
          <w:lang w:val="en-GB"/>
        </w:rPr>
      </w:pPr>
      <w:r w:rsidRPr="00382DF1">
        <w:rPr>
          <w:lang w:val="en-US"/>
        </w:rPr>
        <w:t xml:space="preserve">Lowe, A., Dalton, M., Sidhu, K., Sachdev, P., Reynolds, B., &amp; Valenzuela, M. (2015). </w:t>
      </w:r>
      <w:r w:rsidRPr="00382DF1">
        <w:rPr>
          <w:i/>
          <w:iCs/>
          <w:lang w:val="en-US"/>
        </w:rPr>
        <w:t>Neurogenesis and precursor cell differences in the dorsal and ventral adult canine hippocampus.</w:t>
      </w:r>
      <w:r w:rsidRPr="00382DF1">
        <w:rPr>
          <w:lang w:val="en-US"/>
        </w:rPr>
        <w:t> </w:t>
      </w:r>
      <w:r w:rsidRPr="00382DF1">
        <w:rPr>
          <w:i/>
          <w:iCs/>
          <w:lang w:val="en-US"/>
        </w:rPr>
        <w:t>Neuroscience Letters, 593</w:t>
      </w:r>
      <w:r w:rsidRPr="00382DF1">
        <w:rPr>
          <w:lang w:val="en-US"/>
        </w:rPr>
        <w:t>, 107–113. </w:t>
      </w:r>
    </w:p>
    <w:p w14:paraId="34F0E31D" w14:textId="1F5038DC" w:rsidR="00CB3A31" w:rsidRPr="00233C2F" w:rsidRDefault="00CB3A31" w:rsidP="00CB3A31">
      <w:pPr>
        <w:jc w:val="both"/>
        <w:rPr>
          <w:lang w:val="en-GB"/>
        </w:rPr>
      </w:pPr>
      <w:r w:rsidRPr="00382DF1">
        <w:rPr>
          <w:lang w:val="en-US"/>
        </w:rPr>
        <w:t xml:space="preserve">Montgomery, D. L., &amp; Lee, A. C. (1983). </w:t>
      </w:r>
      <w:r w:rsidRPr="00382DF1">
        <w:rPr>
          <w:i/>
          <w:iCs/>
          <w:lang w:val="en-US"/>
        </w:rPr>
        <w:t>Brain damage in the epileptic beagle dog.</w:t>
      </w:r>
      <w:r w:rsidRPr="00382DF1">
        <w:rPr>
          <w:lang w:val="en-US"/>
        </w:rPr>
        <w:t> </w:t>
      </w:r>
      <w:r w:rsidRPr="00382DF1">
        <w:rPr>
          <w:i/>
          <w:iCs/>
          <w:lang w:val="en-US"/>
        </w:rPr>
        <w:t>Veterinary Pathology, 20</w:t>
      </w:r>
      <w:r w:rsidRPr="00382DF1">
        <w:rPr>
          <w:lang w:val="en-US"/>
        </w:rPr>
        <w:t>(2), 160–169. </w:t>
      </w:r>
    </w:p>
    <w:p w14:paraId="41F73B33" w14:textId="63A20EA3" w:rsidR="00CB3A31" w:rsidRPr="00233C2F" w:rsidRDefault="00CB3A31" w:rsidP="00CB3A31">
      <w:pPr>
        <w:jc w:val="both"/>
        <w:rPr>
          <w:lang w:val="en-GB"/>
        </w:rPr>
      </w:pPr>
      <w:r w:rsidRPr="00382DF1">
        <w:rPr>
          <w:lang w:val="en-US"/>
        </w:rPr>
        <w:t xml:space="preserve">Pekcec, A., Baumgärtner, W., Bankstahl, J. P., Stein, V. M., &amp; Potschka, H. (2008). </w:t>
      </w:r>
      <w:r w:rsidRPr="00382DF1">
        <w:rPr>
          <w:i/>
          <w:iCs/>
          <w:lang w:val="en-US"/>
        </w:rPr>
        <w:t>Effect of aging on neurogenesis in the canine brain.</w:t>
      </w:r>
      <w:r w:rsidRPr="00382DF1">
        <w:rPr>
          <w:lang w:val="en-US"/>
        </w:rPr>
        <w:t> </w:t>
      </w:r>
      <w:r w:rsidRPr="00382DF1">
        <w:rPr>
          <w:i/>
          <w:iCs/>
          <w:lang w:val="en-US"/>
        </w:rPr>
        <w:t>Aging Cell, 7</w:t>
      </w:r>
      <w:r w:rsidRPr="00382DF1">
        <w:rPr>
          <w:lang w:val="en-US"/>
        </w:rPr>
        <w:t>(3), 368–374. </w:t>
      </w:r>
    </w:p>
    <w:p w14:paraId="53CBC6D6" w14:textId="5B185E54" w:rsidR="00CB3A31" w:rsidRPr="00233C2F" w:rsidRDefault="00CB3A31" w:rsidP="00CB3A31">
      <w:pPr>
        <w:jc w:val="both"/>
        <w:rPr>
          <w:lang w:val="en-GB"/>
        </w:rPr>
      </w:pPr>
      <w:r w:rsidRPr="00382DF1">
        <w:rPr>
          <w:lang w:val="en-US"/>
        </w:rPr>
        <w:t>Seisdedos Benzal, A., &amp; Galán Rodríguez, A. (2016).</w:t>
      </w:r>
      <w:r w:rsidRPr="00382DF1">
        <w:rPr>
          <w:i/>
          <w:iCs/>
          <w:lang w:val="en-US"/>
        </w:rPr>
        <w:t xml:space="preserve"> Recent developments in canine cognitive dysfunction syndrome</w:t>
      </w:r>
      <w:r w:rsidRPr="00382DF1">
        <w:rPr>
          <w:lang w:val="en-US"/>
        </w:rPr>
        <w:t>. </w:t>
      </w:r>
      <w:r w:rsidRPr="00382DF1">
        <w:rPr>
          <w:i/>
          <w:iCs/>
          <w:lang w:val="en-US"/>
        </w:rPr>
        <w:t>Pet Behaviour Science, (1)</w:t>
      </w:r>
      <w:r w:rsidRPr="00382DF1">
        <w:rPr>
          <w:lang w:val="en-US"/>
        </w:rPr>
        <w:t>, 47–59. </w:t>
      </w:r>
    </w:p>
    <w:p w14:paraId="4B97D024" w14:textId="77777777" w:rsidR="00CB3A31" w:rsidRPr="00382DF1" w:rsidRDefault="00CB3A31" w:rsidP="00CB3A31">
      <w:pPr>
        <w:jc w:val="both"/>
        <w:rPr>
          <w:lang w:val="en-US"/>
        </w:rPr>
      </w:pPr>
      <w:r w:rsidRPr="00382DF1">
        <w:rPr>
          <w:lang w:val="en-US"/>
        </w:rPr>
        <w:t xml:space="preserve">Siwak-Tapp, C. T., Head, E., Muggenburg, B. A., Milgram, N. W., &amp; Cotman, C. W. (2007). </w:t>
      </w:r>
      <w:r w:rsidRPr="00382DF1">
        <w:rPr>
          <w:i/>
          <w:iCs/>
          <w:lang w:val="en-US"/>
        </w:rPr>
        <w:t>Neurogenesis decreases with age in the canine hippocampus and correlates with cognitive function.</w:t>
      </w:r>
      <w:r w:rsidRPr="00382DF1">
        <w:rPr>
          <w:lang w:val="en-US"/>
        </w:rPr>
        <w:t> </w:t>
      </w:r>
      <w:r w:rsidRPr="00382DF1">
        <w:rPr>
          <w:i/>
          <w:iCs/>
          <w:lang w:val="en-US"/>
        </w:rPr>
        <w:t>Neurobiology of Learning and Memory, 88</w:t>
      </w:r>
      <w:r w:rsidRPr="00382DF1">
        <w:rPr>
          <w:lang w:val="en-US"/>
        </w:rPr>
        <w:t>(2), 249–259. </w:t>
      </w:r>
    </w:p>
    <w:p w14:paraId="5EC7FB01" w14:textId="77777777" w:rsidR="00844433" w:rsidRPr="00382DF1" w:rsidRDefault="00CB3A31" w:rsidP="00CB3A31">
      <w:pPr>
        <w:jc w:val="both"/>
        <w:rPr>
          <w:lang w:val="en-US"/>
        </w:rPr>
      </w:pPr>
      <w:r w:rsidRPr="00382DF1">
        <w:rPr>
          <w:lang w:val="en-US"/>
        </w:rPr>
        <w:br/>
      </w:r>
    </w:p>
    <w:p w14:paraId="36173667" w14:textId="77777777" w:rsidR="00844433" w:rsidRPr="00382DF1" w:rsidRDefault="00844433" w:rsidP="00CB3A31">
      <w:pPr>
        <w:jc w:val="both"/>
        <w:rPr>
          <w:lang w:val="en-US"/>
        </w:rPr>
      </w:pPr>
    </w:p>
    <w:p w14:paraId="0976413E" w14:textId="77777777" w:rsidR="00844433" w:rsidRPr="00382DF1" w:rsidRDefault="00844433" w:rsidP="00CB3A31">
      <w:pPr>
        <w:jc w:val="both"/>
        <w:rPr>
          <w:lang w:val="en-US"/>
        </w:rPr>
      </w:pPr>
    </w:p>
    <w:p w14:paraId="70EA5CCA" w14:textId="77777777" w:rsidR="00844433" w:rsidRPr="00382DF1" w:rsidRDefault="00844433" w:rsidP="00CB3A31">
      <w:pPr>
        <w:jc w:val="both"/>
        <w:rPr>
          <w:lang w:val="en-US"/>
        </w:rPr>
      </w:pPr>
    </w:p>
    <w:p w14:paraId="36AEA8C2" w14:textId="77777777" w:rsidR="00844433" w:rsidRPr="00382DF1" w:rsidRDefault="00844433" w:rsidP="00CB3A31">
      <w:pPr>
        <w:jc w:val="both"/>
        <w:rPr>
          <w:lang w:val="en-US"/>
        </w:rPr>
      </w:pPr>
    </w:p>
    <w:p w14:paraId="6BDEB516" w14:textId="77777777" w:rsidR="00844433" w:rsidRPr="00382DF1" w:rsidRDefault="00844433" w:rsidP="00CB3A31">
      <w:pPr>
        <w:jc w:val="both"/>
        <w:rPr>
          <w:lang w:val="en-US"/>
        </w:rPr>
      </w:pPr>
    </w:p>
    <w:p w14:paraId="01CDFF79" w14:textId="77777777" w:rsidR="00844433" w:rsidRPr="00382DF1" w:rsidRDefault="00844433" w:rsidP="00CB3A31">
      <w:pPr>
        <w:jc w:val="both"/>
        <w:rPr>
          <w:lang w:val="en-US"/>
        </w:rPr>
      </w:pPr>
    </w:p>
    <w:p w14:paraId="48B5BA18" w14:textId="77777777" w:rsidR="00844433" w:rsidRPr="00382DF1" w:rsidRDefault="00844433" w:rsidP="00CB3A31">
      <w:pPr>
        <w:jc w:val="both"/>
        <w:rPr>
          <w:lang w:val="en-US"/>
        </w:rPr>
      </w:pPr>
    </w:p>
    <w:p w14:paraId="69BD9FF6" w14:textId="77777777" w:rsidR="00844433" w:rsidRPr="00382DF1" w:rsidRDefault="00844433" w:rsidP="00CB3A31">
      <w:pPr>
        <w:jc w:val="both"/>
        <w:rPr>
          <w:lang w:val="en-US"/>
        </w:rPr>
      </w:pPr>
    </w:p>
    <w:p w14:paraId="066468F5" w14:textId="77777777" w:rsidR="00844433" w:rsidRPr="00382DF1" w:rsidRDefault="00844433" w:rsidP="00CB3A31">
      <w:pPr>
        <w:jc w:val="both"/>
        <w:rPr>
          <w:lang w:val="en-US"/>
        </w:rPr>
      </w:pPr>
    </w:p>
    <w:p w14:paraId="12188B94" w14:textId="77777777" w:rsidR="00844433" w:rsidRPr="00382DF1" w:rsidRDefault="00844433" w:rsidP="00CB3A31">
      <w:pPr>
        <w:jc w:val="both"/>
        <w:rPr>
          <w:lang w:val="en-US"/>
        </w:rPr>
      </w:pPr>
    </w:p>
    <w:p w14:paraId="2F78E043" w14:textId="77777777" w:rsidR="00844433" w:rsidRPr="00382DF1" w:rsidRDefault="00844433" w:rsidP="00CB3A31">
      <w:pPr>
        <w:jc w:val="both"/>
        <w:rPr>
          <w:lang w:val="en-US"/>
        </w:rPr>
      </w:pPr>
    </w:p>
    <w:p w14:paraId="1A18CB19" w14:textId="52AF706D" w:rsidR="00CB3A31" w:rsidRPr="00382DF1" w:rsidRDefault="00CB3A31" w:rsidP="00CB3A31">
      <w:pPr>
        <w:jc w:val="both"/>
        <w:rPr>
          <w:lang w:val="en-US"/>
        </w:rPr>
      </w:pP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r w:rsidRPr="00382DF1">
        <w:rPr>
          <w:lang w:val="en-US"/>
        </w:rPr>
        <w:br/>
      </w:r>
    </w:p>
    <w:p w14:paraId="443445A3" w14:textId="77777777" w:rsidR="00CB3A31" w:rsidRPr="00382DF1" w:rsidRDefault="00CB3A31" w:rsidP="00CB3A31">
      <w:pPr>
        <w:jc w:val="both"/>
        <w:rPr>
          <w:lang w:val="en-US"/>
        </w:rPr>
      </w:pPr>
      <w:r w:rsidRPr="00CB3A31">
        <w:rPr>
          <w:b/>
          <w:bCs/>
        </w:rPr>
        <w:lastRenderedPageBreak/>
        <w:t>Μηνιγγοεγκεφαλίτιδα</w:t>
      </w:r>
      <w:r w:rsidRPr="00382DF1">
        <w:rPr>
          <w:b/>
          <w:bCs/>
          <w:lang w:val="en-US"/>
        </w:rPr>
        <w:t xml:space="preserve"> </w:t>
      </w:r>
      <w:r w:rsidRPr="00CB3A31">
        <w:rPr>
          <w:b/>
          <w:bCs/>
        </w:rPr>
        <w:t>Άγνωστης</w:t>
      </w:r>
      <w:r w:rsidRPr="00382DF1">
        <w:rPr>
          <w:b/>
          <w:bCs/>
          <w:lang w:val="en-US"/>
        </w:rPr>
        <w:t xml:space="preserve"> </w:t>
      </w:r>
      <w:r w:rsidRPr="00CB3A31">
        <w:rPr>
          <w:b/>
          <w:bCs/>
        </w:rPr>
        <w:t>Αιτιολογίας</w:t>
      </w:r>
      <w:r w:rsidRPr="00382DF1">
        <w:rPr>
          <w:b/>
          <w:bCs/>
          <w:lang w:val="en-US"/>
        </w:rPr>
        <w:t xml:space="preserve"> (MUO)</w:t>
      </w:r>
    </w:p>
    <w:p w14:paraId="246069F7" w14:textId="77777777" w:rsidR="00CB3A31" w:rsidRPr="00382DF1" w:rsidRDefault="00CB3A31" w:rsidP="00CB3A31">
      <w:pPr>
        <w:jc w:val="both"/>
        <w:rPr>
          <w:lang w:val="en-US"/>
        </w:rPr>
      </w:pPr>
      <w:r w:rsidRPr="00CB3A31">
        <w:t>Καβαλάρη</w:t>
      </w:r>
      <w:r w:rsidRPr="00382DF1">
        <w:rPr>
          <w:lang w:val="en-US"/>
        </w:rPr>
        <w:t xml:space="preserve"> </w:t>
      </w:r>
      <w:r w:rsidRPr="00CB3A31">
        <w:t>Μαρία</w:t>
      </w:r>
      <w:r w:rsidRPr="00382DF1">
        <w:rPr>
          <w:lang w:val="en-US"/>
        </w:rPr>
        <w:t xml:space="preserve"> </w:t>
      </w:r>
      <w:r w:rsidRPr="00CB3A31">
        <w:t>Άρια</w:t>
      </w:r>
      <w:r w:rsidRPr="00382DF1">
        <w:rPr>
          <w:lang w:val="en-US"/>
        </w:rPr>
        <w:t xml:space="preserve">¹, </w:t>
      </w:r>
      <w:r w:rsidRPr="00CB3A31">
        <w:t>Μαυρίδου</w:t>
      </w:r>
      <w:r w:rsidRPr="00382DF1">
        <w:rPr>
          <w:lang w:val="en-US"/>
        </w:rPr>
        <w:t xml:space="preserve"> </w:t>
      </w:r>
      <w:r w:rsidRPr="00CB3A31">
        <w:t>Αντωνία</w:t>
      </w:r>
      <w:r w:rsidRPr="00382DF1">
        <w:rPr>
          <w:lang w:val="en-US"/>
        </w:rPr>
        <w:t xml:space="preserve">¹, </w:t>
      </w:r>
      <w:r w:rsidRPr="00CB3A31">
        <w:t>Πολυζοπούλου</w:t>
      </w:r>
      <w:r w:rsidRPr="00382DF1">
        <w:rPr>
          <w:lang w:val="en-US"/>
        </w:rPr>
        <w:t xml:space="preserve"> </w:t>
      </w:r>
      <w:r w:rsidRPr="00CB3A31">
        <w:t>Ζωή</w:t>
      </w:r>
      <w:r w:rsidRPr="00382DF1">
        <w:rPr>
          <w:lang w:val="en-US"/>
        </w:rPr>
        <w:t xml:space="preserve">², </w:t>
      </w:r>
      <w:r w:rsidRPr="00CB3A31">
        <w:t>Μπάκα</w:t>
      </w:r>
      <w:r w:rsidRPr="00382DF1">
        <w:rPr>
          <w:lang w:val="en-US"/>
        </w:rPr>
        <w:t xml:space="preserve"> </w:t>
      </w:r>
      <w:r w:rsidRPr="00CB3A31">
        <w:t>Ράνια</w:t>
      </w:r>
      <w:r w:rsidRPr="00382DF1">
        <w:rPr>
          <w:lang w:val="en-US"/>
        </w:rPr>
        <w:t xml:space="preserve"> </w:t>
      </w:r>
      <w:r w:rsidRPr="00CB3A31">
        <w:t>Δ</w:t>
      </w:r>
      <w:r w:rsidRPr="00382DF1">
        <w:rPr>
          <w:lang w:val="en-US"/>
        </w:rPr>
        <w:t>.³</w:t>
      </w:r>
    </w:p>
    <w:p w14:paraId="21CDE3DA" w14:textId="77777777" w:rsidR="00CB3A31" w:rsidRPr="00CB3A31" w:rsidRDefault="00CB3A31" w:rsidP="00CB3A31">
      <w:pPr>
        <w:jc w:val="both"/>
      </w:pPr>
      <w:r w:rsidRPr="00CB3A31">
        <w:t>1.     Προπτυχιακή Φοιτήτρια Τμήμα Κτηνιατρικής, Σχολή Επιστημών Υγείας, Αριστοτέλειο Πανεπιστήμιο Θεσσαλονίκης</w:t>
      </w:r>
    </w:p>
    <w:p w14:paraId="72AAE1BB" w14:textId="77777777" w:rsidR="00CB3A31" w:rsidRPr="00CB3A31" w:rsidRDefault="00CB3A31" w:rsidP="00CB3A31">
      <w:pPr>
        <w:jc w:val="both"/>
      </w:pPr>
      <w:r w:rsidRPr="00CB3A31">
        <w:t>2.     Καθηγήτρια, Τμήμα Κτηνιατρικής Σχολής Επιστημών Υγείας, Αριστοτέλειο Πανεπιστήμιο Θεσσαλονίκης</w:t>
      </w:r>
    </w:p>
    <w:p w14:paraId="20A2C456" w14:textId="77777777" w:rsidR="00CB3A31" w:rsidRDefault="00CB3A31" w:rsidP="00CB3A31">
      <w:pPr>
        <w:jc w:val="both"/>
      </w:pPr>
      <w:r w:rsidRPr="00CB3A31">
        <w:t>3.     Επιστημονική και Ακαδημαϊκή Συνεργάτιδα Κλινική Ζώων Συντροφιάς, Τμήμα Κτηνιατρικής, Σχολή Επιστημών Υγείας, Αριστοτέλειο Πανεπιστήμιο Θεσσαλονίκης</w:t>
      </w:r>
    </w:p>
    <w:p w14:paraId="7A48389B" w14:textId="77777777" w:rsidR="00844433" w:rsidRPr="00CB3A31" w:rsidRDefault="00844433" w:rsidP="00CB3A31">
      <w:pPr>
        <w:jc w:val="both"/>
      </w:pPr>
    </w:p>
    <w:p w14:paraId="1F52E565" w14:textId="77777777" w:rsidR="00CB3A31" w:rsidRPr="00CB3A31" w:rsidRDefault="00CB3A31" w:rsidP="00CB3A31">
      <w:pPr>
        <w:jc w:val="both"/>
      </w:pPr>
      <w:r w:rsidRPr="00CB3A31">
        <w:rPr>
          <w:b/>
          <w:bCs/>
        </w:rPr>
        <w:t>Περίληψη</w:t>
      </w:r>
    </w:p>
    <w:p w14:paraId="4A37187A" w14:textId="77777777" w:rsidR="00CB3A31" w:rsidRPr="00CB3A31" w:rsidRDefault="00CB3A31" w:rsidP="00CB3A31">
      <w:pPr>
        <w:jc w:val="both"/>
      </w:pPr>
      <w:r w:rsidRPr="00CB3A31">
        <w:t>Η μηνιγγοεγκεφαλίτιδα άγνωστης αιτιολογίας (Meningoencephalitis of Unknown Origin, MUO) είναι ένας όρος «ομπρέλα» που περιλαμβάνει φλεγμονώδεις εγκεφαλοπάθειες άγνωστης αιτιολογίας, που δεν οφείλονται σε λοιμογόνους παράγοντες. Ως νόσος έχει μελετηθεί εκτενέστερα στους σκύλους και περιλαμβάνει διάφορους υποτύπους, εκ των οποίων συχνότεροι είναι η κοκκιωματώδης μηνιγγογκεφαλομυελίτιδα (GME), η νεκρωτική λευκοεγκεφαλίτιδα (NLE) και η νεκρωτική μηνιγγοεγκεφαλίτιδα (NME). Η αιτιοπαθογένεια τους παραμένει υπό διερεύνηση, ενώ η συμπτωματολογία ποικίλει, με πιο χαρακτηριστικές κλινικές εκδηλώσεις τις αιθουσαίο και παρεγκεφαλιδικό σύνδρομο, αταξία, λήθαργο, επιληπτικές κρίσεις και πάρεση. Η εμφάνιση των συμπτωμάτων και η πορεία της νόσου είναι οξεία ή υποξεία, με συνεχή επιδείνωση μέχρι το θάνατο του ζώου. Η διάγνωση της MUΟ στηρίζεται στο ιστορικό, τα ευρήματα της κλινικής και νευρολογικής εξέτασης, τη μαγνητική τομογραφία (MRI), την ανάλυση του εγκεφαλονωτιαίου υγρού (CSF), καθώς και τον αποκλεισμό λοιμωδών νοσημάτων που προκαλούν εγκεφαλίτιδα. Η τελική επιβεβαίωση της νόσου πραγματοποιείται με ιστοπαθολογική εξέταση. Η θεραπεία της MUO στηρίζεται στη μακροχρόνια χορήγηση ανασοκατασταλτικών φαρμάκων όπως τα κορτικοστεροειδή (πρεδνιζολόνη), που συχνά χορηγούνται σε συνδυασμό με άλλα ανοσορρυθμιστικά φάρμακα όπως η κυκλοσπορίνη και η κυταραβίνη, και υποστηρικτική αγωγή, με περιορισμένη ωστόσο αποτελεσματικότητα.</w:t>
      </w:r>
    </w:p>
    <w:p w14:paraId="3EB2D06B" w14:textId="77777777" w:rsidR="00CB3A31" w:rsidRPr="00CB3A31" w:rsidRDefault="00CB3A31" w:rsidP="00CB3A31">
      <w:pPr>
        <w:jc w:val="both"/>
      </w:pPr>
      <w:r w:rsidRPr="00CB3A31">
        <w:rPr>
          <w:b/>
          <w:bCs/>
        </w:rPr>
        <w:t> </w:t>
      </w:r>
    </w:p>
    <w:p w14:paraId="6CF27960" w14:textId="77777777" w:rsidR="00CB3A31" w:rsidRPr="00CB3A31" w:rsidRDefault="00CB3A31" w:rsidP="00CB3A31">
      <w:pPr>
        <w:jc w:val="both"/>
      </w:pPr>
      <w:r w:rsidRPr="00CB3A31">
        <w:rPr>
          <w:b/>
          <w:bCs/>
        </w:rPr>
        <w:t>Βιβλιογραφία</w:t>
      </w:r>
    </w:p>
    <w:p w14:paraId="2D275648" w14:textId="77777777" w:rsidR="00CB3A31" w:rsidRPr="00382DF1" w:rsidRDefault="00CB3A31" w:rsidP="00CB3A31">
      <w:pPr>
        <w:jc w:val="both"/>
        <w:rPr>
          <w:lang w:val="en-US"/>
        </w:rPr>
      </w:pPr>
      <w:r w:rsidRPr="00CB3A31">
        <w:t xml:space="preserve">Tamura, S., Santifort, K. M., Kuwabara, T., Nakamoto, Y., &amp; Tamura, Y. (2026). </w:t>
      </w:r>
      <w:r w:rsidRPr="00382DF1">
        <w:rPr>
          <w:lang w:val="en-US"/>
        </w:rPr>
        <w:t xml:space="preserve">Case Report: Positioning head tilt observed in six dogs with meningoencephalitis of unknown origin. </w:t>
      </w:r>
      <w:r w:rsidRPr="00382DF1">
        <w:rPr>
          <w:i/>
          <w:iCs/>
          <w:lang w:val="en-US"/>
        </w:rPr>
        <w:t>Frontiers in Veterinary Science</w:t>
      </w:r>
      <w:r w:rsidRPr="00382DF1">
        <w:rPr>
          <w:lang w:val="en-US"/>
        </w:rPr>
        <w:t xml:space="preserve">, </w:t>
      </w:r>
      <w:r w:rsidRPr="00382DF1">
        <w:rPr>
          <w:i/>
          <w:iCs/>
          <w:lang w:val="en-US"/>
        </w:rPr>
        <w:t>13</w:t>
      </w:r>
      <w:r w:rsidRPr="00382DF1">
        <w:rPr>
          <w:lang w:val="en-US"/>
        </w:rPr>
        <w:t>. </w:t>
      </w:r>
    </w:p>
    <w:p w14:paraId="5925CC1D" w14:textId="77777777" w:rsidR="00CB3A31" w:rsidRPr="00382DF1" w:rsidRDefault="00CB3A31" w:rsidP="00CB3A31">
      <w:pPr>
        <w:jc w:val="both"/>
        <w:rPr>
          <w:lang w:val="en-US"/>
        </w:rPr>
      </w:pPr>
      <w:r w:rsidRPr="00382DF1">
        <w:rPr>
          <w:lang w:val="en-US"/>
        </w:rPr>
        <w:t xml:space="preserve">Brewińska, L., Banasik, A., Czopowicz, M., Płonek, M., Giza, E., Czerwik, A., Olszewska, A., Flegel, T., &amp; Wrzosek, M. (2025). Usefulness of neurological assessment scales in prognosis of meningoencephalitis of unknown origin in Yorkshire Terriers. </w:t>
      </w:r>
      <w:r w:rsidRPr="00382DF1">
        <w:rPr>
          <w:i/>
          <w:iCs/>
          <w:lang w:val="en-US"/>
        </w:rPr>
        <w:t>BMC Veterinary Research</w:t>
      </w:r>
      <w:r w:rsidRPr="00382DF1">
        <w:rPr>
          <w:lang w:val="en-US"/>
        </w:rPr>
        <w:t xml:space="preserve">, </w:t>
      </w:r>
      <w:r w:rsidRPr="00382DF1">
        <w:rPr>
          <w:i/>
          <w:iCs/>
          <w:lang w:val="en-US"/>
        </w:rPr>
        <w:t>21</w:t>
      </w:r>
      <w:r w:rsidRPr="00382DF1">
        <w:rPr>
          <w:lang w:val="en-US"/>
        </w:rPr>
        <w:t>(1).</w:t>
      </w:r>
    </w:p>
    <w:p w14:paraId="1A146B13" w14:textId="77777777" w:rsidR="00CB3A31" w:rsidRPr="00382DF1" w:rsidRDefault="00CB3A31" w:rsidP="00CB3A31">
      <w:pPr>
        <w:jc w:val="both"/>
        <w:rPr>
          <w:lang w:val="en-US"/>
        </w:rPr>
      </w:pPr>
      <w:r w:rsidRPr="00382DF1">
        <w:rPr>
          <w:lang w:val="en-US"/>
        </w:rPr>
        <w:t xml:space="preserve">Nessler, J. N., Jo, W. K., Osterhaus, A. D. M. E., Ludlow, M., &amp; Tipold, A. (2021). Canine Meningoencephalitis of Unknown Origin—The Search for Infectious Agents in the Cerebrospinal Fluid via Deep Sequencing. </w:t>
      </w:r>
      <w:r w:rsidRPr="00382DF1">
        <w:rPr>
          <w:i/>
          <w:iCs/>
          <w:lang w:val="en-US"/>
        </w:rPr>
        <w:t>Frontiers in Veterinary Science</w:t>
      </w:r>
      <w:r w:rsidRPr="00382DF1">
        <w:rPr>
          <w:lang w:val="en-US"/>
        </w:rPr>
        <w:t xml:space="preserve">, </w:t>
      </w:r>
      <w:r w:rsidRPr="00382DF1">
        <w:rPr>
          <w:i/>
          <w:iCs/>
          <w:lang w:val="en-US"/>
        </w:rPr>
        <w:t>8</w:t>
      </w:r>
      <w:r w:rsidRPr="00382DF1">
        <w:rPr>
          <w:lang w:val="en-US"/>
        </w:rPr>
        <w:t>. </w:t>
      </w:r>
    </w:p>
    <w:p w14:paraId="1C5C7904" w14:textId="77777777" w:rsidR="00CB3A31" w:rsidRPr="00382DF1" w:rsidRDefault="00CB3A31" w:rsidP="00CB3A31">
      <w:pPr>
        <w:jc w:val="both"/>
        <w:rPr>
          <w:lang w:val="en-US"/>
        </w:rPr>
      </w:pPr>
      <w:r w:rsidRPr="00382DF1">
        <w:rPr>
          <w:lang w:val="en-US"/>
        </w:rPr>
        <w:t xml:space="preserve">Nessler, J. N., &amp; Tipold, A. (2024). Of potential new treatment targets and polythetic approach in meningoencephalitis of unknown origin: a review. In </w:t>
      </w:r>
      <w:r w:rsidRPr="00382DF1">
        <w:rPr>
          <w:i/>
          <w:iCs/>
          <w:lang w:val="en-US"/>
        </w:rPr>
        <w:t>Frontiers in Veterinary Science</w:t>
      </w:r>
      <w:r w:rsidRPr="00382DF1">
        <w:rPr>
          <w:lang w:val="en-US"/>
        </w:rPr>
        <w:t xml:space="preserve"> (Vol. 11). Frontiers Media SA. </w:t>
      </w:r>
    </w:p>
    <w:p w14:paraId="229B6260" w14:textId="77777777" w:rsidR="00CB3A31" w:rsidRPr="00382DF1" w:rsidRDefault="00CB3A31" w:rsidP="00CB3A31">
      <w:pPr>
        <w:jc w:val="both"/>
        <w:rPr>
          <w:lang w:val="en-US"/>
        </w:rPr>
      </w:pPr>
      <w:r w:rsidRPr="00382DF1">
        <w:rPr>
          <w:lang w:val="en-US"/>
        </w:rPr>
        <w:lastRenderedPageBreak/>
        <w:t xml:space="preserve">Lau, S., Platt, S., Tauro, A., Ricci, E., &amp; Alcoverro, E. (2025). Meningoencephalitis of unknown origin with predominant cerebellar involvement in a cat: clinical, MRI and pathological findings. </w:t>
      </w:r>
      <w:r w:rsidRPr="00382DF1">
        <w:rPr>
          <w:i/>
          <w:iCs/>
          <w:lang w:val="en-US"/>
        </w:rPr>
        <w:t>Journal of Feline Medicine and Surgery Open Reports</w:t>
      </w:r>
      <w:r w:rsidRPr="00382DF1">
        <w:rPr>
          <w:lang w:val="en-US"/>
        </w:rPr>
        <w:t xml:space="preserve">, </w:t>
      </w:r>
      <w:r w:rsidRPr="00382DF1">
        <w:rPr>
          <w:i/>
          <w:iCs/>
          <w:lang w:val="en-US"/>
        </w:rPr>
        <w:t>11</w:t>
      </w:r>
      <w:r w:rsidRPr="00382DF1">
        <w:rPr>
          <w:lang w:val="en-US"/>
        </w:rPr>
        <w:t>(2). </w:t>
      </w:r>
    </w:p>
    <w:p w14:paraId="3E19C123" w14:textId="77777777" w:rsidR="00CB3A31" w:rsidRPr="00382DF1" w:rsidRDefault="00CB3A31" w:rsidP="00CB3A31">
      <w:pPr>
        <w:jc w:val="both"/>
        <w:rPr>
          <w:lang w:val="en-US"/>
        </w:rPr>
      </w:pPr>
      <w:r w:rsidRPr="00382DF1">
        <w:rPr>
          <w:lang w:val="en-US"/>
        </w:rPr>
        <w:t xml:space="preserve">Gonçalves, R., de Decker, S., Walmsley, G., &amp; Maddox, T. W. (2024). Prognosis in meningoencephalitis of unknown origin in dogs: Risk factors associated with survival, clinical relapse, and long-term disability. </w:t>
      </w:r>
      <w:r w:rsidRPr="00382DF1">
        <w:rPr>
          <w:i/>
          <w:iCs/>
          <w:lang w:val="en-US"/>
        </w:rPr>
        <w:t>Journal of Veterinary Internal Medicine</w:t>
      </w:r>
      <w:r w:rsidRPr="00382DF1">
        <w:rPr>
          <w:lang w:val="en-US"/>
        </w:rPr>
        <w:t xml:space="preserve">, </w:t>
      </w:r>
      <w:r w:rsidRPr="00382DF1">
        <w:rPr>
          <w:i/>
          <w:iCs/>
          <w:lang w:val="en-US"/>
        </w:rPr>
        <w:t>38</w:t>
      </w:r>
      <w:r w:rsidRPr="00382DF1">
        <w:rPr>
          <w:lang w:val="en-US"/>
        </w:rPr>
        <w:t>(3), 1583–1590. </w:t>
      </w:r>
    </w:p>
    <w:p w14:paraId="7D132165" w14:textId="77777777" w:rsidR="00CB3A31" w:rsidRPr="00382DF1" w:rsidRDefault="00CB3A31" w:rsidP="00CB3A31">
      <w:pPr>
        <w:jc w:val="both"/>
        <w:rPr>
          <w:lang w:val="en-US"/>
        </w:rPr>
      </w:pPr>
      <w:r w:rsidRPr="00382DF1">
        <w:rPr>
          <w:lang w:val="en-US"/>
        </w:rPr>
        <w:t xml:space="preserve">Jones, B. S., Liebel, F. X., Fadda, A., Martin, S., Lawn, R., Lazzerini, K., &amp; Harcourt-Brown, T. (2024). Corticosteroid monotherapy versus combined cytarabine continuous rate infusion and corticosteroid therapy in dogs with meningoencephalitis of unknown origin: A blinded, randomized, controlled trial. </w:t>
      </w:r>
      <w:r w:rsidRPr="00382DF1">
        <w:rPr>
          <w:i/>
          <w:iCs/>
          <w:lang w:val="en-US"/>
        </w:rPr>
        <w:t>Journal of Veterinary Internal Medicine</w:t>
      </w:r>
      <w:r w:rsidRPr="00382DF1">
        <w:rPr>
          <w:lang w:val="en-US"/>
        </w:rPr>
        <w:t xml:space="preserve">, </w:t>
      </w:r>
      <w:r w:rsidRPr="00382DF1">
        <w:rPr>
          <w:i/>
          <w:iCs/>
          <w:lang w:val="en-US"/>
        </w:rPr>
        <w:t>38</w:t>
      </w:r>
      <w:r w:rsidRPr="00382DF1">
        <w:rPr>
          <w:lang w:val="en-US"/>
        </w:rPr>
        <w:t>(3), 1618–1625. </w:t>
      </w:r>
    </w:p>
    <w:p w14:paraId="61F51D0B" w14:textId="77777777" w:rsidR="00CB3A31" w:rsidRPr="00382DF1" w:rsidRDefault="00CB3A31" w:rsidP="00CB3A31">
      <w:pPr>
        <w:jc w:val="both"/>
        <w:rPr>
          <w:lang w:val="en-US"/>
        </w:rPr>
      </w:pPr>
      <w:r w:rsidRPr="00382DF1">
        <w:rPr>
          <w:lang w:val="en-US"/>
        </w:rPr>
        <w:t xml:space="preserve">Galer, J., Forward, A. K., Hughes, J., Crawford, A. H., Behr, S., Cherubini, G. B., Cornelis, I., &amp; Royaux, E. (2024). Clinical features, treatment, and outcome of juvenile dogs with meningoencephalitis of unknown etiology. </w:t>
      </w:r>
      <w:r w:rsidRPr="00382DF1">
        <w:rPr>
          <w:i/>
          <w:iCs/>
          <w:lang w:val="en-US"/>
        </w:rPr>
        <w:t>Journal of Veterinary Internal Medicine</w:t>
      </w:r>
      <w:r w:rsidRPr="00382DF1">
        <w:rPr>
          <w:lang w:val="en-US"/>
        </w:rPr>
        <w:t xml:space="preserve">, </w:t>
      </w:r>
      <w:r w:rsidRPr="00382DF1">
        <w:rPr>
          <w:i/>
          <w:iCs/>
          <w:lang w:val="en-US"/>
        </w:rPr>
        <w:t>38</w:t>
      </w:r>
      <w:r w:rsidRPr="00382DF1">
        <w:rPr>
          <w:lang w:val="en-US"/>
        </w:rPr>
        <w:t>(4), 2214–2220. </w:t>
      </w:r>
    </w:p>
    <w:p w14:paraId="13682ADB" w14:textId="77777777" w:rsidR="00CB3A31" w:rsidRPr="00382DF1" w:rsidRDefault="00CB3A31" w:rsidP="00CB3A31">
      <w:pPr>
        <w:jc w:val="both"/>
        <w:rPr>
          <w:lang w:val="en-US"/>
        </w:rPr>
      </w:pPr>
      <w:r w:rsidRPr="00382DF1">
        <w:rPr>
          <w:lang w:val="en-US"/>
        </w:rPr>
        <w:t xml:space="preserve">Galer, J., Forward, A. K., Hughes, J., Crawford, A. H., Behr, S., Cherubini, G. B., Cornelis, I., &amp; Royaux, E. (2024). Clinical features, treatment, and outcome of juvenile dogs with meningoencephalitis of unknown etiology. </w:t>
      </w:r>
      <w:r w:rsidRPr="00382DF1">
        <w:rPr>
          <w:i/>
          <w:iCs/>
          <w:lang w:val="en-US"/>
        </w:rPr>
        <w:t>Journal of Veterinary Internal Medicine</w:t>
      </w:r>
      <w:r w:rsidRPr="00382DF1">
        <w:rPr>
          <w:lang w:val="en-US"/>
        </w:rPr>
        <w:t xml:space="preserve">, </w:t>
      </w:r>
      <w:r w:rsidRPr="00382DF1">
        <w:rPr>
          <w:i/>
          <w:iCs/>
          <w:lang w:val="en-US"/>
        </w:rPr>
        <w:t>38</w:t>
      </w:r>
      <w:r w:rsidRPr="00382DF1">
        <w:rPr>
          <w:lang w:val="en-US"/>
        </w:rPr>
        <w:t>(4), 2214–2220.</w:t>
      </w:r>
    </w:p>
    <w:p w14:paraId="1E40D0B4" w14:textId="77777777" w:rsidR="00CB3A31" w:rsidRPr="00382DF1" w:rsidRDefault="00CB3A31" w:rsidP="00CB3A31">
      <w:pPr>
        <w:jc w:val="both"/>
        <w:rPr>
          <w:lang w:val="en-US"/>
        </w:rPr>
      </w:pPr>
      <w:r w:rsidRPr="00382DF1">
        <w:rPr>
          <w:lang w:val="en-US"/>
        </w:rPr>
        <w:t xml:space="preserve"> Gibson, R. (2026). Meningoencephalomyelitis of Unknown Origin. In </w:t>
      </w:r>
      <w:r w:rsidRPr="00382DF1">
        <w:rPr>
          <w:i/>
          <w:iCs/>
          <w:lang w:val="en-US"/>
        </w:rPr>
        <w:t>The Feline Patient</w:t>
      </w:r>
      <w:r w:rsidRPr="00382DF1">
        <w:rPr>
          <w:lang w:val="en-US"/>
        </w:rPr>
        <w:t xml:space="preserve"> (pp. 380–381). Wiley. </w:t>
      </w:r>
    </w:p>
    <w:p w14:paraId="37934542" w14:textId="77777777" w:rsidR="00CB3A31" w:rsidRPr="00382DF1" w:rsidRDefault="00CB3A31" w:rsidP="00CB3A31">
      <w:pPr>
        <w:jc w:val="both"/>
        <w:rPr>
          <w:lang w:val="en-US"/>
        </w:rPr>
      </w:pPr>
      <w:r w:rsidRPr="00382DF1">
        <w:rPr>
          <w:lang w:val="en-US"/>
        </w:rPr>
        <w:t xml:space="preserve">Johnson, M. K., Windsor, R. C., Schmidt, J. L., Raczek, D. J., &amp; Moore, G. E. (2025). Vaccination and Seasonality as Risk Factors for Development of Meningoencephalitis of Unknown Origin in 172 Dogs. </w:t>
      </w:r>
      <w:r w:rsidRPr="00382DF1">
        <w:rPr>
          <w:i/>
          <w:iCs/>
          <w:lang w:val="en-US"/>
        </w:rPr>
        <w:t>Journal of Veterinary Internal Medicine</w:t>
      </w:r>
      <w:r w:rsidRPr="00382DF1">
        <w:rPr>
          <w:lang w:val="en-US"/>
        </w:rPr>
        <w:t xml:space="preserve">, </w:t>
      </w:r>
      <w:r w:rsidRPr="00382DF1">
        <w:rPr>
          <w:i/>
          <w:iCs/>
          <w:lang w:val="en-US"/>
        </w:rPr>
        <w:t>39</w:t>
      </w:r>
      <w:r w:rsidRPr="00382DF1">
        <w:rPr>
          <w:lang w:val="en-US"/>
        </w:rPr>
        <w:t>(2). </w:t>
      </w:r>
    </w:p>
    <w:p w14:paraId="27D4D3D6" w14:textId="77777777" w:rsidR="00CB3A31" w:rsidRPr="00382DF1" w:rsidRDefault="00CB3A31" w:rsidP="00CB3A31">
      <w:pPr>
        <w:jc w:val="both"/>
        <w:rPr>
          <w:lang w:val="en-US"/>
        </w:rPr>
      </w:pPr>
      <w:r w:rsidRPr="00382DF1">
        <w:rPr>
          <w:lang w:val="en-US"/>
        </w:rPr>
        <w:t xml:space="preserve"> Gonçalves, R., Walmsley, G., &amp; Maddox, T. W. (2025). Brain Atrophy in Dogs With Meningoencephalitis of Unknown Origin. </w:t>
      </w:r>
      <w:r w:rsidRPr="00382DF1">
        <w:rPr>
          <w:i/>
          <w:iCs/>
          <w:lang w:val="en-US"/>
        </w:rPr>
        <w:t>Journal of Veterinary Internal Medicine</w:t>
      </w:r>
      <w:r w:rsidRPr="00382DF1">
        <w:rPr>
          <w:lang w:val="en-US"/>
        </w:rPr>
        <w:t xml:space="preserve">, </w:t>
      </w:r>
      <w:r w:rsidRPr="00382DF1">
        <w:rPr>
          <w:i/>
          <w:iCs/>
          <w:lang w:val="en-US"/>
        </w:rPr>
        <w:t>39</w:t>
      </w:r>
      <w:r w:rsidRPr="00382DF1">
        <w:rPr>
          <w:lang w:val="en-US"/>
        </w:rPr>
        <w:t>(4). </w:t>
      </w:r>
    </w:p>
    <w:p w14:paraId="2ACF90EF" w14:textId="77777777" w:rsidR="00CB3A31" w:rsidRPr="00CB3A31" w:rsidRDefault="00CB3A31" w:rsidP="00CB3A31">
      <w:pPr>
        <w:jc w:val="both"/>
      </w:pPr>
      <w:r w:rsidRPr="00382DF1">
        <w:rPr>
          <w:lang w:val="en-US"/>
        </w:rPr>
        <w:t xml:space="preserve"> Schwab, S., Herden, C., Seeliger, F., Papaioannou, N., Psalla, D., Polizopulou, Z., &amp; Baumgärtner, W. (2007). Non-suppurative Meningoencephalitis of Unknown Origin in Cats and Dogs: an Immunohistochemical Study. </w:t>
      </w:r>
      <w:r w:rsidRPr="00CB3A31">
        <w:rPr>
          <w:i/>
          <w:iCs/>
        </w:rPr>
        <w:t>Journal of Comparative Pathology</w:t>
      </w:r>
      <w:r w:rsidRPr="00CB3A31">
        <w:t xml:space="preserve">, </w:t>
      </w:r>
      <w:r w:rsidRPr="00CB3A31">
        <w:rPr>
          <w:i/>
          <w:iCs/>
        </w:rPr>
        <w:t>136</w:t>
      </w:r>
      <w:r w:rsidRPr="00CB3A31">
        <w:t>(2–3), 96–110. </w:t>
      </w:r>
    </w:p>
    <w:p w14:paraId="77F7F2A5" w14:textId="77777777" w:rsidR="00CB3A31" w:rsidRPr="00CB3A31" w:rsidRDefault="00CB3A31" w:rsidP="00CB3A31">
      <w:pPr>
        <w:jc w:val="both"/>
      </w:pPr>
      <w:r w:rsidRPr="00CB3A31">
        <w:t> </w:t>
      </w:r>
    </w:p>
    <w:p w14:paraId="7E248B44" w14:textId="77777777" w:rsidR="00CB3A31" w:rsidRPr="00CB3A31" w:rsidRDefault="00CB3A31" w:rsidP="00CB3A31">
      <w:pPr>
        <w:jc w:val="both"/>
      </w:pPr>
      <w:r w:rsidRPr="00CB3A31">
        <w:t> </w:t>
      </w:r>
    </w:p>
    <w:p w14:paraId="5AFF9C20" w14:textId="77777777" w:rsidR="00CB3A31" w:rsidRDefault="00CB3A31" w:rsidP="00CB3A31">
      <w:pPr>
        <w:jc w:val="both"/>
      </w:pPr>
    </w:p>
    <w:p w14:paraId="72D20A44" w14:textId="77777777" w:rsidR="00844433" w:rsidRDefault="00844433" w:rsidP="00CB3A31">
      <w:pPr>
        <w:jc w:val="both"/>
      </w:pPr>
    </w:p>
    <w:p w14:paraId="118685ED" w14:textId="77777777" w:rsidR="00844433" w:rsidRDefault="00844433" w:rsidP="00CB3A31">
      <w:pPr>
        <w:jc w:val="both"/>
      </w:pPr>
    </w:p>
    <w:p w14:paraId="72B434A8" w14:textId="77777777" w:rsidR="00844433" w:rsidRDefault="00844433" w:rsidP="00CB3A31">
      <w:pPr>
        <w:jc w:val="both"/>
      </w:pPr>
    </w:p>
    <w:p w14:paraId="06AB91C2" w14:textId="77777777" w:rsidR="00844433" w:rsidRDefault="00844433" w:rsidP="00CB3A31">
      <w:pPr>
        <w:jc w:val="both"/>
      </w:pPr>
    </w:p>
    <w:p w14:paraId="41247A69" w14:textId="77777777" w:rsidR="00844433" w:rsidRDefault="00844433" w:rsidP="00CB3A31">
      <w:pPr>
        <w:jc w:val="both"/>
      </w:pPr>
    </w:p>
    <w:p w14:paraId="4AADD422" w14:textId="77777777" w:rsidR="00844433" w:rsidRPr="00CB3A31" w:rsidRDefault="00844433" w:rsidP="00CB3A31">
      <w:pPr>
        <w:jc w:val="both"/>
      </w:pPr>
    </w:p>
    <w:p w14:paraId="1B154B2C" w14:textId="77777777" w:rsidR="00CB3A31" w:rsidRPr="00CB3A31" w:rsidRDefault="00CB3A31" w:rsidP="00CB3A31">
      <w:pPr>
        <w:jc w:val="both"/>
      </w:pPr>
      <w:r w:rsidRPr="00CB3A31">
        <w:rPr>
          <w:b/>
          <w:bCs/>
        </w:rPr>
        <w:lastRenderedPageBreak/>
        <w:t>Η Εκπαίδευση ως Κλινικό Εργαλείο: Νευροβιολογικοί Μηχανισμοί και Εφαρμογές της Συνεργατικής Φροντίδας στον Σκύλο</w:t>
      </w:r>
    </w:p>
    <w:p w14:paraId="1AF19EC5" w14:textId="77777777" w:rsidR="00CB3A31" w:rsidRPr="00CB3A31" w:rsidRDefault="00CB3A31" w:rsidP="00CB3A31">
      <w:pPr>
        <w:jc w:val="both"/>
      </w:pPr>
      <w:r w:rsidRPr="00CB3A31">
        <w:t> Βολοβότση Μαρία Χρυσή</w:t>
      </w:r>
      <w:r w:rsidRPr="00CB3A31">
        <w:rPr>
          <w:vertAlign w:val="superscript"/>
        </w:rPr>
        <w:t>1</w:t>
      </w:r>
      <w:r w:rsidRPr="00CB3A31">
        <w:t>, Μπαζιώτης Χρήστος</w:t>
      </w:r>
      <w:r w:rsidRPr="00CB3A31">
        <w:rPr>
          <w:vertAlign w:val="superscript"/>
        </w:rPr>
        <w:t>2</w:t>
      </w:r>
    </w:p>
    <w:p w14:paraId="42649F7E" w14:textId="77777777" w:rsidR="00CB3A31" w:rsidRPr="00CB3A31" w:rsidRDefault="00CB3A31">
      <w:pPr>
        <w:numPr>
          <w:ilvl w:val="0"/>
          <w:numId w:val="33"/>
        </w:numPr>
        <w:jc w:val="both"/>
      </w:pPr>
      <w:r w:rsidRPr="00CB3A31">
        <w:t>Προπτυχιακή φοιτήτρια, Τμήμα Κτηνιατρικής, Σχολή Επιστημών Υγείας, Αριστοτέλειο Πανεπιστήμιο Θεσσαλονίκης και Εκπαιδεύτρια Σκύλων με Πιστοποίηση από το Κέντρο Διά Βίου Μάθησης ΑΝΑΒΑΘΜΙΣΗ</w:t>
      </w:r>
    </w:p>
    <w:p w14:paraId="294779E5" w14:textId="77777777" w:rsidR="00CB3A31" w:rsidRPr="00CB3A31" w:rsidRDefault="00CB3A31">
      <w:pPr>
        <w:numPr>
          <w:ilvl w:val="0"/>
          <w:numId w:val="33"/>
        </w:numPr>
        <w:jc w:val="both"/>
      </w:pPr>
      <w:r w:rsidRPr="00CB3A31">
        <w:t>Στρατιωτικός Κτηνίατρος, Μετεκπαιδευθείς στην Κτηνιατρική Σχολή του Αριστοτελείου Πανεπιστημίου Θεσσαλονίκης και του Πανεπιστημίου Θεσσαλίας</w:t>
      </w:r>
    </w:p>
    <w:p w14:paraId="361C06DB" w14:textId="77777777" w:rsidR="00CB3A31" w:rsidRPr="00CB3A31" w:rsidRDefault="00CB3A31" w:rsidP="00CB3A31">
      <w:pPr>
        <w:jc w:val="both"/>
      </w:pPr>
    </w:p>
    <w:p w14:paraId="6C3FD007" w14:textId="77777777" w:rsidR="00CB3A31" w:rsidRPr="00CB3A31" w:rsidRDefault="00CB3A31" w:rsidP="00CB3A31">
      <w:pPr>
        <w:jc w:val="both"/>
      </w:pPr>
      <w:r w:rsidRPr="00CB3A31">
        <w:rPr>
          <w:b/>
          <w:bCs/>
        </w:rPr>
        <w:t>Περίληψη</w:t>
      </w:r>
    </w:p>
    <w:p w14:paraId="671C9FE4" w14:textId="77777777" w:rsidR="00CB3A31" w:rsidRDefault="00CB3A31" w:rsidP="00CB3A31">
      <w:pPr>
        <w:jc w:val="both"/>
      </w:pPr>
      <w:r w:rsidRPr="00CB3A31">
        <w:t> Η κτηνιατρική εξέταση αποτελεί συχνά μια αγχωτική εμπειρία για έναν σκύλο, ενεργοποιώντας την αμυγδαλή και θέτοντας τον εγκέφαλο σε κατάσταση επιβίωσης (Overall, 2001). Στην κατάσταση αυτή, μειώνεται η γνωστική επεξεργασία και η δυνατότητα συνεργασίας του ζώου, γεγονός που υποβαθμίζει την ευζωία, ενώ μπορεί, επίσης, να αλλοιώσει ορισμένες κλινικές παραμέτρους και να αυξήσει την επικινδυνότητα για το προσωπικό (Beaver, 2009). Η εκπαίδευση σκύλων μπορεί να αποτελέσει ένα σπουδαίο εργαλείο για την μείωση του φόβου και τη δημιουργία ενός θετικού συσχετισμού με το κτηνιατρείο. Αξιοποιώντας τον κλασικό συσχετισμό και την συντελεσμένη μάθηση, μπορεί να επιτευχθεί η νευροπλαστικότητα και έτσι να δημιουργηθούν νέες, θετικές συναισθηματικές αποκρίσεις (Sanvictores et al., 2024 και Staddon, 2003). Ενσωματώνοντας την "συνεργατική φροντίδα" και χρησιμοποιώντας τεχνικές low-stress handling στην κλινική πράξη, δίνεται στο ζώο η αίσθηση ελέγχου και ενεργής επιλογής, κάνοντας την εμπειρία στο κτηνιατρείο πιο ευχάριστη και ομαλή (Yin, 2009 και Wess et al., 2022). Συνολικά, η εκπαίδευση σκύλων είναι ένα πολύτιμο εργαλείο που ενισχύει τη σχέση κτηνιάτρου-ζώου-κηδεμόνα και μπορεί να αλλάξει τον τρόπο που βιώνει ένα ζώο την επίσκεψη στο κτηνιατρείο.</w:t>
      </w:r>
    </w:p>
    <w:p w14:paraId="4192644C" w14:textId="77777777" w:rsidR="00844433" w:rsidRPr="00CB3A31" w:rsidRDefault="00844433" w:rsidP="00CB3A31">
      <w:pPr>
        <w:jc w:val="both"/>
      </w:pPr>
    </w:p>
    <w:p w14:paraId="502ED7B3" w14:textId="77777777" w:rsidR="00CB3A31" w:rsidRPr="00382DF1" w:rsidRDefault="00CB3A31" w:rsidP="00CB3A31">
      <w:pPr>
        <w:jc w:val="both"/>
        <w:rPr>
          <w:lang w:val="en-US"/>
        </w:rPr>
      </w:pPr>
      <w:r w:rsidRPr="00CB3A31">
        <w:rPr>
          <w:b/>
          <w:bCs/>
        </w:rPr>
        <w:t>Βιβλιογραφία</w:t>
      </w:r>
    </w:p>
    <w:p w14:paraId="526A15BD" w14:textId="281E889C" w:rsidR="00CB3A31" w:rsidRPr="00233C2F" w:rsidRDefault="00CB3A31" w:rsidP="00CB3A31">
      <w:pPr>
        <w:jc w:val="both"/>
        <w:rPr>
          <w:lang w:val="en-GB"/>
        </w:rPr>
      </w:pPr>
      <w:r w:rsidRPr="00382DF1">
        <w:rPr>
          <w:lang w:val="en-US"/>
        </w:rPr>
        <w:t xml:space="preserve">Beaver, B. V. (2009). </w:t>
      </w:r>
      <w:r w:rsidRPr="00382DF1">
        <w:rPr>
          <w:i/>
          <w:iCs/>
          <w:lang w:val="en-US"/>
        </w:rPr>
        <w:t>Canine behavior: Insights and answers (2nd ed.).</w:t>
      </w:r>
      <w:r w:rsidRPr="00382DF1">
        <w:rPr>
          <w:lang w:val="en-US"/>
        </w:rPr>
        <w:t xml:space="preserve"> Saunders Elsevier.</w:t>
      </w:r>
    </w:p>
    <w:p w14:paraId="462F2745" w14:textId="366B89B6" w:rsidR="00CB3A31" w:rsidRPr="00233C2F" w:rsidRDefault="00CB3A31" w:rsidP="00CB3A31">
      <w:pPr>
        <w:jc w:val="both"/>
        <w:rPr>
          <w:lang w:val="en-GB"/>
        </w:rPr>
      </w:pPr>
      <w:r w:rsidRPr="00382DF1">
        <w:rPr>
          <w:lang w:val="en-US"/>
        </w:rPr>
        <w:t xml:space="preserve">Overall, K. L. (2001). </w:t>
      </w:r>
      <w:r w:rsidRPr="00382DF1">
        <w:rPr>
          <w:i/>
          <w:iCs/>
          <w:lang w:val="en-US"/>
        </w:rPr>
        <w:t>Evaluation and management of behavioral conditions.</w:t>
      </w:r>
      <w:r w:rsidRPr="00382DF1">
        <w:rPr>
          <w:lang w:val="en-US"/>
        </w:rPr>
        <w:t xml:space="preserve"> IVIS.</w:t>
      </w:r>
    </w:p>
    <w:p w14:paraId="65CF18FF" w14:textId="568ED811" w:rsidR="00CB3A31" w:rsidRPr="00233C2F" w:rsidRDefault="00CB3A31" w:rsidP="00CB3A31">
      <w:pPr>
        <w:jc w:val="both"/>
        <w:rPr>
          <w:lang w:val="en-GB"/>
        </w:rPr>
      </w:pPr>
      <w:r w:rsidRPr="00382DF1">
        <w:rPr>
          <w:lang w:val="en-US"/>
        </w:rPr>
        <w:t xml:space="preserve">Sanvictores, T., Mahabadi, N., &amp; Rehman, C. I. (2024, September 5). </w:t>
      </w:r>
      <w:r w:rsidRPr="00382DF1">
        <w:rPr>
          <w:i/>
          <w:iCs/>
          <w:lang w:val="en-US"/>
        </w:rPr>
        <w:t xml:space="preserve">Classical conditioning. </w:t>
      </w:r>
      <w:r w:rsidRPr="00382DF1">
        <w:rPr>
          <w:lang w:val="en-US"/>
        </w:rPr>
        <w:t>StatPearls Publishing. </w:t>
      </w:r>
    </w:p>
    <w:p w14:paraId="5109B7B4" w14:textId="4103F2EC" w:rsidR="00CB3A31" w:rsidRPr="00233C2F" w:rsidRDefault="00CB3A31" w:rsidP="00CB3A31">
      <w:pPr>
        <w:jc w:val="both"/>
        <w:rPr>
          <w:lang w:val="en-GB"/>
        </w:rPr>
      </w:pPr>
      <w:r w:rsidRPr="00382DF1">
        <w:rPr>
          <w:lang w:val="en-US"/>
        </w:rPr>
        <w:t>Staddon, J. E. R., &amp; Cerutti, D. T. (2003).</w:t>
      </w:r>
      <w:r w:rsidRPr="00382DF1">
        <w:rPr>
          <w:i/>
          <w:iCs/>
          <w:lang w:val="en-US"/>
        </w:rPr>
        <w:t xml:space="preserve"> Operant conditioning.</w:t>
      </w:r>
      <w:r w:rsidRPr="00382DF1">
        <w:rPr>
          <w:lang w:val="en-US"/>
        </w:rPr>
        <w:t xml:space="preserve"> Annual Review of Psychology, 54, 115–144.</w:t>
      </w:r>
    </w:p>
    <w:p w14:paraId="36CEE84A" w14:textId="4F8B0D0B" w:rsidR="00CB3A31" w:rsidRPr="00233C2F" w:rsidRDefault="00CB3A31" w:rsidP="00CB3A31">
      <w:pPr>
        <w:jc w:val="both"/>
        <w:rPr>
          <w:lang w:val="en-GB"/>
        </w:rPr>
      </w:pPr>
      <w:r w:rsidRPr="00382DF1">
        <w:rPr>
          <w:lang w:val="en-US"/>
        </w:rPr>
        <w:t xml:space="preserve">Wess, L., Böhm, A., Schützinger, M., Riemer, S., Yee, J. R., Affenzeller, N., &amp; Arhant, C. (2022). </w:t>
      </w:r>
      <w:r w:rsidRPr="00382DF1">
        <w:rPr>
          <w:i/>
          <w:iCs/>
          <w:lang w:val="en-US"/>
        </w:rPr>
        <w:t>Effect of cooperative care training on physiological parameters and compliance in dogs undergoing a veterinary examination – A pilot study.</w:t>
      </w:r>
      <w:r w:rsidRPr="00382DF1">
        <w:rPr>
          <w:lang w:val="en-US"/>
        </w:rPr>
        <w:t xml:space="preserve"> Applied Animal Behaviour Science, 250, 105615.</w:t>
      </w:r>
    </w:p>
    <w:p w14:paraId="60037C3A" w14:textId="3E8BF545" w:rsidR="00CB3A31" w:rsidRPr="00CB3A31" w:rsidRDefault="00CB3A31" w:rsidP="00CB3A31">
      <w:pPr>
        <w:jc w:val="both"/>
      </w:pPr>
      <w:r w:rsidRPr="00382DF1">
        <w:rPr>
          <w:lang w:val="en-US"/>
        </w:rPr>
        <w:t xml:space="preserve">Yin, S. (2009). </w:t>
      </w:r>
      <w:r w:rsidRPr="00382DF1">
        <w:rPr>
          <w:i/>
          <w:iCs/>
          <w:lang w:val="en-US"/>
        </w:rPr>
        <w:t>Low stress handling, restraint and behavior modification of dogs &amp; cats: Techniques for developing patients who love their visits.</w:t>
      </w:r>
      <w:r w:rsidRPr="00382DF1">
        <w:rPr>
          <w:lang w:val="en-US"/>
        </w:rPr>
        <w:t xml:space="preserve"> </w:t>
      </w:r>
      <w:r w:rsidRPr="00CB3A31">
        <w:t>CattleDog Publishing.</w:t>
      </w:r>
      <w:r w:rsidRPr="00CB3A31">
        <w:br/>
      </w:r>
    </w:p>
    <w:p w14:paraId="00C19890" w14:textId="77777777" w:rsidR="00CB3A31" w:rsidRPr="00CB3A31" w:rsidRDefault="00CB3A31" w:rsidP="00CB3A31">
      <w:pPr>
        <w:jc w:val="both"/>
      </w:pPr>
      <w:r w:rsidRPr="00CB3A31">
        <w:rPr>
          <w:b/>
          <w:bCs/>
        </w:rPr>
        <w:lastRenderedPageBreak/>
        <w:t>Ομοφυλοφιλία στα Ζώα: Ένα Παιχνίδι Γονιδιακής Προδιάθεσης και Περιβαλλοντικών Συνθηκών</w:t>
      </w:r>
    </w:p>
    <w:p w14:paraId="1E067779" w14:textId="77777777" w:rsidR="00CB3A31" w:rsidRPr="00CB3A31" w:rsidRDefault="00CB3A31" w:rsidP="00CB3A31">
      <w:pPr>
        <w:jc w:val="both"/>
      </w:pPr>
      <w:r w:rsidRPr="00CB3A31">
        <w:t>Ανδρεαδάκη Ειρήνη Ελένη</w:t>
      </w:r>
      <w:r w:rsidRPr="00CB3A31">
        <w:rPr>
          <w:vertAlign w:val="superscript"/>
        </w:rPr>
        <w:t>1</w:t>
      </w:r>
      <w:r w:rsidRPr="00CB3A31">
        <w:t>, Γιαλοψού Σεβαστιανή</w:t>
      </w:r>
      <w:r w:rsidRPr="00CB3A31">
        <w:rPr>
          <w:vertAlign w:val="superscript"/>
        </w:rPr>
        <w:t>1</w:t>
      </w:r>
      <w:r w:rsidRPr="00CB3A31">
        <w:t>, Καλαϊτζή Θεοφανία</w:t>
      </w:r>
      <w:r w:rsidRPr="00CB3A31">
        <w:rPr>
          <w:vertAlign w:val="superscript"/>
        </w:rPr>
        <w:t>1</w:t>
      </w:r>
      <w:r w:rsidRPr="00CB3A31">
        <w:t>, Ζερβός Ιωάννης</w:t>
      </w:r>
      <w:r w:rsidRPr="00CB3A31">
        <w:rPr>
          <w:vertAlign w:val="superscript"/>
        </w:rPr>
        <w:t>2</w:t>
      </w:r>
    </w:p>
    <w:p w14:paraId="79222868" w14:textId="77777777" w:rsidR="00CB3A31" w:rsidRPr="00CB3A31" w:rsidRDefault="00CB3A31">
      <w:pPr>
        <w:numPr>
          <w:ilvl w:val="0"/>
          <w:numId w:val="34"/>
        </w:numPr>
        <w:jc w:val="both"/>
      </w:pPr>
      <w:r w:rsidRPr="00CB3A31">
        <w:t>Προπτυχιακή Φοιτήτρια, Τμήμα Κτηνιατρικής, Σχολή Επιστημών Υγείας, Αριστοτέλειο Πανεπιστήμιο Θεσσαλονίκης</w:t>
      </w:r>
    </w:p>
    <w:p w14:paraId="2E75261D" w14:textId="77777777" w:rsidR="00CB3A31" w:rsidRPr="00CB3A31" w:rsidRDefault="00CB3A31">
      <w:pPr>
        <w:numPr>
          <w:ilvl w:val="0"/>
          <w:numId w:val="34"/>
        </w:numPr>
        <w:jc w:val="both"/>
      </w:pPr>
      <w:r w:rsidRPr="00CB3A31">
        <w:t>Αναπληρωτής Καθηγητής, Κτηνιατρικής Φυσιολογίας, Τμήμα Κτηνιατρικής, Σχολή Επιστημών Υγείας, Αριστοτέλειο Πανεπιστήμιο Θεσσαλονίκης</w:t>
      </w:r>
    </w:p>
    <w:p w14:paraId="5F440039" w14:textId="77777777" w:rsidR="00CB3A31" w:rsidRPr="00CB3A31" w:rsidRDefault="00CB3A31" w:rsidP="00CB3A31">
      <w:pPr>
        <w:jc w:val="both"/>
      </w:pPr>
    </w:p>
    <w:p w14:paraId="4EC974CE" w14:textId="77777777" w:rsidR="00CB3A31" w:rsidRPr="00CB3A31" w:rsidRDefault="00CB3A31" w:rsidP="00CB3A31">
      <w:pPr>
        <w:jc w:val="both"/>
      </w:pPr>
      <w:r w:rsidRPr="00CB3A31">
        <w:rPr>
          <w:b/>
          <w:bCs/>
        </w:rPr>
        <w:t>Περίληψη</w:t>
      </w:r>
    </w:p>
    <w:p w14:paraId="2192E478" w14:textId="77777777" w:rsidR="00CB3A31" w:rsidRPr="00CB3A31" w:rsidRDefault="00CB3A31" w:rsidP="00CB3A31">
      <w:pPr>
        <w:jc w:val="both"/>
      </w:pPr>
      <w:r w:rsidRPr="00CB3A31">
        <w:t> Η εργασία αυτή διερευνά τους εξωγενείς (κοινωνικές δομές και περιβαλλοντικά ερεθίσματα) και ενδογενείς παράγοντες που επηρεάζουν την ομοφυλοφιλία στα ζώα. Αρχικά, εξετάζεται η επιστημονική αντίληψη πως η ομοφυλοφιλία αποτελεί ένα παράδοξο της Δαρβινικής θεωρίας και με βάση αυτή πραγματοποιείται ένας διαχωρισμός των ερμηνειών αυτής της σεξουαλικής συμπεριφοράς σε δύο κατηγορίες: αυτές που εξυπηρετούν την εξέλιξη των ειδών και αυτές που δεν έχουν κάποιο εξελικτικό ρόλο. Δίνονται παραδείγματα ειδών που εμφανίζουν ομοφυλοφιλικές συμπεριφορές, οι οποίες συνδέονται με κοινωνικά αίτια, σύμφωνα με έρευνες. Έπειτα, γίνεται ανάλυση των γενετικών και ορμονικών παραγόντων που καθορίζουν το μέγεθος του SDN πυρήνα του υποθαλάμου κατά την περιγεννητική ανάπτυξη και πώς αυτό επηρεάζει την ενήλικη σεξουαλική συμπεριφορά. Συμπεραίνουμε ότι η ομοφυλοφιλία στα ζώα προκύπτει από την αλληλεπίδραση αυτών των παραγόντων. </w:t>
      </w:r>
    </w:p>
    <w:p w14:paraId="1B539D12" w14:textId="77777777" w:rsidR="00CB3A31" w:rsidRPr="00CB3A31" w:rsidRDefault="00CB3A31" w:rsidP="00CB3A31">
      <w:pPr>
        <w:jc w:val="both"/>
      </w:pPr>
    </w:p>
    <w:p w14:paraId="71BD8E55" w14:textId="77777777" w:rsidR="00CB3A31" w:rsidRPr="00382DF1" w:rsidRDefault="00CB3A31" w:rsidP="00CB3A31">
      <w:pPr>
        <w:jc w:val="both"/>
        <w:rPr>
          <w:lang w:val="en-US"/>
        </w:rPr>
      </w:pPr>
      <w:r w:rsidRPr="00CB3A31">
        <w:rPr>
          <w:b/>
          <w:bCs/>
        </w:rPr>
        <w:t>Βιβλιογραφία</w:t>
      </w:r>
    </w:p>
    <w:p w14:paraId="757B914F" w14:textId="1A4D2731" w:rsidR="00CB3A31" w:rsidRPr="00233C2F" w:rsidRDefault="00CB3A31" w:rsidP="00CB3A31">
      <w:pPr>
        <w:jc w:val="both"/>
        <w:rPr>
          <w:lang w:val="en-GB"/>
        </w:rPr>
      </w:pPr>
      <w:r w:rsidRPr="00382DF1">
        <w:rPr>
          <w:lang w:val="en-US"/>
        </w:rPr>
        <w:t>Adkins-Regan, E. (2020). S</w:t>
      </w:r>
      <w:r w:rsidRPr="00382DF1">
        <w:rPr>
          <w:i/>
          <w:iCs/>
          <w:lang w:val="en-US"/>
        </w:rPr>
        <w:t>exual and pairing partner preference in birds and other animals</w:t>
      </w:r>
      <w:r w:rsidRPr="00382DF1">
        <w:rPr>
          <w:lang w:val="en-US"/>
        </w:rPr>
        <w:t xml:space="preserve">. </w:t>
      </w:r>
      <w:r w:rsidRPr="00382DF1">
        <w:rPr>
          <w:i/>
          <w:iCs/>
          <w:lang w:val="en-US"/>
        </w:rPr>
        <w:t>Hormones and Behavior, 118</w:t>
      </w:r>
      <w:r w:rsidRPr="00382DF1">
        <w:rPr>
          <w:lang w:val="en-US"/>
        </w:rPr>
        <w:t>, 104646. </w:t>
      </w:r>
    </w:p>
    <w:p w14:paraId="48C6355A" w14:textId="1CE55573" w:rsidR="00CB3A31" w:rsidRPr="00233C2F" w:rsidRDefault="00CB3A31" w:rsidP="00CB3A31">
      <w:pPr>
        <w:jc w:val="both"/>
        <w:rPr>
          <w:lang w:val="en-GB"/>
        </w:rPr>
      </w:pPr>
      <w:r w:rsidRPr="00382DF1">
        <w:rPr>
          <w:lang w:val="en-US"/>
        </w:rPr>
        <w:t xml:space="preserve">Bailey, N. W., &amp; Zuk, M. (2009). </w:t>
      </w:r>
      <w:r w:rsidRPr="00382DF1">
        <w:rPr>
          <w:i/>
          <w:iCs/>
          <w:lang w:val="en-US"/>
        </w:rPr>
        <w:t>Same-sex sexual behavior and evolution.</w:t>
      </w:r>
      <w:r w:rsidRPr="00382DF1">
        <w:rPr>
          <w:lang w:val="en-US"/>
        </w:rPr>
        <w:t xml:space="preserve"> </w:t>
      </w:r>
      <w:r w:rsidRPr="00382DF1">
        <w:rPr>
          <w:i/>
          <w:iCs/>
          <w:lang w:val="en-US"/>
        </w:rPr>
        <w:t>Trends in Ecology &amp; Evolution, 24</w:t>
      </w:r>
      <w:r w:rsidRPr="00382DF1">
        <w:rPr>
          <w:lang w:val="en-US"/>
        </w:rPr>
        <w:t>(8), 439–446. </w:t>
      </w:r>
    </w:p>
    <w:p w14:paraId="6308B3FB" w14:textId="250BDDAB" w:rsidR="00CB3A31" w:rsidRPr="00233C2F" w:rsidRDefault="00CB3A31" w:rsidP="00CB3A31">
      <w:pPr>
        <w:jc w:val="both"/>
        <w:rPr>
          <w:lang w:val="en-GB"/>
        </w:rPr>
      </w:pPr>
      <w:r w:rsidRPr="00382DF1">
        <w:rPr>
          <w:lang w:val="en-US"/>
        </w:rPr>
        <w:t xml:space="preserve">Balthazart, J. (2016). </w:t>
      </w:r>
      <w:r w:rsidRPr="00382DF1">
        <w:rPr>
          <w:i/>
          <w:iCs/>
          <w:lang w:val="en-US"/>
        </w:rPr>
        <w:t>Sex differences in partner preferences in humans and animals. Philosophical Transactions of the Royal Society B: Biological Sciences, 371</w:t>
      </w:r>
      <w:r w:rsidRPr="00382DF1">
        <w:rPr>
          <w:lang w:val="en-US"/>
        </w:rPr>
        <w:t>(1688), 20150118. </w:t>
      </w:r>
    </w:p>
    <w:p w14:paraId="3530BC0B" w14:textId="5343A823" w:rsidR="00CB3A31" w:rsidRPr="00233C2F" w:rsidRDefault="00CB3A31" w:rsidP="00CB3A31">
      <w:pPr>
        <w:jc w:val="both"/>
        <w:rPr>
          <w:lang w:val="en-GB"/>
        </w:rPr>
      </w:pPr>
      <w:r w:rsidRPr="00382DF1">
        <w:rPr>
          <w:lang w:val="en-US"/>
        </w:rPr>
        <w:t xml:space="preserve">Bakker, J., De Mees, C., Douhard, Q., Balthazart, J., Gabant, P., Szpirer, J., &amp; Szpirer, C. (2006). </w:t>
      </w:r>
      <w:r w:rsidRPr="00382DF1">
        <w:rPr>
          <w:i/>
          <w:iCs/>
          <w:lang w:val="en-US"/>
        </w:rPr>
        <w:t>Alpha-fetoprotein protects the developing female mouse brain from masculinization and defeminization by estrogens</w:t>
      </w:r>
      <w:r w:rsidRPr="00382DF1">
        <w:rPr>
          <w:lang w:val="en-US"/>
        </w:rPr>
        <w:t xml:space="preserve">. </w:t>
      </w:r>
      <w:r w:rsidRPr="00382DF1">
        <w:rPr>
          <w:i/>
          <w:iCs/>
          <w:lang w:val="en-US"/>
        </w:rPr>
        <w:t>Nature Neuroscience, 9</w:t>
      </w:r>
      <w:r w:rsidRPr="00382DF1">
        <w:rPr>
          <w:lang w:val="en-US"/>
        </w:rPr>
        <w:t>(2), 220–226. </w:t>
      </w:r>
    </w:p>
    <w:p w14:paraId="1563C48F" w14:textId="65961756" w:rsidR="00CB3A31" w:rsidRPr="00233C2F" w:rsidRDefault="00CB3A31" w:rsidP="00CB3A31">
      <w:pPr>
        <w:jc w:val="both"/>
        <w:rPr>
          <w:lang w:val="en-GB"/>
        </w:rPr>
      </w:pPr>
      <w:r w:rsidRPr="00382DF1">
        <w:rPr>
          <w:lang w:val="en-US"/>
        </w:rPr>
        <w:t xml:space="preserve">Banerjee, S. B., &amp; Adkins-Regan, E. (2014). </w:t>
      </w:r>
      <w:r w:rsidRPr="00382DF1">
        <w:rPr>
          <w:i/>
          <w:iCs/>
          <w:lang w:val="en-US"/>
        </w:rPr>
        <w:t>Same-sex partner preference in adult male zebra finch offspring raised in the absence of maternal care</w:t>
      </w:r>
      <w:r w:rsidRPr="00382DF1">
        <w:rPr>
          <w:lang w:val="en-US"/>
        </w:rPr>
        <w:t xml:space="preserve">. </w:t>
      </w:r>
      <w:r w:rsidRPr="00382DF1">
        <w:rPr>
          <w:i/>
          <w:iCs/>
          <w:lang w:val="en-US"/>
        </w:rPr>
        <w:t>Animal Behaviour, 92</w:t>
      </w:r>
      <w:r w:rsidRPr="00382DF1">
        <w:rPr>
          <w:lang w:val="en-US"/>
        </w:rPr>
        <w:t>, 167–173. </w:t>
      </w:r>
    </w:p>
    <w:p w14:paraId="3871B140" w14:textId="4A0A292A" w:rsidR="00CB3A31" w:rsidRPr="00233C2F" w:rsidRDefault="00CB3A31" w:rsidP="00CB3A31">
      <w:pPr>
        <w:jc w:val="both"/>
        <w:rPr>
          <w:lang w:val="en-GB"/>
        </w:rPr>
      </w:pPr>
      <w:r w:rsidRPr="00382DF1">
        <w:rPr>
          <w:lang w:val="en-US"/>
        </w:rPr>
        <w:t xml:space="preserve">Balfour, V. L., et al. (n.d.). </w:t>
      </w:r>
      <w:r w:rsidRPr="00382DF1">
        <w:rPr>
          <w:i/>
          <w:iCs/>
          <w:lang w:val="en-US"/>
        </w:rPr>
        <w:t>Same-sex sexual behaviour.</w:t>
      </w:r>
      <w:r w:rsidRPr="00382DF1">
        <w:rPr>
          <w:lang w:val="en-US"/>
        </w:rPr>
        <w:t xml:space="preserve"> </w:t>
      </w:r>
      <w:r w:rsidRPr="00382DF1">
        <w:rPr>
          <w:i/>
          <w:iCs/>
          <w:lang w:val="en-US"/>
        </w:rPr>
        <w:t>Current Biology, 30</w:t>
      </w:r>
      <w:r w:rsidRPr="00382DF1">
        <w:rPr>
          <w:lang w:val="en-US"/>
        </w:rPr>
        <w:t>(22), R1345–R1346. </w:t>
      </w:r>
    </w:p>
    <w:p w14:paraId="162AD2D3" w14:textId="02DA11D2" w:rsidR="00CB3A31" w:rsidRPr="00233C2F" w:rsidRDefault="00CB3A31" w:rsidP="00CB3A31">
      <w:pPr>
        <w:jc w:val="both"/>
        <w:rPr>
          <w:lang w:val="en-GB"/>
        </w:rPr>
      </w:pPr>
      <w:r w:rsidRPr="00382DF1">
        <w:rPr>
          <w:lang w:val="en-US"/>
        </w:rPr>
        <w:t xml:space="preserve">Braithwaite, L. W. (1981). </w:t>
      </w:r>
      <w:r w:rsidRPr="00382DF1">
        <w:rPr>
          <w:i/>
          <w:iCs/>
          <w:lang w:val="en-US"/>
        </w:rPr>
        <w:t>Ecological studies of the black swan III. Behaviour and social organisation</w:t>
      </w:r>
      <w:r w:rsidRPr="00382DF1">
        <w:rPr>
          <w:lang w:val="en-US"/>
        </w:rPr>
        <w:t xml:space="preserve">. </w:t>
      </w:r>
      <w:r w:rsidRPr="00382DF1">
        <w:rPr>
          <w:i/>
          <w:iCs/>
          <w:lang w:val="en-US"/>
        </w:rPr>
        <w:t>Wildlife Research, 8</w:t>
      </w:r>
      <w:r w:rsidRPr="00382DF1">
        <w:rPr>
          <w:lang w:val="en-US"/>
        </w:rPr>
        <w:t>, 135–146.</w:t>
      </w:r>
    </w:p>
    <w:p w14:paraId="042F8D8F" w14:textId="2F566118" w:rsidR="00844433" w:rsidRPr="00233C2F" w:rsidRDefault="00CB3A31" w:rsidP="00CB3A31">
      <w:pPr>
        <w:jc w:val="both"/>
        <w:rPr>
          <w:lang w:val="en-GB"/>
        </w:rPr>
      </w:pPr>
      <w:r w:rsidRPr="00382DF1">
        <w:rPr>
          <w:lang w:val="en-US"/>
        </w:rPr>
        <w:t xml:space="preserve">Brock, O., Keller, M., Douhard, Q., &amp; Bakker, J. (2012). </w:t>
      </w:r>
      <w:r w:rsidRPr="00382DF1">
        <w:rPr>
          <w:i/>
          <w:iCs/>
          <w:lang w:val="en-US"/>
        </w:rPr>
        <w:t>Female mice deficient in alpha-fetoprotein show female-typical neural responses to conspecific-derived pheromones.</w:t>
      </w:r>
      <w:r w:rsidRPr="00382DF1">
        <w:rPr>
          <w:lang w:val="en-US"/>
        </w:rPr>
        <w:t xml:space="preserve"> </w:t>
      </w:r>
      <w:r w:rsidRPr="00382DF1">
        <w:rPr>
          <w:i/>
          <w:iCs/>
          <w:lang w:val="en-US"/>
        </w:rPr>
        <w:t>PLoS ONE, 7</w:t>
      </w:r>
      <w:r w:rsidRPr="00382DF1">
        <w:rPr>
          <w:lang w:val="en-US"/>
        </w:rPr>
        <w:t>(6), e39204.</w:t>
      </w:r>
    </w:p>
    <w:p w14:paraId="4378EDB2" w14:textId="11438FC5" w:rsidR="00844433" w:rsidRPr="00233C2F" w:rsidRDefault="00CB3A31" w:rsidP="00CB3A31">
      <w:pPr>
        <w:jc w:val="both"/>
        <w:rPr>
          <w:lang w:val="en-GB"/>
        </w:rPr>
      </w:pPr>
      <w:r w:rsidRPr="00382DF1">
        <w:rPr>
          <w:lang w:val="en-US"/>
        </w:rPr>
        <w:lastRenderedPageBreak/>
        <w:t>Colledge, W. H. (2009). K</w:t>
      </w:r>
      <w:r w:rsidRPr="00382DF1">
        <w:rPr>
          <w:i/>
          <w:iCs/>
          <w:lang w:val="en-US"/>
        </w:rPr>
        <w:t>isspeptins and GnRH neuronal signalling. Trends in Endocrinology and Metabolism, 20</w:t>
      </w:r>
      <w:r w:rsidRPr="00382DF1">
        <w:rPr>
          <w:lang w:val="en-US"/>
        </w:rPr>
        <w:t>(3), 115–121. </w:t>
      </w:r>
    </w:p>
    <w:p w14:paraId="50A87555" w14:textId="67EF44B1" w:rsidR="00CB3A31" w:rsidRPr="00233C2F" w:rsidRDefault="00CB3A31" w:rsidP="00CB3A31">
      <w:pPr>
        <w:jc w:val="both"/>
        <w:rPr>
          <w:lang w:val="en-GB"/>
        </w:rPr>
      </w:pPr>
      <w:r w:rsidRPr="00382DF1">
        <w:rPr>
          <w:lang w:val="en-US"/>
        </w:rPr>
        <w:t xml:space="preserve">Elie, J. E., Mathevon, N., &amp; Vignal, C. (2011). </w:t>
      </w:r>
      <w:r w:rsidRPr="00382DF1">
        <w:rPr>
          <w:i/>
          <w:iCs/>
          <w:lang w:val="en-US"/>
        </w:rPr>
        <w:t>Same-sex pair-bonds are equivalent to male–female bonds in a life-long socially monogamous songbird.</w:t>
      </w:r>
      <w:r w:rsidRPr="00382DF1">
        <w:rPr>
          <w:lang w:val="en-US"/>
        </w:rPr>
        <w:t xml:space="preserve"> </w:t>
      </w:r>
      <w:r w:rsidRPr="00382DF1">
        <w:rPr>
          <w:i/>
          <w:iCs/>
          <w:lang w:val="en-US"/>
        </w:rPr>
        <w:t>Behavioral Ecology and Sociobiology, 65</w:t>
      </w:r>
      <w:r w:rsidRPr="00382DF1">
        <w:rPr>
          <w:lang w:val="en-US"/>
        </w:rPr>
        <w:t>, 2197–2208. </w:t>
      </w:r>
    </w:p>
    <w:p w14:paraId="40D7D76D" w14:textId="612B291E" w:rsidR="00CB3A31" w:rsidRPr="00233C2F" w:rsidRDefault="00CB3A31" w:rsidP="00CB3A31">
      <w:pPr>
        <w:jc w:val="both"/>
        <w:rPr>
          <w:lang w:val="en-GB"/>
        </w:rPr>
      </w:pPr>
      <w:r w:rsidRPr="00382DF1">
        <w:rPr>
          <w:lang w:val="en-US"/>
        </w:rPr>
        <w:t xml:space="preserve">Gómez, J. M., Gónzalez-Megías, A., &amp; Verdú, M. (2023). </w:t>
      </w:r>
      <w:r w:rsidRPr="00382DF1">
        <w:rPr>
          <w:i/>
          <w:iCs/>
          <w:lang w:val="en-US"/>
        </w:rPr>
        <w:t>The evolution of same-sex sexual behaviour in mammals. Nature Communications, 14</w:t>
      </w:r>
      <w:r w:rsidRPr="00382DF1">
        <w:rPr>
          <w:lang w:val="en-US"/>
        </w:rPr>
        <w:t>, 5719. </w:t>
      </w:r>
    </w:p>
    <w:p w14:paraId="7418910C" w14:textId="4FD5568A" w:rsidR="00CB3A31" w:rsidRPr="00233C2F" w:rsidRDefault="00CB3A31" w:rsidP="00CB3A31">
      <w:pPr>
        <w:jc w:val="both"/>
        <w:rPr>
          <w:lang w:val="en-GB"/>
        </w:rPr>
      </w:pPr>
      <w:r w:rsidRPr="00382DF1">
        <w:rPr>
          <w:lang w:val="en-US"/>
        </w:rPr>
        <w:t xml:space="preserve">Grueter, C. C., &amp; Stoinski, T. S. (2016). </w:t>
      </w:r>
      <w:r w:rsidRPr="00382DF1">
        <w:rPr>
          <w:i/>
          <w:iCs/>
          <w:lang w:val="en-US"/>
        </w:rPr>
        <w:t>Homosexual behavior in female mountain gorillas: Reflection of dominance, affiliation, reconciliation or arousal?</w:t>
      </w:r>
      <w:r w:rsidRPr="00382DF1">
        <w:rPr>
          <w:lang w:val="en-US"/>
        </w:rPr>
        <w:t xml:space="preserve"> </w:t>
      </w:r>
      <w:r w:rsidRPr="00382DF1">
        <w:rPr>
          <w:i/>
          <w:iCs/>
          <w:lang w:val="en-US"/>
        </w:rPr>
        <w:t>PLoS ONE, 11</w:t>
      </w:r>
      <w:r w:rsidRPr="00382DF1">
        <w:rPr>
          <w:lang w:val="en-US"/>
        </w:rPr>
        <w:t>(5), e0154185.</w:t>
      </w:r>
    </w:p>
    <w:p w14:paraId="1C240F6C" w14:textId="4665C286" w:rsidR="00CB3A31" w:rsidRPr="00233C2F" w:rsidRDefault="00CB3A31" w:rsidP="00CB3A31">
      <w:pPr>
        <w:jc w:val="both"/>
        <w:rPr>
          <w:lang w:val="en-GB"/>
        </w:rPr>
      </w:pPr>
      <w:r w:rsidRPr="00382DF1">
        <w:rPr>
          <w:lang w:val="en-US"/>
        </w:rPr>
        <w:t xml:space="preserve">Hsu, H. K., Yang, R. C., Shih, H. C., Hsieh, Y. L., Chen, U. Y., &amp; Hsu, C. (2001). </w:t>
      </w:r>
      <w:r w:rsidRPr="00382DF1">
        <w:rPr>
          <w:i/>
          <w:iCs/>
          <w:lang w:val="en-US"/>
        </w:rPr>
        <w:t>Prenatal exposure of testosterone prevents SDN-POA neurons of postnatal male rats from apoptosis through NMDA receptor.</w:t>
      </w:r>
      <w:r w:rsidRPr="00382DF1">
        <w:rPr>
          <w:lang w:val="en-US"/>
        </w:rPr>
        <w:t xml:space="preserve"> </w:t>
      </w:r>
      <w:r w:rsidRPr="00382DF1">
        <w:rPr>
          <w:i/>
          <w:iCs/>
          <w:lang w:val="en-US"/>
        </w:rPr>
        <w:t>Journal of Neurophysiology, 86</w:t>
      </w:r>
      <w:r w:rsidRPr="00382DF1">
        <w:rPr>
          <w:lang w:val="en-US"/>
        </w:rPr>
        <w:t>(5), 2374–2380. </w:t>
      </w:r>
    </w:p>
    <w:p w14:paraId="297A976D" w14:textId="48E47914" w:rsidR="00CB3A31" w:rsidRPr="00233C2F" w:rsidRDefault="00CB3A31" w:rsidP="00CB3A31">
      <w:pPr>
        <w:jc w:val="both"/>
        <w:rPr>
          <w:lang w:val="en-GB"/>
        </w:rPr>
      </w:pPr>
      <w:r w:rsidRPr="00382DF1">
        <w:rPr>
          <w:lang w:val="en-US"/>
        </w:rPr>
        <w:t xml:space="preserve">Jyotika, J., McCutcheon, J., Laroche, J., Blaustein, J. D., &amp; Forger, N. G. (2007). </w:t>
      </w:r>
      <w:r w:rsidRPr="00382DF1">
        <w:rPr>
          <w:i/>
          <w:iCs/>
          <w:lang w:val="en-US"/>
        </w:rPr>
        <w:t>Deletion of the Bax gene disrupts sexual behavior and modestly impairs motor function in mice.</w:t>
      </w:r>
      <w:r w:rsidRPr="00382DF1">
        <w:rPr>
          <w:lang w:val="en-US"/>
        </w:rPr>
        <w:t xml:space="preserve"> </w:t>
      </w:r>
      <w:r w:rsidRPr="00382DF1">
        <w:rPr>
          <w:i/>
          <w:iCs/>
          <w:lang w:val="en-US"/>
        </w:rPr>
        <w:t>Developmental Neurobiology, 67</w:t>
      </w:r>
      <w:r w:rsidRPr="00382DF1">
        <w:rPr>
          <w:lang w:val="en-US"/>
        </w:rPr>
        <w:t>(11), 1511–1519. </w:t>
      </w:r>
    </w:p>
    <w:p w14:paraId="013FEC79" w14:textId="79593822" w:rsidR="00CB3A31" w:rsidRPr="00233C2F" w:rsidRDefault="00CB3A31" w:rsidP="00CB3A31">
      <w:pPr>
        <w:jc w:val="both"/>
        <w:rPr>
          <w:lang w:val="en-GB"/>
        </w:rPr>
      </w:pPr>
      <w:r w:rsidRPr="00382DF1">
        <w:rPr>
          <w:lang w:val="en-US"/>
        </w:rPr>
        <w:t xml:space="preserve">MacFarlane, G. R., Blomberg, S. P., &amp; Vasey, P. L. (2010). Homosexual behaviour in birds: Frequency of expression is related to parental care disparity between the sexes. </w:t>
      </w:r>
      <w:r w:rsidRPr="00382DF1">
        <w:rPr>
          <w:i/>
          <w:iCs/>
          <w:lang w:val="en-US"/>
        </w:rPr>
        <w:t>Animal Behaviour, 80</w:t>
      </w:r>
      <w:r w:rsidRPr="00382DF1">
        <w:rPr>
          <w:lang w:val="en-US"/>
        </w:rPr>
        <w:t>(3), 375–390.</w:t>
      </w:r>
    </w:p>
    <w:p w14:paraId="4910645C" w14:textId="6ECB6B02" w:rsidR="00CB3A31" w:rsidRPr="00233C2F" w:rsidRDefault="00CB3A31" w:rsidP="00CB3A31">
      <w:pPr>
        <w:jc w:val="both"/>
        <w:rPr>
          <w:lang w:val="en-GB"/>
        </w:rPr>
      </w:pPr>
      <w:r w:rsidRPr="00382DF1">
        <w:rPr>
          <w:lang w:val="en-US"/>
        </w:rPr>
        <w:t>Monk, J. D., Giglio, E., Kamath, A., et al. (2019). A</w:t>
      </w:r>
      <w:r w:rsidRPr="00382DF1">
        <w:rPr>
          <w:i/>
          <w:iCs/>
          <w:lang w:val="en-US"/>
        </w:rPr>
        <w:t>n alternative hypothesis for the evolution of same-sex sexual behaviour in animals.</w:t>
      </w:r>
      <w:r w:rsidRPr="00382DF1">
        <w:rPr>
          <w:lang w:val="en-US"/>
        </w:rPr>
        <w:t xml:space="preserve"> </w:t>
      </w:r>
      <w:r w:rsidRPr="00382DF1">
        <w:rPr>
          <w:i/>
          <w:iCs/>
          <w:lang w:val="en-US"/>
        </w:rPr>
        <w:t>Nature Ecology &amp; Evolution, 3</w:t>
      </w:r>
      <w:r w:rsidRPr="00382DF1">
        <w:rPr>
          <w:lang w:val="en-US"/>
        </w:rPr>
        <w:t>, 1622–1631.</w:t>
      </w:r>
    </w:p>
    <w:p w14:paraId="7C1FE1AE" w14:textId="0CD520B1" w:rsidR="00CB3A31" w:rsidRPr="00233C2F" w:rsidRDefault="00CB3A31" w:rsidP="00CB3A31">
      <w:pPr>
        <w:jc w:val="both"/>
        <w:rPr>
          <w:lang w:val="en-GB"/>
        </w:rPr>
      </w:pPr>
      <w:r w:rsidRPr="00382DF1">
        <w:rPr>
          <w:lang w:val="en-US"/>
        </w:rPr>
        <w:t xml:space="preserve"> Parhar, I. S., Ogawa, S., &amp; Ubuka, T. (2016). </w:t>
      </w:r>
      <w:r w:rsidRPr="00382DF1">
        <w:rPr>
          <w:i/>
          <w:iCs/>
          <w:lang w:val="en-US"/>
        </w:rPr>
        <w:t>Reproductive neuroendocrine pathways of social behavior</w:t>
      </w:r>
      <w:r w:rsidRPr="00382DF1">
        <w:rPr>
          <w:lang w:val="en-US"/>
        </w:rPr>
        <w:t xml:space="preserve">. </w:t>
      </w:r>
      <w:r w:rsidRPr="00382DF1">
        <w:rPr>
          <w:i/>
          <w:iCs/>
          <w:lang w:val="en-US"/>
        </w:rPr>
        <w:t>Frontiers in Endocrinology, 7</w:t>
      </w:r>
      <w:r w:rsidRPr="00382DF1">
        <w:rPr>
          <w:lang w:val="en-US"/>
        </w:rPr>
        <w:t>, 28. </w:t>
      </w:r>
    </w:p>
    <w:p w14:paraId="20179D59" w14:textId="6753EE9B" w:rsidR="00CB3A31" w:rsidRPr="00233C2F" w:rsidRDefault="00CB3A31" w:rsidP="00CB3A31">
      <w:pPr>
        <w:jc w:val="both"/>
        <w:rPr>
          <w:lang w:val="en-GB"/>
        </w:rPr>
      </w:pPr>
      <w:r w:rsidRPr="00382DF1">
        <w:rPr>
          <w:lang w:val="en-US"/>
        </w:rPr>
        <w:t xml:space="preserve">Pincemy, G., Dobson, F. S., &amp; Jouventin, P. (2010). </w:t>
      </w:r>
      <w:r w:rsidRPr="00382DF1">
        <w:rPr>
          <w:i/>
          <w:iCs/>
          <w:lang w:val="en-US"/>
        </w:rPr>
        <w:t>Homosexual mating displays in penguins.</w:t>
      </w:r>
      <w:r w:rsidRPr="00382DF1">
        <w:rPr>
          <w:lang w:val="en-US"/>
        </w:rPr>
        <w:t xml:space="preserve"> </w:t>
      </w:r>
      <w:r w:rsidRPr="00382DF1">
        <w:rPr>
          <w:i/>
          <w:iCs/>
          <w:lang w:val="en-US"/>
        </w:rPr>
        <w:t>Ethology, 116</w:t>
      </w:r>
      <w:r w:rsidRPr="00382DF1">
        <w:rPr>
          <w:lang w:val="en-US"/>
        </w:rPr>
        <w:t>(12), 1210–1216. </w:t>
      </w:r>
    </w:p>
    <w:p w14:paraId="157BA019" w14:textId="19F59504" w:rsidR="00CB3A31" w:rsidRPr="00233C2F" w:rsidRDefault="00CB3A31" w:rsidP="00CB3A31">
      <w:pPr>
        <w:jc w:val="both"/>
        <w:rPr>
          <w:lang w:val="en-GB"/>
        </w:rPr>
      </w:pPr>
      <w:r w:rsidRPr="00382DF1">
        <w:rPr>
          <w:lang w:val="en-US"/>
        </w:rPr>
        <w:t xml:space="preserve">Raymond, M., &amp; Crochet, P. A. (2023). </w:t>
      </w:r>
      <w:r w:rsidRPr="00382DF1">
        <w:rPr>
          <w:i/>
          <w:iCs/>
          <w:lang w:val="en-US"/>
        </w:rPr>
        <w:t>Carving non-proximal explanations for same-sex sexual orientation.</w:t>
      </w:r>
      <w:r w:rsidRPr="00382DF1">
        <w:rPr>
          <w:lang w:val="en-US"/>
        </w:rPr>
        <w:t xml:space="preserve"> </w:t>
      </w:r>
      <w:r w:rsidRPr="00382DF1">
        <w:rPr>
          <w:i/>
          <w:iCs/>
          <w:lang w:val="en-US"/>
        </w:rPr>
        <w:t>Archives of Sexual Behavior, 52</w:t>
      </w:r>
      <w:r w:rsidRPr="00382DF1">
        <w:rPr>
          <w:lang w:val="en-US"/>
        </w:rPr>
        <w:t>, 3007–3012. </w:t>
      </w:r>
    </w:p>
    <w:p w14:paraId="663232DC" w14:textId="7D6272B9" w:rsidR="00CB3A31" w:rsidRPr="00233C2F" w:rsidRDefault="00CB3A31" w:rsidP="00CB3A31">
      <w:pPr>
        <w:jc w:val="both"/>
        <w:rPr>
          <w:lang w:val="en-GB"/>
        </w:rPr>
      </w:pPr>
      <w:r w:rsidRPr="00382DF1">
        <w:rPr>
          <w:lang w:val="en-US"/>
        </w:rPr>
        <w:t>Rizzo, A., Galgano, M., Mutinati, M., &amp; Sciorsci, R. L. (2019).</w:t>
      </w:r>
      <w:r w:rsidRPr="00382DF1">
        <w:rPr>
          <w:i/>
          <w:iCs/>
          <w:lang w:val="en-US"/>
        </w:rPr>
        <w:t xml:space="preserve"> Alpha-fetoprotein in animal reproduction</w:t>
      </w:r>
      <w:r w:rsidRPr="00382DF1">
        <w:rPr>
          <w:lang w:val="en-US"/>
        </w:rPr>
        <w:t xml:space="preserve">. </w:t>
      </w:r>
      <w:r w:rsidRPr="00382DF1">
        <w:rPr>
          <w:i/>
          <w:iCs/>
          <w:lang w:val="en-US"/>
        </w:rPr>
        <w:t>Research in Veterinary Science, 123</w:t>
      </w:r>
      <w:r w:rsidRPr="00382DF1">
        <w:rPr>
          <w:lang w:val="en-US"/>
        </w:rPr>
        <w:t>, 281–285. </w:t>
      </w:r>
    </w:p>
    <w:p w14:paraId="62A0F414" w14:textId="44D80CDB" w:rsidR="00CB3A31" w:rsidRPr="00233C2F" w:rsidRDefault="00CB3A31" w:rsidP="00CB3A31">
      <w:pPr>
        <w:jc w:val="both"/>
        <w:rPr>
          <w:lang w:val="en-GB"/>
        </w:rPr>
      </w:pPr>
      <w:r w:rsidRPr="00382DF1">
        <w:rPr>
          <w:lang w:val="en-US"/>
        </w:rPr>
        <w:t xml:space="preserve">Roselli, C. E., Estill, C. T., Stadelman, H. L., &amp; Stormshak, F. (2009). The volume of the ovine sexually dimorphic nucleus of the preoptic area is independent of adult testosterone concentrations. </w:t>
      </w:r>
      <w:r w:rsidRPr="00382DF1">
        <w:rPr>
          <w:i/>
          <w:iCs/>
          <w:lang w:val="en-US"/>
        </w:rPr>
        <w:t>Brain Research, 1249</w:t>
      </w:r>
      <w:r w:rsidRPr="00382DF1">
        <w:rPr>
          <w:lang w:val="en-US"/>
        </w:rPr>
        <w:t>, 113–117. </w:t>
      </w:r>
    </w:p>
    <w:p w14:paraId="1D49A6ED" w14:textId="2F720BE5" w:rsidR="00CB3A31" w:rsidRPr="00233C2F" w:rsidRDefault="00CB3A31" w:rsidP="00CB3A31">
      <w:pPr>
        <w:jc w:val="both"/>
        <w:rPr>
          <w:lang w:val="en-GB"/>
        </w:rPr>
      </w:pPr>
      <w:r w:rsidRPr="00382DF1">
        <w:rPr>
          <w:lang w:val="en-US"/>
        </w:rPr>
        <w:t xml:space="preserve">Roselli, C. E., Reddy, R. C., Estill, C. T., Scheldrup, M., Meaker, M., Stormshak, F., &amp; Montilla, H. J. (2014). </w:t>
      </w:r>
      <w:r w:rsidRPr="00382DF1">
        <w:rPr>
          <w:i/>
          <w:iCs/>
          <w:lang w:val="en-US"/>
        </w:rPr>
        <w:t>Prenatal influence of an androgen agonist and antagonist on the differentiation of the ovine sexually dimorphic nucleus in male and female lamb fetuses</w:t>
      </w:r>
      <w:r w:rsidRPr="00382DF1">
        <w:rPr>
          <w:lang w:val="en-US"/>
        </w:rPr>
        <w:t xml:space="preserve">. </w:t>
      </w:r>
      <w:r w:rsidRPr="00382DF1">
        <w:rPr>
          <w:i/>
          <w:iCs/>
          <w:lang w:val="en-US"/>
        </w:rPr>
        <w:t>Endocrinology, 155</w:t>
      </w:r>
      <w:r w:rsidRPr="00382DF1">
        <w:rPr>
          <w:lang w:val="en-US"/>
        </w:rPr>
        <w:t>(12), 5000–5010. </w:t>
      </w:r>
    </w:p>
    <w:p w14:paraId="60AA369A" w14:textId="453F1DF8" w:rsidR="00CB3A31" w:rsidRPr="00233C2F" w:rsidRDefault="00CB3A31" w:rsidP="00CB3A31">
      <w:pPr>
        <w:jc w:val="both"/>
        <w:rPr>
          <w:lang w:val="en-GB"/>
        </w:rPr>
      </w:pPr>
      <w:r w:rsidRPr="00382DF1">
        <w:rPr>
          <w:lang w:val="en-US"/>
        </w:rPr>
        <w:t xml:space="preserve">Scharf, I., &amp; Martin, O. Y. (2013). </w:t>
      </w:r>
      <w:r w:rsidRPr="00382DF1">
        <w:rPr>
          <w:i/>
          <w:iCs/>
          <w:lang w:val="en-US"/>
        </w:rPr>
        <w:t>Same-sex sexual behavior in insects and arachnids: Prevalence, causes, and consequences. Behavioral Ecology and Sociobiology, 67</w:t>
      </w:r>
      <w:r w:rsidRPr="00382DF1">
        <w:rPr>
          <w:lang w:val="en-US"/>
        </w:rPr>
        <w:t>, 1719–1730. </w:t>
      </w:r>
    </w:p>
    <w:p w14:paraId="2741602D" w14:textId="216D7B67" w:rsidR="00CB3A31" w:rsidRPr="00233C2F" w:rsidRDefault="00CB3A31" w:rsidP="00CB3A31">
      <w:pPr>
        <w:jc w:val="both"/>
        <w:rPr>
          <w:lang w:val="en-GB"/>
        </w:rPr>
      </w:pPr>
      <w:r w:rsidRPr="00382DF1">
        <w:rPr>
          <w:lang w:val="en-US"/>
        </w:rPr>
        <w:t xml:space="preserve">SEA WATCH FOUNDATION. (n.d.). </w:t>
      </w:r>
      <w:r w:rsidRPr="00382DF1">
        <w:rPr>
          <w:i/>
          <w:iCs/>
          <w:lang w:val="en-US"/>
        </w:rPr>
        <w:t xml:space="preserve">Diving into the deep: Unravelling same-sex socio-sexual behaviours in bottlenose dolphins </w:t>
      </w:r>
      <w:r w:rsidRPr="00382DF1">
        <w:rPr>
          <w:lang w:val="en-US"/>
        </w:rPr>
        <w:t>(Tursiops truncatus). Retrieved April 25, 2025</w:t>
      </w:r>
    </w:p>
    <w:p w14:paraId="121355B9" w14:textId="77777777" w:rsidR="00CB3A31" w:rsidRPr="00382DF1" w:rsidRDefault="00CB3A31" w:rsidP="00CB3A31">
      <w:pPr>
        <w:jc w:val="both"/>
        <w:rPr>
          <w:lang w:val="en-US"/>
        </w:rPr>
      </w:pPr>
      <w:r w:rsidRPr="00382DF1">
        <w:rPr>
          <w:lang w:val="en-US"/>
        </w:rPr>
        <w:lastRenderedPageBreak/>
        <w:t xml:space="preserve">Sexually dimorphic nucleus. (n.d.). In </w:t>
      </w:r>
      <w:r w:rsidRPr="00382DF1">
        <w:rPr>
          <w:i/>
          <w:iCs/>
          <w:lang w:val="en-US"/>
        </w:rPr>
        <w:t>Wikipedia</w:t>
      </w:r>
      <w:r w:rsidRPr="00382DF1">
        <w:rPr>
          <w:lang w:val="en-US"/>
        </w:rPr>
        <w:t>. Retrieved April 25, 2025</w:t>
      </w:r>
    </w:p>
    <w:p w14:paraId="48E3F744" w14:textId="0023DCC3" w:rsidR="00CB3A31" w:rsidRPr="00233C2F" w:rsidRDefault="00CB3A31" w:rsidP="00CB3A31">
      <w:pPr>
        <w:jc w:val="both"/>
        <w:rPr>
          <w:lang w:val="en-GB"/>
        </w:rPr>
      </w:pPr>
      <w:r w:rsidRPr="00382DF1">
        <w:rPr>
          <w:lang w:val="en-US"/>
        </w:rPr>
        <w:t xml:space="preserve">Vasey, P. L. (2004). Pre- and postconflict interactions between female Japanese macaques during homosexual consortships. </w:t>
      </w:r>
      <w:r w:rsidRPr="00382DF1">
        <w:rPr>
          <w:i/>
          <w:iCs/>
          <w:lang w:val="en-US"/>
        </w:rPr>
        <w:t>International Journal of Comparative Psychology, 17</w:t>
      </w:r>
      <w:r w:rsidRPr="00382DF1">
        <w:rPr>
          <w:lang w:val="en-US"/>
        </w:rPr>
        <w:t>(4), 351–359.</w:t>
      </w:r>
    </w:p>
    <w:p w14:paraId="2E85407B" w14:textId="7AD8DD1C" w:rsidR="00CB3A31" w:rsidRPr="00233C2F" w:rsidRDefault="00CB3A31" w:rsidP="00CB3A31">
      <w:pPr>
        <w:jc w:val="both"/>
        <w:rPr>
          <w:lang w:val="en-GB"/>
        </w:rPr>
      </w:pPr>
      <w:r w:rsidRPr="00382DF1">
        <w:rPr>
          <w:lang w:val="en-US"/>
        </w:rPr>
        <w:t xml:space="preserve">Vasey, P. L., Leca, J. B., Gunst, N., &amp; VanderLaan, D. P. (2014). Female homosexual behavior and inter-sexual mate competition in Japanese macaques: Possible implications for sexual selection theory. </w:t>
      </w:r>
      <w:r w:rsidRPr="00382DF1">
        <w:rPr>
          <w:i/>
          <w:iCs/>
          <w:lang w:val="en-US"/>
        </w:rPr>
        <w:t>Neuroscience &amp; Biobehavioral Reviews, 46</w:t>
      </w:r>
      <w:r w:rsidRPr="00382DF1">
        <w:rPr>
          <w:lang w:val="en-US"/>
        </w:rPr>
        <w:t>(4), 573–578. </w:t>
      </w:r>
    </w:p>
    <w:p w14:paraId="3F7AE075" w14:textId="6CA764D2" w:rsidR="00CB3A31" w:rsidRPr="00233C2F" w:rsidRDefault="00CB3A31" w:rsidP="00CB3A31">
      <w:pPr>
        <w:jc w:val="both"/>
        <w:rPr>
          <w:lang w:val="en-GB"/>
        </w:rPr>
      </w:pPr>
      <w:r w:rsidRPr="00382DF1">
        <w:rPr>
          <w:lang w:val="en-US"/>
        </w:rPr>
        <w:t xml:space="preserve">Wei, Y. C., Wang, S. R., Jiao, Z. L., et al. (2018). Medial preoptic area in mice is capable of mediating sexually dimorphic behaviors regardless of gender. </w:t>
      </w:r>
      <w:r w:rsidRPr="00382DF1">
        <w:rPr>
          <w:i/>
          <w:iCs/>
          <w:lang w:val="en-US"/>
        </w:rPr>
        <w:t>Nature Communications, 9</w:t>
      </w:r>
      <w:r w:rsidRPr="00382DF1">
        <w:rPr>
          <w:lang w:val="en-US"/>
        </w:rPr>
        <w:t>, 279. </w:t>
      </w:r>
    </w:p>
    <w:p w14:paraId="26B1B9D5" w14:textId="6CD3B8DC" w:rsidR="00CB3A31" w:rsidRPr="00233C2F" w:rsidRDefault="00CB3A31" w:rsidP="00CB3A31">
      <w:pPr>
        <w:jc w:val="both"/>
        <w:rPr>
          <w:lang w:val="en-GB"/>
        </w:rPr>
      </w:pPr>
      <w:r w:rsidRPr="00382DF1">
        <w:rPr>
          <w:lang w:val="en-US"/>
        </w:rPr>
        <w:t>Whitehead, N. E. (n.d.). Is ram behaviour evidence of "natural" homosexuality? Retrieved April 25, 2025, from</w:t>
      </w:r>
    </w:p>
    <w:p w14:paraId="3ABF2A29" w14:textId="1167B168" w:rsidR="00CB3A31" w:rsidRPr="00233C2F" w:rsidRDefault="00CB3A31" w:rsidP="00CB3A31">
      <w:pPr>
        <w:jc w:val="both"/>
        <w:rPr>
          <w:lang w:val="en-GB"/>
        </w:rPr>
      </w:pPr>
      <w:r w:rsidRPr="00382DF1">
        <w:rPr>
          <w:lang w:val="en-US"/>
        </w:rPr>
        <w:t xml:space="preserve">Wu, M. V., &amp; Shah, N. M. (2011). Control of masculinization of the brain and behavior. </w:t>
      </w:r>
      <w:r w:rsidRPr="00382DF1">
        <w:rPr>
          <w:i/>
          <w:iCs/>
          <w:lang w:val="en-US"/>
        </w:rPr>
        <w:t>Current Opinion in Neurobiology, 21</w:t>
      </w:r>
      <w:r w:rsidRPr="00382DF1">
        <w:rPr>
          <w:lang w:val="en-US"/>
        </w:rPr>
        <w:t>(1), 116–123. </w:t>
      </w:r>
    </w:p>
    <w:p w14:paraId="52C127B5" w14:textId="77777777" w:rsidR="00CB3A31" w:rsidRPr="00CB3A31" w:rsidRDefault="00CB3A31" w:rsidP="00CB3A31">
      <w:pPr>
        <w:jc w:val="both"/>
      </w:pPr>
      <w:r w:rsidRPr="00382DF1">
        <w:rPr>
          <w:lang w:val="en-US"/>
        </w:rPr>
        <w:t xml:space="preserve">Zup, S. L., Carrier, H., Waters, E. M., Tabor, A., Bengston, L., Rosen, G. J., Simerly, R. B., &amp; Forger, N. G. (2003). </w:t>
      </w:r>
      <w:r w:rsidRPr="00382DF1">
        <w:rPr>
          <w:i/>
          <w:iCs/>
          <w:lang w:val="en-US"/>
        </w:rPr>
        <w:t xml:space="preserve">Overexpression of bcl-2 reduces sex differences in neuron number in the brain and spinal cord. </w:t>
      </w:r>
      <w:r w:rsidRPr="00CB3A31">
        <w:rPr>
          <w:i/>
          <w:iCs/>
        </w:rPr>
        <w:t>Journal of Neuroscience, 23</w:t>
      </w:r>
      <w:r w:rsidRPr="00CB3A31">
        <w:t>(6), 2357–2362.</w:t>
      </w:r>
    </w:p>
    <w:p w14:paraId="571D292A" w14:textId="77777777" w:rsidR="00CB3A31" w:rsidRDefault="00CB3A31" w:rsidP="00CB3A31">
      <w:pPr>
        <w:jc w:val="both"/>
      </w:pPr>
    </w:p>
    <w:p w14:paraId="701BDEB2" w14:textId="77777777" w:rsidR="00844433" w:rsidRDefault="00844433" w:rsidP="00CB3A31">
      <w:pPr>
        <w:jc w:val="both"/>
      </w:pPr>
    </w:p>
    <w:p w14:paraId="14857BD1" w14:textId="77777777" w:rsidR="00844433" w:rsidRDefault="00844433" w:rsidP="00CB3A31">
      <w:pPr>
        <w:jc w:val="both"/>
      </w:pPr>
    </w:p>
    <w:p w14:paraId="702428B5" w14:textId="77777777" w:rsidR="00844433" w:rsidRDefault="00844433" w:rsidP="00CB3A31">
      <w:pPr>
        <w:jc w:val="both"/>
      </w:pPr>
    </w:p>
    <w:p w14:paraId="03447403" w14:textId="77777777" w:rsidR="00844433" w:rsidRDefault="00844433" w:rsidP="00CB3A31">
      <w:pPr>
        <w:jc w:val="both"/>
      </w:pPr>
    </w:p>
    <w:p w14:paraId="0B26B4E0" w14:textId="77777777" w:rsidR="00844433" w:rsidRDefault="00844433" w:rsidP="00CB3A31">
      <w:pPr>
        <w:jc w:val="both"/>
      </w:pPr>
    </w:p>
    <w:p w14:paraId="7BCE28AC" w14:textId="77777777" w:rsidR="00844433" w:rsidRDefault="00844433" w:rsidP="00CB3A31">
      <w:pPr>
        <w:jc w:val="both"/>
      </w:pPr>
    </w:p>
    <w:p w14:paraId="778E2422" w14:textId="77777777" w:rsidR="00844433" w:rsidRDefault="00844433" w:rsidP="00CB3A31">
      <w:pPr>
        <w:jc w:val="both"/>
      </w:pPr>
    </w:p>
    <w:p w14:paraId="4A50C278" w14:textId="77777777" w:rsidR="00844433" w:rsidRDefault="00844433" w:rsidP="00CB3A31">
      <w:pPr>
        <w:jc w:val="both"/>
      </w:pPr>
    </w:p>
    <w:p w14:paraId="40B939AD" w14:textId="77777777" w:rsidR="00844433" w:rsidRDefault="00844433" w:rsidP="00CB3A31">
      <w:pPr>
        <w:jc w:val="both"/>
      </w:pPr>
    </w:p>
    <w:p w14:paraId="50B3C5A7" w14:textId="77777777" w:rsidR="00844433" w:rsidRDefault="00844433" w:rsidP="00CB3A31">
      <w:pPr>
        <w:jc w:val="both"/>
      </w:pPr>
    </w:p>
    <w:p w14:paraId="28BEEE22" w14:textId="77777777" w:rsidR="00844433" w:rsidRDefault="00844433" w:rsidP="00CB3A31">
      <w:pPr>
        <w:jc w:val="both"/>
      </w:pPr>
    </w:p>
    <w:p w14:paraId="1B9D8598" w14:textId="77777777" w:rsidR="00844433" w:rsidRDefault="00844433" w:rsidP="00CB3A31">
      <w:pPr>
        <w:jc w:val="both"/>
      </w:pPr>
    </w:p>
    <w:p w14:paraId="71A04AD7" w14:textId="77777777" w:rsidR="00844433" w:rsidRDefault="00844433" w:rsidP="00CB3A31">
      <w:pPr>
        <w:jc w:val="both"/>
      </w:pPr>
    </w:p>
    <w:p w14:paraId="722D1312" w14:textId="77777777" w:rsidR="00844433" w:rsidRDefault="00844433" w:rsidP="00CB3A31">
      <w:pPr>
        <w:jc w:val="both"/>
      </w:pPr>
    </w:p>
    <w:p w14:paraId="5ADCA090" w14:textId="77777777" w:rsidR="00844433" w:rsidRDefault="00844433" w:rsidP="00CB3A31">
      <w:pPr>
        <w:jc w:val="both"/>
      </w:pPr>
    </w:p>
    <w:p w14:paraId="2F4D3CCB" w14:textId="77777777" w:rsidR="00844433" w:rsidRDefault="00844433" w:rsidP="00CB3A31">
      <w:pPr>
        <w:jc w:val="both"/>
      </w:pPr>
    </w:p>
    <w:p w14:paraId="52546150" w14:textId="77777777" w:rsidR="00844433" w:rsidRDefault="00844433" w:rsidP="00CB3A31">
      <w:pPr>
        <w:jc w:val="both"/>
      </w:pPr>
    </w:p>
    <w:p w14:paraId="706F06C1" w14:textId="77777777" w:rsidR="00844433" w:rsidRPr="00CB3A31" w:rsidRDefault="00844433" w:rsidP="00CB3A31">
      <w:pPr>
        <w:jc w:val="both"/>
      </w:pPr>
    </w:p>
    <w:p w14:paraId="4BE9BB8C" w14:textId="6E6303E9" w:rsidR="00CB3A31" w:rsidRPr="00CB3A31" w:rsidRDefault="00CB3A31" w:rsidP="00CB3A31">
      <w:pPr>
        <w:jc w:val="both"/>
      </w:pPr>
      <w:r w:rsidRPr="00CB3A31">
        <w:rPr>
          <w:b/>
          <w:bCs/>
        </w:rPr>
        <w:lastRenderedPageBreak/>
        <w:t>Η ικανότητα των σκύλων να ανιχνεύουν μέσω της όσφρησης ασθένειες σε αρχικά στάδια  </w:t>
      </w:r>
    </w:p>
    <w:p w14:paraId="60CCCEF0" w14:textId="1743563E" w:rsidR="00CB3A31" w:rsidRPr="00CB3A31" w:rsidRDefault="00CB3A31" w:rsidP="00CB3A31">
      <w:pPr>
        <w:jc w:val="both"/>
      </w:pPr>
      <w:r w:rsidRPr="00CB3A31">
        <w:t>Πατρώνη Δήμητρα</w:t>
      </w:r>
      <w:r w:rsidRPr="00CB3A31">
        <w:rPr>
          <w:vertAlign w:val="superscript"/>
        </w:rPr>
        <w:t>1</w:t>
      </w:r>
      <w:r w:rsidRPr="00CB3A31">
        <w:t>, Φωτιάδου Παρασκευή</w:t>
      </w:r>
      <w:r w:rsidRPr="00CB3A31">
        <w:rPr>
          <w:vertAlign w:val="superscript"/>
        </w:rPr>
        <w:t>1</w:t>
      </w:r>
      <w:r w:rsidRPr="00CB3A31">
        <w:t>, Ψαρομμάτη  Σεβαστή</w:t>
      </w:r>
      <w:r w:rsidRPr="00CB3A31">
        <w:rPr>
          <w:vertAlign w:val="superscript"/>
        </w:rPr>
        <w:t>1</w:t>
      </w:r>
      <w:r w:rsidRPr="00CB3A31">
        <w:t>,</w:t>
      </w:r>
      <w:r w:rsidR="00844433">
        <w:t xml:space="preserve"> </w:t>
      </w:r>
      <w:r w:rsidRPr="00CB3A31">
        <w:t>Ζερβός  Ιωάννης</w:t>
      </w:r>
      <w:r w:rsidRPr="00CB3A31">
        <w:rPr>
          <w:vertAlign w:val="superscript"/>
        </w:rPr>
        <w:t>2</w:t>
      </w:r>
      <w:r w:rsidRPr="00CB3A31">
        <w:t>  </w:t>
      </w:r>
    </w:p>
    <w:p w14:paraId="2C2BA84D" w14:textId="77777777" w:rsidR="00CB3A31" w:rsidRPr="00CB3A31" w:rsidRDefault="00CB3A31">
      <w:pPr>
        <w:numPr>
          <w:ilvl w:val="0"/>
          <w:numId w:val="35"/>
        </w:numPr>
        <w:jc w:val="both"/>
      </w:pPr>
      <w:r w:rsidRPr="00CB3A31">
        <w:t>Προπτυχιακή Φοιτήτρια, Τμήμα  Κτηνιατρικής , Σχολή Επιστημών Υγείας , Αριστοτέλειο Πανεπιστήμιο Θεσσαλονίκης  </w:t>
      </w:r>
    </w:p>
    <w:p w14:paraId="21E46705" w14:textId="77777777" w:rsidR="00CB3A31" w:rsidRPr="00CB3A31" w:rsidRDefault="00CB3A31">
      <w:pPr>
        <w:numPr>
          <w:ilvl w:val="0"/>
          <w:numId w:val="35"/>
        </w:numPr>
        <w:jc w:val="both"/>
      </w:pPr>
      <w:r w:rsidRPr="00CB3A31">
        <w:t>Αναπληρωτής Καθηγητής. Κτηνιατρική Φυσιολογία, Τμήμα Κτηνιατρικής Σχολής Επιστημών Υγείας Αριστοτελείου Πανεπιστημίου Θεσσαλονίκης</w:t>
      </w:r>
    </w:p>
    <w:p w14:paraId="5250E483" w14:textId="77777777" w:rsidR="00CB3A31" w:rsidRPr="00CB3A31" w:rsidRDefault="00CB3A31" w:rsidP="00CB3A31">
      <w:pPr>
        <w:jc w:val="both"/>
      </w:pPr>
    </w:p>
    <w:p w14:paraId="045B4A30" w14:textId="77777777" w:rsidR="00CB3A31" w:rsidRPr="00CB3A31" w:rsidRDefault="00CB3A31" w:rsidP="00CB3A31">
      <w:pPr>
        <w:jc w:val="both"/>
      </w:pPr>
      <w:r w:rsidRPr="00CB3A31">
        <w:rPr>
          <w:b/>
          <w:bCs/>
        </w:rPr>
        <w:t>Περίληψη</w:t>
      </w:r>
    </w:p>
    <w:p w14:paraId="3D39C9B0" w14:textId="77777777" w:rsidR="00CB3A31" w:rsidRPr="00CB3A31" w:rsidRDefault="00CB3A31" w:rsidP="00CB3A31">
      <w:pPr>
        <w:jc w:val="both"/>
      </w:pPr>
      <w:r w:rsidRPr="00CB3A31">
        <w:t>Η οσφρητική ικανότητα των σκύλων είναι η πιο ξεχωριστή τους αίσθηση, γιατί αφενός εξυπηρετεί την επικοινωνία με το περιβάλλον και αφετέρου τον ίδιο τον άνθρωπο. Συγκεκριμένα, στο πέρασμα των ετών έχει γίνει αντιληπτή από την επιστημονική κοινότητα η ικανότητα του σκύλου να ανιχνεύει ασθένειες μέσω της όσφρησης, ακόμη και σε πρώιμα στάδια, από τις περιπτώσεις του καρκίνου και της νόσου του Πάρκινσον έως τις εκείνες του Covid-19 και των ημικρανιών. </w:t>
      </w:r>
    </w:p>
    <w:p w14:paraId="6CFB2BE4" w14:textId="77777777" w:rsidR="00CB3A31" w:rsidRPr="00CB3A31" w:rsidRDefault="00CB3A31" w:rsidP="00CB3A31">
      <w:pPr>
        <w:jc w:val="both"/>
      </w:pPr>
      <w:r w:rsidRPr="00CB3A31">
        <w:t>Η ανατομία και η φυσιολογία δικαιολογούν το μοναδικό τους αυτό χαρακτηριστικό, με το οποίο μπορούν να ανιχνεύσουν ειδικές ουσίες που εκκρίνει το σώμα σε παθολογικές καταστάσεις. Αντιλαμβανόμενοι τη σημασία των σκύλων ως ευαίσθητα διαγνωστικά εργαλεία, είναι απαραίτητη η ειδική εκπαίδευσή τους, προκειμένου να μπορέσουν να συμβάλλουν πιο δυναμικά στο έργο της ιατρικής επιστήμης.</w:t>
      </w:r>
    </w:p>
    <w:p w14:paraId="7ACFCA8D" w14:textId="3A464EEB" w:rsidR="00CB3A31" w:rsidRPr="00CB3A31" w:rsidRDefault="00CB3A31" w:rsidP="00CB3A31">
      <w:pPr>
        <w:jc w:val="both"/>
      </w:pPr>
    </w:p>
    <w:p w14:paraId="109A85D3" w14:textId="77777777" w:rsidR="00CB3A31" w:rsidRPr="00382DF1" w:rsidRDefault="00CB3A31" w:rsidP="00CB3A31">
      <w:pPr>
        <w:jc w:val="both"/>
        <w:rPr>
          <w:lang w:val="en-US"/>
        </w:rPr>
      </w:pPr>
      <w:r w:rsidRPr="00CB3A31">
        <w:rPr>
          <w:b/>
          <w:bCs/>
        </w:rPr>
        <w:t>Βιβλιογραφία</w:t>
      </w:r>
    </w:p>
    <w:p w14:paraId="6A5052D3" w14:textId="364E4D96" w:rsidR="00CB3A31" w:rsidRPr="00233C2F" w:rsidRDefault="00CB3A31" w:rsidP="00CB3A31">
      <w:pPr>
        <w:jc w:val="both"/>
        <w:rPr>
          <w:lang w:val="en-GB"/>
        </w:rPr>
      </w:pPr>
      <w:r w:rsidRPr="00382DF1">
        <w:rPr>
          <w:lang w:val="en-US"/>
        </w:rPr>
        <w:t xml:space="preserve">Anderson, D., &amp; Jones, B. (2019, April 18). </w:t>
      </w:r>
      <w:r w:rsidRPr="00382DF1">
        <w:rPr>
          <w:i/>
          <w:iCs/>
          <w:lang w:val="en-US"/>
        </w:rPr>
        <w:t>Dogs can detect epileptic seizures before they happen</w:t>
      </w:r>
      <w:r w:rsidRPr="00382DF1">
        <w:rPr>
          <w:lang w:val="en-US"/>
        </w:rPr>
        <w:t xml:space="preserve">. </w:t>
      </w:r>
      <w:r w:rsidRPr="00382DF1">
        <w:rPr>
          <w:i/>
          <w:iCs/>
          <w:lang w:val="en-US"/>
        </w:rPr>
        <w:t>Business Insider</w:t>
      </w:r>
      <w:r w:rsidRPr="00382DF1">
        <w:rPr>
          <w:lang w:val="en-US"/>
        </w:rPr>
        <w:t>.  </w:t>
      </w:r>
    </w:p>
    <w:p w14:paraId="0CE1B1B3" w14:textId="75034084" w:rsidR="00CB3A31" w:rsidRPr="00233C2F" w:rsidRDefault="00CB3A31" w:rsidP="00CB3A31">
      <w:pPr>
        <w:jc w:val="both"/>
        <w:rPr>
          <w:lang w:val="en-GB"/>
        </w:rPr>
      </w:pPr>
      <w:r w:rsidRPr="00382DF1">
        <w:rPr>
          <w:lang w:val="en-US"/>
        </w:rPr>
        <w:t xml:space="preserve">Angle, C. T., Waggoner, L. P., Ferrando, A., Haney, P., &amp; Passler, T. (2016). </w:t>
      </w:r>
      <w:r w:rsidRPr="00382DF1">
        <w:rPr>
          <w:i/>
          <w:iCs/>
          <w:lang w:val="en-US"/>
        </w:rPr>
        <w:t>Canine detection of the volatilome: A review of implications for pathogen and disease detection</w:t>
      </w:r>
      <w:r w:rsidRPr="00382DF1">
        <w:rPr>
          <w:lang w:val="en-US"/>
        </w:rPr>
        <w:t xml:space="preserve">. </w:t>
      </w:r>
      <w:r w:rsidRPr="00382DF1">
        <w:rPr>
          <w:i/>
          <w:iCs/>
          <w:lang w:val="en-US"/>
        </w:rPr>
        <w:t>Frontiers in Veterinary Science, 3</w:t>
      </w:r>
      <w:r w:rsidRPr="00382DF1">
        <w:rPr>
          <w:lang w:val="en-US"/>
        </w:rPr>
        <w:t>, 47. </w:t>
      </w:r>
    </w:p>
    <w:p w14:paraId="2451B5BE" w14:textId="7E2218AF" w:rsidR="00CB3A31" w:rsidRPr="00233C2F" w:rsidRDefault="00CB3A31" w:rsidP="00CB3A31">
      <w:pPr>
        <w:jc w:val="both"/>
        <w:rPr>
          <w:lang w:val="en-GB"/>
        </w:rPr>
      </w:pPr>
      <w:r w:rsidRPr="00382DF1">
        <w:rPr>
          <w:lang w:val="en-US"/>
        </w:rPr>
        <w:t xml:space="preserve">Campbell, L. F., Farmery, L., George, S. M. C., &amp; Farrant, P. B. J. (2013). </w:t>
      </w:r>
      <w:r w:rsidRPr="00382DF1">
        <w:rPr>
          <w:i/>
          <w:iCs/>
          <w:lang w:val="en-US"/>
        </w:rPr>
        <w:t>Canine olfactory detection of malignant melanoma.</w:t>
      </w:r>
      <w:r w:rsidRPr="00382DF1">
        <w:rPr>
          <w:lang w:val="en-US"/>
        </w:rPr>
        <w:t xml:space="preserve"> </w:t>
      </w:r>
      <w:r w:rsidRPr="00382DF1">
        <w:rPr>
          <w:i/>
          <w:iCs/>
          <w:lang w:val="en-US"/>
        </w:rPr>
        <w:t>BMJ Case Reports</w:t>
      </w:r>
      <w:r w:rsidRPr="00382DF1">
        <w:rPr>
          <w:lang w:val="en-US"/>
        </w:rPr>
        <w:t>. </w:t>
      </w:r>
    </w:p>
    <w:p w14:paraId="78ACCA6D" w14:textId="5D4AB245" w:rsidR="00CB3A31" w:rsidRPr="00382DF1" w:rsidRDefault="00CB3A31" w:rsidP="00CB3A31">
      <w:pPr>
        <w:jc w:val="both"/>
        <w:rPr>
          <w:lang w:val="en-US"/>
        </w:rPr>
      </w:pPr>
      <w:r w:rsidRPr="00382DF1">
        <w:rPr>
          <w:lang w:val="en-US"/>
        </w:rPr>
        <w:t>Ensminger, J. (2011).</w:t>
      </w:r>
      <w:r w:rsidRPr="00382DF1">
        <w:rPr>
          <w:i/>
          <w:iCs/>
          <w:lang w:val="en-US"/>
        </w:rPr>
        <w:t xml:space="preserve"> Police and military dogs: Criminal detection, forensic evidence, and judicial admissibility</w:t>
      </w:r>
      <w:r w:rsidRPr="00382DF1">
        <w:rPr>
          <w:lang w:val="en-US"/>
        </w:rPr>
        <w:t xml:space="preserve"> (Chapter 3: History and judicial acceptance of tracking and trailing evidence, pp. 16–17). CRC Press.   </w:t>
      </w:r>
    </w:p>
    <w:p w14:paraId="54C2964A" w14:textId="188A549B" w:rsidR="00CB3A31" w:rsidRPr="00382DF1" w:rsidRDefault="00CB3A31" w:rsidP="00CB3A31">
      <w:pPr>
        <w:jc w:val="both"/>
        <w:rPr>
          <w:lang w:val="en-US"/>
        </w:rPr>
      </w:pPr>
      <w:r w:rsidRPr="00382DF1">
        <w:rPr>
          <w:lang w:val="en-US"/>
        </w:rPr>
        <w:t xml:space="preserve">Furuhashi, T., Toda, K., &amp; Weckwerth, W. (2025). </w:t>
      </w:r>
      <w:r w:rsidRPr="00382DF1">
        <w:rPr>
          <w:i/>
          <w:iCs/>
          <w:lang w:val="en-US"/>
        </w:rPr>
        <w:t>Review of cancer cell volatile organic compounds: their metabolism and evolution</w:t>
      </w:r>
      <w:r w:rsidRPr="00382DF1">
        <w:rPr>
          <w:lang w:val="en-US"/>
        </w:rPr>
        <w:t xml:space="preserve">. </w:t>
      </w:r>
      <w:r w:rsidRPr="00382DF1">
        <w:rPr>
          <w:i/>
          <w:iCs/>
          <w:lang w:val="en-US"/>
        </w:rPr>
        <w:t>Frontiers in Molecular Biosciences</w:t>
      </w:r>
      <w:r w:rsidRPr="00382DF1">
        <w:rPr>
          <w:lang w:val="en-US"/>
        </w:rPr>
        <w:t>.    </w:t>
      </w:r>
    </w:p>
    <w:p w14:paraId="220309BB" w14:textId="0E722BC4" w:rsidR="00CB3A31" w:rsidRPr="00382DF1" w:rsidRDefault="00CB3A31" w:rsidP="00CB3A31">
      <w:pPr>
        <w:jc w:val="both"/>
        <w:rPr>
          <w:lang w:val="en-US"/>
        </w:rPr>
      </w:pPr>
      <w:r w:rsidRPr="00382DF1">
        <w:rPr>
          <w:lang w:val="en-US"/>
        </w:rPr>
        <w:t xml:space="preserve">Jenkins, E. K., DeChant, M. T., &amp; Perry, E. B. (2018, March 29). </w:t>
      </w:r>
      <w:r w:rsidRPr="00382DF1">
        <w:rPr>
          <w:i/>
          <w:iCs/>
          <w:lang w:val="en-US"/>
        </w:rPr>
        <w:t>When the nose doesn’t know: Canine olfactory function associated with health, management, and potential links to microbiota</w:t>
      </w:r>
      <w:r w:rsidRPr="00382DF1">
        <w:rPr>
          <w:lang w:val="en-US"/>
        </w:rPr>
        <w:t xml:space="preserve">. </w:t>
      </w:r>
      <w:r w:rsidRPr="00382DF1">
        <w:rPr>
          <w:i/>
          <w:iCs/>
          <w:lang w:val="en-US"/>
        </w:rPr>
        <w:t>Frontiers in Veterinary Science</w:t>
      </w:r>
      <w:r w:rsidRPr="00382DF1">
        <w:rPr>
          <w:lang w:val="en-US"/>
        </w:rPr>
        <w:t>.      </w:t>
      </w:r>
    </w:p>
    <w:p w14:paraId="31C30183" w14:textId="5EBED291" w:rsidR="00CB3A31" w:rsidRPr="00233C2F" w:rsidRDefault="00CB3A31" w:rsidP="00CB3A31">
      <w:pPr>
        <w:jc w:val="both"/>
        <w:rPr>
          <w:lang w:val="en-GB"/>
        </w:rPr>
      </w:pPr>
      <w:r w:rsidRPr="00382DF1">
        <w:rPr>
          <w:lang w:val="en-US"/>
        </w:rPr>
        <w:t>Lazarowski, L., Waggoner, L. P., Krichbaum, S., Singletary, M., Haney, P., Rogers, B., &amp; Angle, C. (2020). S</w:t>
      </w:r>
      <w:r w:rsidRPr="00382DF1">
        <w:rPr>
          <w:i/>
          <w:iCs/>
          <w:lang w:val="en-US"/>
        </w:rPr>
        <w:t>electing dogs for explosives detection: Behavioral characteristics. Frontiers in Veterinary Science, 7</w:t>
      </w:r>
      <w:r w:rsidRPr="00382DF1">
        <w:rPr>
          <w:lang w:val="en-US"/>
        </w:rPr>
        <w:t>, Article 597.       </w:t>
      </w:r>
    </w:p>
    <w:p w14:paraId="0C6D1A88" w14:textId="0CE26678" w:rsidR="00CB3A31" w:rsidRPr="00CB3A31" w:rsidRDefault="00CB3A31" w:rsidP="00CB3A31">
      <w:pPr>
        <w:jc w:val="both"/>
      </w:pPr>
      <w:r w:rsidRPr="00382DF1">
        <w:rPr>
          <w:lang w:val="en-US"/>
        </w:rPr>
        <w:lastRenderedPageBreak/>
        <w:t>MacDonald, F. (2016, June 28).</w:t>
      </w:r>
      <w:r w:rsidRPr="00382DF1">
        <w:rPr>
          <w:i/>
          <w:iCs/>
          <w:lang w:val="en-US"/>
        </w:rPr>
        <w:t xml:space="preserve"> Scientists think they finally know how dogs sniff out diabetes.</w:t>
      </w:r>
      <w:r w:rsidRPr="00382DF1">
        <w:rPr>
          <w:lang w:val="en-US"/>
        </w:rPr>
        <w:t xml:space="preserve"> </w:t>
      </w:r>
      <w:r w:rsidRPr="00CB3A31">
        <w:rPr>
          <w:i/>
          <w:iCs/>
        </w:rPr>
        <w:t>ScienceAlert</w:t>
      </w:r>
      <w:r w:rsidRPr="00CB3A31">
        <w:t>.        </w:t>
      </w:r>
    </w:p>
    <w:p w14:paraId="129642D2" w14:textId="6481B7F9" w:rsidR="00CB3A31" w:rsidRPr="00CB3A31" w:rsidRDefault="00CB3A31" w:rsidP="00CB3A31">
      <w:pPr>
        <w:jc w:val="both"/>
      </w:pPr>
      <w:r w:rsidRPr="00CB3A31">
        <w:t xml:space="preserve">Neoiorizontes. (2024, October 18). </w:t>
      </w:r>
      <w:r w:rsidRPr="00CB3A31">
        <w:rPr>
          <w:i/>
          <w:iCs/>
        </w:rPr>
        <w:t>Μπορούν να μυρίσουν οι σκύλοι την ασθένεια; Πώς αντιδρούν όταν κάποιος είναι άρρωστος.</w:t>
      </w:r>
      <w:r w:rsidRPr="00CB3A31">
        <w:t xml:space="preserve"> </w:t>
      </w:r>
      <w:r w:rsidRPr="00CB3A31">
        <w:rPr>
          <w:i/>
          <w:iCs/>
        </w:rPr>
        <w:t>Νέοι Ορίζοντες</w:t>
      </w:r>
      <w:r w:rsidRPr="00CB3A31">
        <w:t>. </w:t>
      </w:r>
    </w:p>
    <w:p w14:paraId="298E2C96" w14:textId="77777777" w:rsidR="00CB3A31" w:rsidRPr="00382DF1" w:rsidRDefault="00CB3A31" w:rsidP="00CB3A31">
      <w:pPr>
        <w:jc w:val="both"/>
        <w:rPr>
          <w:lang w:val="en-US"/>
        </w:rPr>
      </w:pPr>
      <w:r w:rsidRPr="00CB3A31">
        <w:t xml:space="preserve">Owlstone Medical. </w:t>
      </w:r>
      <w:r w:rsidRPr="00382DF1">
        <w:rPr>
          <w:lang w:val="en-US"/>
        </w:rPr>
        <w:t xml:space="preserve">(2024, September 9). </w:t>
      </w:r>
      <w:r w:rsidRPr="00382DF1">
        <w:rPr>
          <w:i/>
          <w:iCs/>
          <w:lang w:val="en-US"/>
        </w:rPr>
        <w:t>Smelling cancer: How medical detection dogs can inspire breath analysis.</w:t>
      </w:r>
    </w:p>
    <w:p w14:paraId="30219AE2" w14:textId="5F7BB601" w:rsidR="00CB3A31" w:rsidRPr="00233C2F" w:rsidRDefault="00CB3A31" w:rsidP="00CB3A31">
      <w:pPr>
        <w:jc w:val="both"/>
        <w:rPr>
          <w:lang w:val="en-GB"/>
        </w:rPr>
      </w:pPr>
      <w:r w:rsidRPr="00382DF1">
        <w:rPr>
          <w:lang w:val="en-US"/>
        </w:rPr>
        <w:t xml:space="preserve">Roswell Park Comprehensive Cancer Center. (2020, August 25). </w:t>
      </w:r>
      <w:r w:rsidRPr="00382DF1">
        <w:rPr>
          <w:i/>
          <w:iCs/>
          <w:lang w:val="en-US"/>
        </w:rPr>
        <w:t>Can dogs smell cancer?           </w:t>
      </w:r>
    </w:p>
    <w:p w14:paraId="6542A3F1" w14:textId="28022971" w:rsidR="00CB3A31" w:rsidRPr="00233C2F" w:rsidRDefault="00CB3A31" w:rsidP="00CB3A31">
      <w:pPr>
        <w:jc w:val="both"/>
        <w:rPr>
          <w:lang w:val="en-GB"/>
        </w:rPr>
      </w:pPr>
      <w:r w:rsidRPr="00382DF1">
        <w:rPr>
          <w:lang w:val="en-US"/>
        </w:rPr>
        <w:t>Sadiq, M. (2025, April 17). H</w:t>
      </w:r>
      <w:r w:rsidRPr="00382DF1">
        <w:rPr>
          <w:i/>
          <w:iCs/>
          <w:lang w:val="en-US"/>
        </w:rPr>
        <w:t>ow dogs are being trained to detect disease in humans. Animals Around the Globe</w:t>
      </w:r>
      <w:r w:rsidRPr="00382DF1">
        <w:rPr>
          <w:lang w:val="en-US"/>
        </w:rPr>
        <w:t>. </w:t>
      </w:r>
    </w:p>
    <w:p w14:paraId="14D33A7D" w14:textId="0963711C" w:rsidR="00CB3A31" w:rsidRPr="00382DF1" w:rsidRDefault="00CB3A31" w:rsidP="00CB3A31">
      <w:pPr>
        <w:jc w:val="both"/>
        <w:rPr>
          <w:lang w:val="en-US"/>
        </w:rPr>
      </w:pPr>
      <w:r w:rsidRPr="00382DF1">
        <w:rPr>
          <w:lang w:val="en-US"/>
        </w:rPr>
        <w:t>Souza, N. M. P., Silva, P. R., de Lima, C. M. G., Lopes, M. S., Calixto, P. S., Bilek, B. M. Z., Ferreira, L. M., Welter, M., Rego, F. G. de M., &amp; Sari, M. H. M. (2026).</w:t>
      </w:r>
      <w:r w:rsidRPr="00382DF1">
        <w:rPr>
          <w:i/>
          <w:iCs/>
          <w:lang w:val="en-US"/>
        </w:rPr>
        <w:t xml:space="preserve"> What is the role of diabetic alert dogs in glycemic monitoring for individuals with type 1 diabetes? A scoping review</w:t>
      </w:r>
      <w:r w:rsidRPr="00382DF1">
        <w:rPr>
          <w:lang w:val="en-US"/>
        </w:rPr>
        <w:t xml:space="preserve">. </w:t>
      </w:r>
      <w:r w:rsidRPr="00382DF1">
        <w:rPr>
          <w:i/>
          <w:iCs/>
          <w:lang w:val="en-US"/>
        </w:rPr>
        <w:t>Med Sciences, 14</w:t>
      </w:r>
      <w:r w:rsidRPr="00382DF1">
        <w:rPr>
          <w:lang w:val="en-US"/>
        </w:rPr>
        <w:t>(1), 39.         </w:t>
      </w:r>
    </w:p>
    <w:p w14:paraId="3480D4A4" w14:textId="46F6F472" w:rsidR="00CB3A31" w:rsidRPr="00233C2F" w:rsidRDefault="00CB3A31" w:rsidP="00CB3A31">
      <w:pPr>
        <w:jc w:val="both"/>
        <w:rPr>
          <w:lang w:val="en-GB"/>
        </w:rPr>
      </w:pPr>
      <w:r w:rsidRPr="00382DF1">
        <w:rPr>
          <w:lang w:val="en-US"/>
        </w:rPr>
        <w:t xml:space="preserve">Trivedi, D. K., Sinclair, E., Xu, Y., Sarkar, D., Walton-Doyle, C., Liscio, C., Banks, P., Milne, J., Silverdale, M., Kunath, T., Goodacre, R., &amp; Barran, P. (2019). </w:t>
      </w:r>
      <w:r w:rsidRPr="00382DF1">
        <w:rPr>
          <w:i/>
          <w:iCs/>
          <w:lang w:val="en-US"/>
        </w:rPr>
        <w:t>Discovery of volatile biomarkers of Parkinson’s disease from sebum</w:t>
      </w:r>
      <w:r w:rsidRPr="00382DF1">
        <w:rPr>
          <w:lang w:val="en-US"/>
        </w:rPr>
        <w:t xml:space="preserve">. </w:t>
      </w:r>
      <w:r w:rsidRPr="00382DF1">
        <w:rPr>
          <w:i/>
          <w:iCs/>
          <w:lang w:val="en-US"/>
        </w:rPr>
        <w:t>ACS Central Science, 5</w:t>
      </w:r>
      <w:r w:rsidRPr="00382DF1">
        <w:rPr>
          <w:lang w:val="en-US"/>
        </w:rPr>
        <w:t>(4), 599–606. </w:t>
      </w:r>
    </w:p>
    <w:p w14:paraId="4D6A77C9" w14:textId="77777777" w:rsidR="00CB3A31" w:rsidRPr="00233C2F" w:rsidRDefault="00CB3A31" w:rsidP="00CB3A31">
      <w:pPr>
        <w:jc w:val="both"/>
      </w:pPr>
      <w:r w:rsidRPr="00382DF1">
        <w:rPr>
          <w:lang w:val="en-GB"/>
        </w:rPr>
        <w:t xml:space="preserve">Vidal-Martínez, V. M., Mancilla-Tapia, J. M., Soler-Jiménez, L. C., Velázquez-Abunader, I., Jiménez-Coello, M., Ortega-Pacheco, A., &amp; Hernández-Mena, D. (2025). </w:t>
      </w:r>
      <w:r w:rsidRPr="00382DF1">
        <w:rPr>
          <w:i/>
          <w:iCs/>
          <w:lang w:val="en-US"/>
        </w:rPr>
        <w:t>At what cycle threshold level are dogs able to detect SARS-CoV-2 in humans?</w:t>
      </w:r>
      <w:r w:rsidRPr="00382DF1">
        <w:rPr>
          <w:lang w:val="en-US"/>
        </w:rPr>
        <w:t xml:space="preserve"> </w:t>
      </w:r>
      <w:r w:rsidRPr="00CB3A31">
        <w:rPr>
          <w:i/>
          <w:iCs/>
        </w:rPr>
        <w:t>PLOS</w:t>
      </w:r>
      <w:r w:rsidRPr="00233C2F">
        <w:rPr>
          <w:i/>
          <w:iCs/>
        </w:rPr>
        <w:t xml:space="preserve"> </w:t>
      </w:r>
      <w:r w:rsidRPr="00CB3A31">
        <w:rPr>
          <w:i/>
          <w:iCs/>
        </w:rPr>
        <w:t>ONE</w:t>
      </w:r>
      <w:r w:rsidRPr="00233C2F">
        <w:rPr>
          <w:i/>
          <w:iCs/>
        </w:rPr>
        <w:t>, 20</w:t>
      </w:r>
      <w:r w:rsidRPr="00233C2F">
        <w:t xml:space="preserve">(1), </w:t>
      </w:r>
      <w:r w:rsidRPr="00CB3A31">
        <w:t>e</w:t>
      </w:r>
      <w:r w:rsidRPr="00233C2F">
        <w:t>0317213.</w:t>
      </w:r>
      <w:r w:rsidRPr="00CB3A31">
        <w:t> </w:t>
      </w:r>
    </w:p>
    <w:p w14:paraId="19D3A4DB" w14:textId="3C8B2DB6" w:rsidR="00844433" w:rsidRPr="00233C2F" w:rsidRDefault="00CB3A31" w:rsidP="00CB3A31">
      <w:pPr>
        <w:jc w:val="both"/>
      </w:pPr>
      <w:r w:rsidRPr="00233C2F">
        <w:br/>
      </w:r>
    </w:p>
    <w:p w14:paraId="42656314" w14:textId="77777777" w:rsidR="00844433" w:rsidRPr="00233C2F" w:rsidRDefault="00844433">
      <w:r w:rsidRPr="00233C2F">
        <w:br w:type="page"/>
      </w:r>
    </w:p>
    <w:p w14:paraId="6658C29E" w14:textId="77777777" w:rsidR="00844433" w:rsidRPr="00844433" w:rsidRDefault="00844433" w:rsidP="00844433">
      <w:pPr>
        <w:jc w:val="both"/>
      </w:pPr>
      <w:r w:rsidRPr="00844433">
        <w:rPr>
          <w:b/>
          <w:bCs/>
        </w:rPr>
        <w:lastRenderedPageBreak/>
        <w:t>Σύνδρομο Νεογνικής Δυσπροσαρμογής Πουλαριών: Κλινική Προσέγγιση και Aντιμετώπιση</w:t>
      </w:r>
    </w:p>
    <w:p w14:paraId="762F0355" w14:textId="77777777" w:rsidR="00844433" w:rsidRPr="00844433" w:rsidRDefault="00844433" w:rsidP="00844433">
      <w:pPr>
        <w:jc w:val="both"/>
      </w:pPr>
      <w:r w:rsidRPr="00844433">
        <w:t>Καραγιάννης Γεώργιος¹, Διακάκης Νικόλαος²</w:t>
      </w:r>
    </w:p>
    <w:p w14:paraId="049FCF37" w14:textId="77777777" w:rsidR="00844433" w:rsidRPr="00844433" w:rsidRDefault="00844433">
      <w:pPr>
        <w:numPr>
          <w:ilvl w:val="0"/>
          <w:numId w:val="36"/>
        </w:numPr>
        <w:jc w:val="both"/>
      </w:pPr>
      <w:r w:rsidRPr="00844433">
        <w:t>Προπτυχιακός Φοιτητής, Τμήμα Κτηνιατρικής, Σχολή Επιστημών Υγείας, Αριστοτέλειο Πανεπιστήμιο Θεσσαλονίκης</w:t>
      </w:r>
    </w:p>
    <w:p w14:paraId="01DD23DC" w14:textId="77777777" w:rsidR="00844433" w:rsidRPr="00844433" w:rsidRDefault="00844433">
      <w:pPr>
        <w:numPr>
          <w:ilvl w:val="0"/>
          <w:numId w:val="36"/>
        </w:numPr>
        <w:jc w:val="both"/>
      </w:pPr>
      <w:r w:rsidRPr="00844433">
        <w:t>Καθηγητής Χειρουργικής Ιπποειδών, Τμήμα Κτηνιατρικής, Σχολή Επιστημών Υγείας, Αριστοτέλειο Πανεπιστήμιο Θεσσαλονίκης</w:t>
      </w:r>
    </w:p>
    <w:p w14:paraId="1BB56F37" w14:textId="77777777" w:rsidR="00844433" w:rsidRPr="00844433" w:rsidRDefault="00844433" w:rsidP="00844433">
      <w:pPr>
        <w:jc w:val="both"/>
      </w:pPr>
    </w:p>
    <w:p w14:paraId="1A783E9E" w14:textId="77777777" w:rsidR="00844433" w:rsidRPr="00844433" w:rsidRDefault="00844433" w:rsidP="00844433">
      <w:pPr>
        <w:jc w:val="both"/>
      </w:pPr>
      <w:r w:rsidRPr="00844433">
        <w:rPr>
          <w:b/>
          <w:bCs/>
        </w:rPr>
        <w:t>Περίληψη</w:t>
      </w:r>
    </w:p>
    <w:p w14:paraId="1206EF45" w14:textId="77777777" w:rsidR="00844433" w:rsidRPr="00844433" w:rsidRDefault="00844433" w:rsidP="00844433">
      <w:pPr>
        <w:jc w:val="both"/>
      </w:pPr>
      <w:r w:rsidRPr="00844433">
        <w:t> Το Σύνδρομο Νεογνικής Δυσπροσαρμογής (Neonatal Maladjustment Syndrome, NMS) αποτελεί μια σημαντική νόσο των νεογέννητων πουλαριών, που επηρεάζει περίπου το 1–2% των γεννήσεων και χαρακτηρίζεται κυρίως από δυσλειτουργία του κεντρικού νευρικού συστήματος. Η αιτιοπαθογένεια σχετίζεται κυρίως με περιγεννητική υποξία και ισχαιμία, οδηγώντας σε διαταραχές νευρολογικής συμπεριφοράς, όπως απώλεια αντανακλαστικού θηλασμού, αποπροσανατολισμό και επιληπτικές κρίσεις. Παράλληλα, μπορεί να επηρεαστούν το αναπνευστικό, το γαστρεντερικό και το ουροποιητικό σύστημα. Η διάγνωση βασίζεται κυρίως στην κλινική εικόνα και στον αποκλεισμό άλλων παθήσεων , όπως σηψαιμία ή μεταβολικές διαταραχές. Η αντιμετώπιση περιλαμβάνει υποστηρικτική θεραπεία, έλεγχο των κρίσεων και κατάλληλη διατροφική υποστήριξη. Τα τελευταία χρόνια, η τεχνική συμπίεσης Madigan έχει αναδειχθεί ως καινοτόμος προσέγγιση, βασισμένη στη ρύθμιση νευροστεροειδών ορμονών που επηρεάζουν τη νευρολογική αφύπνιση. Η πρόγνωση είναι γενικά καλή, με ποσοστά ανάρρωσης που φτάνουν το 70–80%, ιδιαίτερα όταν εφαρμόζεται έγκαιρη και κατάλληλη θεραπευτική παρέμβαση.</w:t>
      </w:r>
    </w:p>
    <w:p w14:paraId="2F15E290" w14:textId="77777777" w:rsidR="00844433" w:rsidRPr="00844433" w:rsidRDefault="00844433" w:rsidP="00844433">
      <w:pPr>
        <w:jc w:val="both"/>
      </w:pPr>
    </w:p>
    <w:p w14:paraId="75A18680" w14:textId="77777777" w:rsidR="00844433" w:rsidRPr="00382DF1" w:rsidRDefault="00844433" w:rsidP="00844433">
      <w:pPr>
        <w:jc w:val="both"/>
        <w:rPr>
          <w:lang w:val="en-US"/>
        </w:rPr>
      </w:pPr>
      <w:r w:rsidRPr="00844433">
        <w:rPr>
          <w:b/>
          <w:bCs/>
        </w:rPr>
        <w:t>Βιβλιογραφία</w:t>
      </w:r>
    </w:p>
    <w:p w14:paraId="50B1D4AF" w14:textId="77777777" w:rsidR="00844433" w:rsidRPr="00382DF1" w:rsidRDefault="00844433" w:rsidP="00844433">
      <w:pPr>
        <w:jc w:val="both"/>
        <w:rPr>
          <w:lang w:val="en-US"/>
        </w:rPr>
      </w:pPr>
      <w:r w:rsidRPr="00382DF1">
        <w:rPr>
          <w:lang w:val="en-US"/>
        </w:rPr>
        <w:t xml:space="preserve">Agerholm, J. S., Christoffersen, M., Secher, J. B., Normann, A., &amp; Pedersen, H. G. (2024). Dystocia in cattle and horses: </w:t>
      </w:r>
      <w:r w:rsidRPr="00382DF1">
        <w:rPr>
          <w:i/>
          <w:iCs/>
          <w:lang w:val="en-US"/>
        </w:rPr>
        <w:t>A compilation of historical artworks dedicated to Professor Gerhard Sand</w:t>
      </w:r>
      <w:r w:rsidRPr="00382DF1">
        <w:rPr>
          <w:lang w:val="en-US"/>
        </w:rPr>
        <w:t xml:space="preserve"> (1861–1921). </w:t>
      </w:r>
      <w:r w:rsidRPr="00382DF1">
        <w:rPr>
          <w:i/>
          <w:iCs/>
          <w:lang w:val="en-US"/>
        </w:rPr>
        <w:t>Acta Veterinaria Scandinavica, 66</w:t>
      </w:r>
      <w:r w:rsidRPr="00382DF1">
        <w:rPr>
          <w:lang w:val="en-US"/>
        </w:rPr>
        <w:t>(1), 12.</w:t>
      </w:r>
    </w:p>
    <w:p w14:paraId="513924E6" w14:textId="77777777" w:rsidR="00844433" w:rsidRPr="00382DF1" w:rsidRDefault="00844433" w:rsidP="00844433">
      <w:pPr>
        <w:jc w:val="both"/>
        <w:rPr>
          <w:lang w:val="en-US"/>
        </w:rPr>
      </w:pPr>
      <w:r w:rsidRPr="00382DF1">
        <w:rPr>
          <w:lang w:val="en-US"/>
        </w:rPr>
        <w:t xml:space="preserve">Aleman, M., Weich, K. M., &amp; Madigan, J. E. (2017). </w:t>
      </w:r>
      <w:r w:rsidRPr="00382DF1">
        <w:rPr>
          <w:i/>
          <w:iCs/>
          <w:lang w:val="en-US"/>
        </w:rPr>
        <w:t>Survey of veterinarians using a novel physical compression squeeze procedure in the management of neonatal maladjustment syndrome in foals</w:t>
      </w:r>
      <w:r w:rsidRPr="00382DF1">
        <w:rPr>
          <w:lang w:val="en-US"/>
        </w:rPr>
        <w:t xml:space="preserve">. </w:t>
      </w:r>
      <w:r w:rsidRPr="00382DF1">
        <w:rPr>
          <w:i/>
          <w:iCs/>
          <w:lang w:val="en-US"/>
        </w:rPr>
        <w:t>Animals, 7</w:t>
      </w:r>
      <w:r w:rsidRPr="00382DF1">
        <w:rPr>
          <w:lang w:val="en-US"/>
        </w:rPr>
        <w:t>(9), 69.</w:t>
      </w:r>
    </w:p>
    <w:p w14:paraId="184977E7" w14:textId="77777777" w:rsidR="00844433" w:rsidRPr="00382DF1" w:rsidRDefault="00844433" w:rsidP="00844433">
      <w:pPr>
        <w:jc w:val="both"/>
        <w:rPr>
          <w:lang w:val="en-US"/>
        </w:rPr>
      </w:pPr>
      <w:r w:rsidRPr="00382DF1">
        <w:rPr>
          <w:lang w:val="en-US"/>
        </w:rPr>
        <w:t xml:space="preserve">Baird, J. D. (1973). </w:t>
      </w:r>
      <w:r w:rsidRPr="00382DF1">
        <w:rPr>
          <w:i/>
          <w:iCs/>
          <w:lang w:val="en-US"/>
        </w:rPr>
        <w:t>Neonatal maladjustment syndrome in a Thoroughbred foal.</w:t>
      </w:r>
      <w:r w:rsidRPr="00382DF1">
        <w:rPr>
          <w:lang w:val="en-US"/>
        </w:rPr>
        <w:t xml:space="preserve"> </w:t>
      </w:r>
      <w:r w:rsidRPr="00382DF1">
        <w:rPr>
          <w:i/>
          <w:iCs/>
          <w:lang w:val="en-US"/>
        </w:rPr>
        <w:t>Australian Veterinary Journal, 49</w:t>
      </w:r>
      <w:r w:rsidRPr="00382DF1">
        <w:rPr>
          <w:lang w:val="en-US"/>
        </w:rPr>
        <w:t>(11), 530–534.</w:t>
      </w:r>
    </w:p>
    <w:p w14:paraId="5589A56B" w14:textId="77777777" w:rsidR="00844433" w:rsidRPr="00382DF1" w:rsidRDefault="00844433" w:rsidP="00844433">
      <w:pPr>
        <w:jc w:val="both"/>
        <w:rPr>
          <w:lang w:val="en-US"/>
        </w:rPr>
      </w:pPr>
      <w:r w:rsidRPr="00382DF1">
        <w:rPr>
          <w:lang w:val="en-US"/>
        </w:rPr>
        <w:t>Beckstett, A. (2021, February 17)</w:t>
      </w:r>
      <w:r w:rsidRPr="00382DF1">
        <w:rPr>
          <w:i/>
          <w:iCs/>
          <w:lang w:val="en-US"/>
        </w:rPr>
        <w:t>. Foal neurologic exams: Steps and signs of disease. The Horse</w:t>
      </w:r>
      <w:r w:rsidRPr="00382DF1">
        <w:rPr>
          <w:lang w:val="en-US"/>
        </w:rPr>
        <w:t>.</w:t>
      </w:r>
    </w:p>
    <w:p w14:paraId="1C9BE52C" w14:textId="77777777" w:rsidR="00844433" w:rsidRPr="00382DF1" w:rsidRDefault="00844433" w:rsidP="00844433">
      <w:pPr>
        <w:jc w:val="both"/>
        <w:rPr>
          <w:lang w:val="en-US"/>
        </w:rPr>
      </w:pPr>
      <w:r w:rsidRPr="00382DF1">
        <w:rPr>
          <w:lang w:val="en-US"/>
        </w:rPr>
        <w:t xml:space="preserve">Diesch, T. J., &amp; Mellor, D. J. (2013). </w:t>
      </w:r>
      <w:r w:rsidRPr="00382DF1">
        <w:rPr>
          <w:i/>
          <w:iCs/>
          <w:lang w:val="en-US"/>
        </w:rPr>
        <w:t>Birth transitions: Pathophysiology, the onset of consciousness and possible implications for neonatal maladjustment syndrome in the foal</w:t>
      </w:r>
      <w:r w:rsidRPr="00382DF1">
        <w:rPr>
          <w:lang w:val="en-US"/>
        </w:rPr>
        <w:t xml:space="preserve">. </w:t>
      </w:r>
      <w:r w:rsidRPr="00382DF1">
        <w:rPr>
          <w:i/>
          <w:iCs/>
          <w:lang w:val="en-US"/>
        </w:rPr>
        <w:t>Equine Veterinary Journal, 45</w:t>
      </w:r>
      <w:r w:rsidRPr="00382DF1">
        <w:rPr>
          <w:lang w:val="en-US"/>
        </w:rPr>
        <w:t>(6), 656–660.</w:t>
      </w:r>
    </w:p>
    <w:p w14:paraId="49EDA23D" w14:textId="77777777" w:rsidR="00844433" w:rsidRPr="00844433" w:rsidRDefault="00844433" w:rsidP="00844433">
      <w:pPr>
        <w:jc w:val="both"/>
        <w:rPr>
          <w:lang w:val="en-GB"/>
        </w:rPr>
      </w:pPr>
      <w:r w:rsidRPr="00382DF1">
        <w:rPr>
          <w:lang w:val="en-US"/>
        </w:rPr>
        <w:t xml:space="preserve">Haggett, E. (2018, October 1). </w:t>
      </w:r>
      <w:r w:rsidRPr="00382DF1">
        <w:rPr>
          <w:i/>
          <w:iCs/>
          <w:lang w:val="en-US"/>
        </w:rPr>
        <w:t>Neonatal maladjustment syndrome in foals</w:t>
      </w:r>
      <w:r w:rsidRPr="00382DF1">
        <w:rPr>
          <w:lang w:val="en-US"/>
        </w:rPr>
        <w:t xml:space="preserve">. </w:t>
      </w:r>
      <w:r w:rsidRPr="00382DF1">
        <w:rPr>
          <w:i/>
          <w:iCs/>
          <w:lang w:val="en-US"/>
        </w:rPr>
        <w:t>Vet Times</w:t>
      </w:r>
      <w:r w:rsidRPr="00382DF1">
        <w:rPr>
          <w:lang w:val="en-US"/>
        </w:rPr>
        <w:t>.</w:t>
      </w:r>
    </w:p>
    <w:p w14:paraId="385B854C" w14:textId="7EACE582" w:rsidR="00844433" w:rsidRPr="00382DF1" w:rsidRDefault="00844433" w:rsidP="00844433">
      <w:pPr>
        <w:jc w:val="both"/>
        <w:rPr>
          <w:lang w:val="en-US"/>
        </w:rPr>
      </w:pPr>
      <w:r w:rsidRPr="00382DF1">
        <w:rPr>
          <w:lang w:val="en-US"/>
        </w:rPr>
        <w:lastRenderedPageBreak/>
        <w:t xml:space="preserve">Madigan, J. E., Haggett, E. F., Pickles, K. J., et al. (2012). </w:t>
      </w:r>
      <w:r w:rsidRPr="00382DF1">
        <w:rPr>
          <w:i/>
          <w:iCs/>
          <w:lang w:val="en-US"/>
        </w:rPr>
        <w:t>Allopregnanolone infusion induced neurobehavioural alterations in a neonatal foal: Is this a clue to the pathogenesis of neonatal maladjustment syndrome? Equine Veterinary Journal, 44</w:t>
      </w:r>
      <w:r w:rsidRPr="00382DF1">
        <w:rPr>
          <w:lang w:val="en-US"/>
        </w:rPr>
        <w:t>(Suppl. 41), 109–112.</w:t>
      </w:r>
    </w:p>
    <w:p w14:paraId="2A158D67" w14:textId="77777777" w:rsidR="00844433" w:rsidRPr="00382DF1" w:rsidRDefault="00844433" w:rsidP="00844433">
      <w:pPr>
        <w:jc w:val="both"/>
        <w:rPr>
          <w:lang w:val="en-US"/>
        </w:rPr>
      </w:pPr>
      <w:r w:rsidRPr="00382DF1">
        <w:rPr>
          <w:lang w:val="en-US"/>
        </w:rPr>
        <w:t>Oke, S. (2022, March 20).</w:t>
      </w:r>
      <w:r w:rsidRPr="00382DF1">
        <w:rPr>
          <w:i/>
          <w:iCs/>
          <w:lang w:val="en-US"/>
        </w:rPr>
        <w:t xml:space="preserve"> Saving the somnolent foal.</w:t>
      </w:r>
      <w:r w:rsidRPr="00382DF1">
        <w:rPr>
          <w:lang w:val="en-US"/>
        </w:rPr>
        <w:t xml:space="preserve"> </w:t>
      </w:r>
      <w:r w:rsidRPr="00382DF1">
        <w:rPr>
          <w:i/>
          <w:iCs/>
          <w:lang w:val="en-US"/>
        </w:rPr>
        <w:t>The Horse</w:t>
      </w:r>
      <w:r w:rsidRPr="00382DF1">
        <w:rPr>
          <w:lang w:val="en-US"/>
        </w:rPr>
        <w:t>.</w:t>
      </w:r>
    </w:p>
    <w:p w14:paraId="17DE6543" w14:textId="77777777" w:rsidR="00844433" w:rsidRPr="00382DF1" w:rsidRDefault="00844433" w:rsidP="00844433">
      <w:pPr>
        <w:jc w:val="both"/>
        <w:rPr>
          <w:lang w:val="en-US"/>
        </w:rPr>
      </w:pPr>
      <w:r w:rsidRPr="00382DF1">
        <w:rPr>
          <w:lang w:val="en-US"/>
        </w:rPr>
        <w:t xml:space="preserve">Oke, S. (2022, November 17). </w:t>
      </w:r>
      <w:r w:rsidRPr="00382DF1">
        <w:rPr>
          <w:i/>
          <w:iCs/>
          <w:lang w:val="en-US"/>
        </w:rPr>
        <w:t>Time to thrive: Neonatal health concerns</w:t>
      </w:r>
      <w:r w:rsidRPr="00382DF1">
        <w:rPr>
          <w:lang w:val="en-US"/>
        </w:rPr>
        <w:t xml:space="preserve">. </w:t>
      </w:r>
      <w:r w:rsidRPr="00382DF1">
        <w:rPr>
          <w:i/>
          <w:iCs/>
          <w:lang w:val="en-US"/>
        </w:rPr>
        <w:t>The Horse</w:t>
      </w:r>
      <w:r w:rsidRPr="00382DF1">
        <w:rPr>
          <w:lang w:val="en-US"/>
        </w:rPr>
        <w:t>.</w:t>
      </w:r>
    </w:p>
    <w:p w14:paraId="49DF81B2" w14:textId="77777777" w:rsidR="00844433" w:rsidRPr="00382DF1" w:rsidRDefault="00844433" w:rsidP="00844433">
      <w:pPr>
        <w:jc w:val="both"/>
        <w:rPr>
          <w:lang w:val="en-US"/>
        </w:rPr>
      </w:pPr>
      <w:r w:rsidRPr="00382DF1">
        <w:rPr>
          <w:lang w:val="en-US"/>
        </w:rPr>
        <w:t>Paradis, M. R. (2006).</w:t>
      </w:r>
      <w:r w:rsidRPr="00382DF1">
        <w:rPr>
          <w:i/>
          <w:iCs/>
          <w:lang w:val="en-US"/>
        </w:rPr>
        <w:t xml:space="preserve"> Neurologic dysfunctions. </w:t>
      </w:r>
      <w:r w:rsidRPr="00382DF1">
        <w:rPr>
          <w:lang w:val="en-US"/>
        </w:rPr>
        <w:t xml:space="preserve">In M. R. Paradis (Ed.), </w:t>
      </w:r>
      <w:r w:rsidRPr="00382DF1">
        <w:rPr>
          <w:i/>
          <w:iCs/>
          <w:lang w:val="en-US"/>
        </w:rPr>
        <w:t>Equine neonatal medicine</w:t>
      </w:r>
      <w:r w:rsidRPr="00382DF1">
        <w:rPr>
          <w:lang w:val="en-US"/>
        </w:rPr>
        <w:t xml:space="preserve"> (pp. 179–190). Elsevier Saunders.</w:t>
      </w:r>
    </w:p>
    <w:p w14:paraId="1E7F7903" w14:textId="77777777" w:rsidR="00844433" w:rsidRPr="00844433" w:rsidRDefault="00844433" w:rsidP="00844433">
      <w:pPr>
        <w:jc w:val="both"/>
      </w:pPr>
      <w:r w:rsidRPr="00382DF1">
        <w:rPr>
          <w:lang w:val="en-US"/>
        </w:rPr>
        <w:t xml:space="preserve">Southwood, L. L. &amp; Wilkins, P. A. (Eds.). (2014). </w:t>
      </w:r>
      <w:r w:rsidRPr="00382DF1">
        <w:rPr>
          <w:i/>
          <w:iCs/>
          <w:lang w:val="en-US"/>
        </w:rPr>
        <w:t>Equine emergency and critical care medicine</w:t>
      </w:r>
      <w:r w:rsidRPr="00382DF1">
        <w:rPr>
          <w:lang w:val="en-US"/>
        </w:rPr>
        <w:t xml:space="preserve">. </w:t>
      </w:r>
      <w:r w:rsidRPr="00844433">
        <w:t>CRC Press.</w:t>
      </w:r>
    </w:p>
    <w:p w14:paraId="1B52186C" w14:textId="77777777" w:rsidR="00844433" w:rsidRDefault="00844433" w:rsidP="00844433">
      <w:pPr>
        <w:jc w:val="both"/>
      </w:pPr>
      <w:r w:rsidRPr="00844433">
        <w:br/>
      </w:r>
    </w:p>
    <w:p w14:paraId="106AC3FC" w14:textId="77777777" w:rsidR="00844433" w:rsidRDefault="00844433" w:rsidP="00844433">
      <w:pPr>
        <w:jc w:val="both"/>
      </w:pPr>
    </w:p>
    <w:p w14:paraId="2E583C86" w14:textId="77777777" w:rsidR="00844433" w:rsidRDefault="00844433" w:rsidP="00844433">
      <w:pPr>
        <w:jc w:val="both"/>
      </w:pPr>
    </w:p>
    <w:p w14:paraId="22A86CE4" w14:textId="77777777" w:rsidR="00844433" w:rsidRDefault="00844433" w:rsidP="00844433">
      <w:pPr>
        <w:jc w:val="both"/>
      </w:pPr>
    </w:p>
    <w:p w14:paraId="13F49E07" w14:textId="77777777" w:rsidR="00844433" w:rsidRDefault="00844433" w:rsidP="00844433">
      <w:pPr>
        <w:jc w:val="both"/>
      </w:pPr>
    </w:p>
    <w:p w14:paraId="1DAFF199" w14:textId="77777777" w:rsidR="00844433" w:rsidRDefault="00844433" w:rsidP="00844433">
      <w:pPr>
        <w:jc w:val="both"/>
      </w:pPr>
    </w:p>
    <w:p w14:paraId="44200550" w14:textId="77777777" w:rsidR="00844433" w:rsidRDefault="00844433" w:rsidP="00844433">
      <w:pPr>
        <w:jc w:val="both"/>
      </w:pPr>
    </w:p>
    <w:p w14:paraId="7BD753BB" w14:textId="77777777" w:rsidR="00844433" w:rsidRDefault="00844433" w:rsidP="00844433">
      <w:pPr>
        <w:jc w:val="both"/>
      </w:pPr>
    </w:p>
    <w:p w14:paraId="31D84204" w14:textId="77777777" w:rsidR="00844433" w:rsidRDefault="00844433" w:rsidP="00844433">
      <w:pPr>
        <w:jc w:val="both"/>
      </w:pPr>
    </w:p>
    <w:p w14:paraId="76CC50D7" w14:textId="77777777" w:rsidR="00844433" w:rsidRDefault="00844433" w:rsidP="00844433">
      <w:pPr>
        <w:jc w:val="both"/>
      </w:pPr>
    </w:p>
    <w:p w14:paraId="7ADE5812" w14:textId="77777777" w:rsidR="00844433" w:rsidRDefault="00844433" w:rsidP="00844433">
      <w:pPr>
        <w:jc w:val="both"/>
      </w:pPr>
    </w:p>
    <w:p w14:paraId="0BA32F0C" w14:textId="77777777" w:rsidR="00844433" w:rsidRDefault="00844433" w:rsidP="00844433">
      <w:pPr>
        <w:jc w:val="both"/>
      </w:pPr>
    </w:p>
    <w:p w14:paraId="452381A5" w14:textId="77777777" w:rsidR="00844433" w:rsidRDefault="00844433" w:rsidP="00844433">
      <w:pPr>
        <w:jc w:val="both"/>
      </w:pPr>
    </w:p>
    <w:p w14:paraId="4AF9CC3B" w14:textId="77777777" w:rsidR="00844433" w:rsidRDefault="00844433" w:rsidP="00844433">
      <w:pPr>
        <w:jc w:val="both"/>
      </w:pPr>
    </w:p>
    <w:p w14:paraId="2999B57B" w14:textId="77777777" w:rsidR="00844433" w:rsidRDefault="00844433" w:rsidP="00844433">
      <w:pPr>
        <w:jc w:val="both"/>
      </w:pPr>
    </w:p>
    <w:p w14:paraId="46C0CAE8" w14:textId="77777777" w:rsidR="00844433" w:rsidRDefault="00844433" w:rsidP="00844433">
      <w:pPr>
        <w:jc w:val="both"/>
      </w:pPr>
    </w:p>
    <w:p w14:paraId="2677A9BF" w14:textId="77777777" w:rsidR="00844433" w:rsidRDefault="00844433" w:rsidP="00844433">
      <w:pPr>
        <w:jc w:val="both"/>
      </w:pPr>
    </w:p>
    <w:p w14:paraId="3E4368E3" w14:textId="77777777" w:rsidR="00844433" w:rsidRDefault="00844433" w:rsidP="00844433">
      <w:pPr>
        <w:jc w:val="both"/>
      </w:pPr>
    </w:p>
    <w:p w14:paraId="30547E29" w14:textId="77777777" w:rsidR="00844433" w:rsidRDefault="00844433" w:rsidP="00844433">
      <w:pPr>
        <w:jc w:val="both"/>
      </w:pPr>
    </w:p>
    <w:p w14:paraId="1911A71C" w14:textId="77777777" w:rsidR="00844433" w:rsidRDefault="00844433" w:rsidP="00844433">
      <w:pPr>
        <w:jc w:val="both"/>
      </w:pPr>
    </w:p>
    <w:p w14:paraId="423A444E" w14:textId="77777777" w:rsidR="00844433" w:rsidRDefault="00844433" w:rsidP="00844433">
      <w:pPr>
        <w:jc w:val="both"/>
      </w:pPr>
    </w:p>
    <w:p w14:paraId="56FA1B31" w14:textId="77777777" w:rsidR="00844433" w:rsidRDefault="00844433" w:rsidP="00844433">
      <w:pPr>
        <w:jc w:val="both"/>
      </w:pPr>
    </w:p>
    <w:p w14:paraId="07B3125F" w14:textId="77777777" w:rsidR="00844433" w:rsidRPr="00844433" w:rsidRDefault="00844433" w:rsidP="00844433">
      <w:pPr>
        <w:jc w:val="both"/>
      </w:pPr>
    </w:p>
    <w:p w14:paraId="377FA0C8" w14:textId="77777777" w:rsidR="00844433" w:rsidRPr="00844433" w:rsidRDefault="00844433" w:rsidP="00844433">
      <w:pPr>
        <w:jc w:val="both"/>
      </w:pPr>
      <w:r w:rsidRPr="00844433">
        <w:rPr>
          <w:b/>
          <w:bCs/>
        </w:rPr>
        <w:lastRenderedPageBreak/>
        <w:t>Πνευμονική Αιμορραγία από Άσκηση στον Ίππο (EIPH): Όταν οι πνεύμονες υποκύπτουν στην ταχύτητα</w:t>
      </w:r>
    </w:p>
    <w:p w14:paraId="3647DF51" w14:textId="77777777" w:rsidR="00844433" w:rsidRPr="00844433" w:rsidRDefault="00844433" w:rsidP="00844433">
      <w:pPr>
        <w:jc w:val="both"/>
      </w:pPr>
      <w:r w:rsidRPr="00844433">
        <w:t>Λούρου Εμμανουέλα¹, Διακάκης Νικόλαος²</w:t>
      </w:r>
    </w:p>
    <w:p w14:paraId="7E4EE4EA" w14:textId="77777777" w:rsidR="00844433" w:rsidRPr="00844433" w:rsidRDefault="00844433">
      <w:pPr>
        <w:numPr>
          <w:ilvl w:val="0"/>
          <w:numId w:val="37"/>
        </w:numPr>
        <w:jc w:val="both"/>
      </w:pPr>
      <w:r w:rsidRPr="00844433">
        <w:t>Προπτυχιακή Φοιτήτρια, Τμήμα Κτηνιατρικής, Σχολή Επιστημών Υγείας, Αριστοτέλειο Πανεπιστήμιο Θεσσαλονίκης</w:t>
      </w:r>
    </w:p>
    <w:p w14:paraId="33B0D194" w14:textId="77777777" w:rsidR="00844433" w:rsidRPr="00844433" w:rsidRDefault="00844433">
      <w:pPr>
        <w:numPr>
          <w:ilvl w:val="0"/>
          <w:numId w:val="37"/>
        </w:numPr>
        <w:jc w:val="both"/>
      </w:pPr>
      <w:r w:rsidRPr="00844433">
        <w:t>Καθηγητής Χειρουργικής Ιπποειδών, Τμήμα Κτηνιατρικής, Σχολή Επιστημών Υγείας, Αριστοτέλειο Πανεπιστήμιο Θεσσαλονίκης</w:t>
      </w:r>
    </w:p>
    <w:p w14:paraId="2164FC40" w14:textId="77777777" w:rsidR="00844433" w:rsidRPr="00844433" w:rsidRDefault="00844433" w:rsidP="00844433">
      <w:pPr>
        <w:jc w:val="both"/>
      </w:pPr>
    </w:p>
    <w:p w14:paraId="3A2DE2CA" w14:textId="77777777" w:rsidR="00844433" w:rsidRPr="00844433" w:rsidRDefault="00844433" w:rsidP="00844433">
      <w:pPr>
        <w:jc w:val="both"/>
      </w:pPr>
      <w:r w:rsidRPr="00844433">
        <w:rPr>
          <w:b/>
          <w:bCs/>
        </w:rPr>
        <w:t>Περίληψη</w:t>
      </w:r>
    </w:p>
    <w:p w14:paraId="0D623A6D" w14:textId="77777777" w:rsidR="00844433" w:rsidRPr="00844433" w:rsidRDefault="00844433" w:rsidP="00844433">
      <w:pPr>
        <w:jc w:val="both"/>
      </w:pPr>
      <w:r w:rsidRPr="00844433">
        <w:t>Η Πνευμονική Αιμορραγία από Άσκηση στον Ίππο (EIPH) συνιστά ένα πολυπαραγοντικό κλινικό σύνδρομο που εκδηλώνεται κατά τη διάρκεια έντονης άσκησης. Εμφανίζεται συχνά σε ίππους αθλητές και χαρακτηρίζεται από την παρουσία αίματος κατά την τραχειοβρογχοσκόπηση ή/και την ανίχνευση ερυθροκυττάρων ή αιμοσιδηροφάγων μακροφάγων στο βρογχοκυψελιδικό έκπλυμα. Η ασυμπτωματική μορφή της νόσου έχει ιδιαίτερη σημασία, καθώς υπολογίζεται ότι το σύνδρομο εμφανίζεται στο 70-90% των ίππων αθλητών. Αν και η αιτιοπαθογένειά του δεν έχει αποσαφηνιστεί πλήρως, πιστεύεται ότι είναι ένας συνδυασμός διατοιχωματικής βλάβης στις κυψελίδες, αρτηριακής υπέρτασης, αυξημένης πίεσης στους αεραγωγούς και ρήξης του φραγμού αίματος-αερίων. Μολονότι η αιτιολογική θεραπεία δεν είναι δυνατή, στην πρόληψη και διαχείριση του συνδρόμου χρησιμοποιούνται διουρητικά (φουροσεμίδη), ρινικές ταινίες, αντιαιμορραγικά (αμινοκαπροϊκό οξύ, συζευγμένα οιστρογόνα), αγγειοδιασταλτικά (σιλδεναφίλη), αγγειοπροστατευτικά (φλαβανοειδή), καθώς και αντιυπερτασικά (εναλαπρίλη) φάρμακα. Επιπλέον, η χορήγηση συμπυκνωμένου ορού ίππου, ΜΣΑΦ (μελοξικάμη), αντιβιοτικών και διατροφικών συμπληρωμάτων (ω-3 λιπαρά οξέα), όπως και η διασφάλιση επαρκούς χρόνου αποκατάστασης των ίππων μεταξύ των αγώνων συμβάλλουν στη διαχείριση του νοσήματος. Η ελεύθερη αυτή ανακοίνωση είναι προϊόν βιβλιογραφικής μελέτης.</w:t>
      </w:r>
    </w:p>
    <w:p w14:paraId="0C680F50" w14:textId="77777777" w:rsidR="00844433" w:rsidRPr="00844433" w:rsidRDefault="00844433" w:rsidP="00844433">
      <w:pPr>
        <w:jc w:val="both"/>
      </w:pPr>
    </w:p>
    <w:p w14:paraId="0F202DE2" w14:textId="77777777" w:rsidR="00844433" w:rsidRPr="00844433" w:rsidRDefault="00844433" w:rsidP="00844433">
      <w:pPr>
        <w:jc w:val="both"/>
      </w:pPr>
      <w:r w:rsidRPr="00844433">
        <w:rPr>
          <w:b/>
          <w:bCs/>
        </w:rPr>
        <w:t>Βιβλιογραφία</w:t>
      </w:r>
    </w:p>
    <w:p w14:paraId="18386B24" w14:textId="7BD485AC" w:rsidR="00844433" w:rsidRPr="00233C2F" w:rsidRDefault="00844433" w:rsidP="00844433">
      <w:pPr>
        <w:jc w:val="both"/>
        <w:rPr>
          <w:lang w:val="en-GB"/>
        </w:rPr>
      </w:pPr>
      <w:r w:rsidRPr="00844433">
        <w:t xml:space="preserve">Birks, E. K., et al. </w:t>
      </w:r>
      <w:r w:rsidRPr="00382DF1">
        <w:rPr>
          <w:lang w:val="en-US"/>
        </w:rPr>
        <w:t>(2002). E</w:t>
      </w:r>
      <w:r w:rsidRPr="00382DF1">
        <w:rPr>
          <w:i/>
          <w:iCs/>
          <w:lang w:val="en-US"/>
        </w:rPr>
        <w:t>IPH: Postrace endoscopic evaluation of Standardbreds and Thoroughbreds</w:t>
      </w:r>
      <w:r w:rsidRPr="00382DF1">
        <w:rPr>
          <w:lang w:val="en-US"/>
        </w:rPr>
        <w:t xml:space="preserve">. </w:t>
      </w:r>
      <w:r w:rsidRPr="00382DF1">
        <w:rPr>
          <w:i/>
          <w:iCs/>
          <w:lang w:val="en-US"/>
        </w:rPr>
        <w:t>Equine Veterinary Education</w:t>
      </w:r>
      <w:r w:rsidRPr="00382DF1">
        <w:rPr>
          <w:lang w:val="en-US"/>
        </w:rPr>
        <w:t>.</w:t>
      </w:r>
    </w:p>
    <w:p w14:paraId="20D1F149" w14:textId="23191C69" w:rsidR="00844433" w:rsidRPr="00233C2F" w:rsidRDefault="00844433" w:rsidP="00844433">
      <w:pPr>
        <w:jc w:val="both"/>
        <w:rPr>
          <w:lang w:val="en-GB"/>
        </w:rPr>
      </w:pPr>
      <w:r w:rsidRPr="00382DF1">
        <w:rPr>
          <w:lang w:val="en-US"/>
        </w:rPr>
        <w:t xml:space="preserve">Chiara, B., et al. (2024). </w:t>
      </w:r>
      <w:r w:rsidRPr="00382DF1">
        <w:rPr>
          <w:i/>
          <w:iCs/>
          <w:lang w:val="en-US"/>
        </w:rPr>
        <w:t>Comparison between tracheal wash and bronchoalveolar lavage cytology for the assessment of exercise-induced pulmonary hemorrhage (EIPH) in racehorses.</w:t>
      </w:r>
      <w:r w:rsidRPr="00382DF1">
        <w:rPr>
          <w:lang w:val="en-US"/>
        </w:rPr>
        <w:t xml:space="preserve"> </w:t>
      </w:r>
      <w:r w:rsidRPr="00382DF1">
        <w:rPr>
          <w:i/>
          <w:iCs/>
          <w:lang w:val="en-US"/>
        </w:rPr>
        <w:t>Animals, 14</w:t>
      </w:r>
      <w:r w:rsidRPr="00382DF1">
        <w:rPr>
          <w:lang w:val="en-US"/>
        </w:rPr>
        <w:t>, Article 3243.</w:t>
      </w:r>
    </w:p>
    <w:p w14:paraId="0AB8360A" w14:textId="1563A49D" w:rsidR="00844433" w:rsidRPr="00233C2F" w:rsidRDefault="00844433" w:rsidP="00844433">
      <w:pPr>
        <w:jc w:val="both"/>
        <w:rPr>
          <w:lang w:val="en-GB"/>
        </w:rPr>
      </w:pPr>
      <w:r w:rsidRPr="00382DF1">
        <w:rPr>
          <w:lang w:val="en-US"/>
        </w:rPr>
        <w:t xml:space="preserve">Couëtil, L. L., et al. (2015). </w:t>
      </w:r>
      <w:r w:rsidRPr="00382DF1">
        <w:rPr>
          <w:i/>
          <w:iCs/>
          <w:lang w:val="en-US"/>
        </w:rPr>
        <w:t>Exercise-induced pulmonary hemorrhage in horses: Current concepts.</w:t>
      </w:r>
      <w:r w:rsidRPr="00382DF1">
        <w:rPr>
          <w:lang w:val="en-US"/>
        </w:rPr>
        <w:t xml:space="preserve"> </w:t>
      </w:r>
      <w:r w:rsidRPr="00382DF1">
        <w:rPr>
          <w:i/>
          <w:iCs/>
          <w:lang w:val="en-US"/>
        </w:rPr>
        <w:t>Journal of the American Veterinary Medical Association, 255</w:t>
      </w:r>
      <w:r w:rsidRPr="00382DF1">
        <w:rPr>
          <w:lang w:val="en-US"/>
        </w:rPr>
        <w:t>(6), 710–721.</w:t>
      </w:r>
    </w:p>
    <w:p w14:paraId="424B6E50" w14:textId="2AAEE4EB" w:rsidR="00844433" w:rsidRPr="00233C2F" w:rsidRDefault="00844433" w:rsidP="00844433">
      <w:pPr>
        <w:jc w:val="both"/>
        <w:rPr>
          <w:lang w:val="en-GB"/>
        </w:rPr>
      </w:pPr>
      <w:r w:rsidRPr="00382DF1">
        <w:rPr>
          <w:lang w:val="en-US"/>
        </w:rPr>
        <w:t xml:space="preserve">Hinchcliff, K. W., et al. (2015). </w:t>
      </w:r>
      <w:r w:rsidRPr="00382DF1">
        <w:rPr>
          <w:i/>
          <w:iCs/>
          <w:lang w:val="en-US"/>
        </w:rPr>
        <w:t>Exercise-induced pulmonary hemorrhage in horses. Journal of Veterinary Internal Medicine, 29</w:t>
      </w:r>
      <w:r w:rsidRPr="00382DF1">
        <w:rPr>
          <w:lang w:val="en-US"/>
        </w:rPr>
        <w:t>(3), 743–758.</w:t>
      </w:r>
    </w:p>
    <w:p w14:paraId="742BD748" w14:textId="1290C299" w:rsidR="00844433" w:rsidRPr="00233C2F" w:rsidRDefault="00844433" w:rsidP="00844433">
      <w:pPr>
        <w:jc w:val="both"/>
        <w:rPr>
          <w:lang w:val="en-GB"/>
        </w:rPr>
      </w:pPr>
      <w:r w:rsidRPr="00382DF1">
        <w:rPr>
          <w:lang w:val="en-US"/>
        </w:rPr>
        <w:t xml:space="preserve">Howard, H. E., et al. (2007). </w:t>
      </w:r>
      <w:r w:rsidRPr="00382DF1">
        <w:rPr>
          <w:i/>
          <w:iCs/>
          <w:lang w:val="en-US"/>
        </w:rPr>
        <w:t>Review of alternative therapies for EIPH.</w:t>
      </w:r>
    </w:p>
    <w:p w14:paraId="7896E418" w14:textId="56861609" w:rsidR="00844433" w:rsidRPr="00233C2F" w:rsidRDefault="00844433" w:rsidP="00844433">
      <w:pPr>
        <w:jc w:val="both"/>
        <w:rPr>
          <w:lang w:val="en-GB"/>
        </w:rPr>
      </w:pPr>
      <w:r w:rsidRPr="00382DF1">
        <w:rPr>
          <w:lang w:val="en-US"/>
        </w:rPr>
        <w:t xml:space="preserve">Kelly, M. (2015). </w:t>
      </w:r>
      <w:r w:rsidRPr="00382DF1">
        <w:rPr>
          <w:i/>
          <w:iCs/>
          <w:lang w:val="en-US"/>
        </w:rPr>
        <w:t>Studies on serial resting and dynamic endoscopic examinations of Thoroughbred yearlings (</w:t>
      </w:r>
      <w:r w:rsidRPr="00382DF1">
        <w:rPr>
          <w:lang w:val="en-US"/>
        </w:rPr>
        <w:t>PhD Thesis). University of Glasgow.</w:t>
      </w:r>
    </w:p>
    <w:p w14:paraId="4FB95CF6" w14:textId="77777777" w:rsidR="00844433" w:rsidRPr="00382DF1" w:rsidRDefault="00844433" w:rsidP="00844433">
      <w:pPr>
        <w:jc w:val="both"/>
        <w:rPr>
          <w:lang w:val="en-US"/>
        </w:rPr>
      </w:pPr>
      <w:r w:rsidRPr="00382DF1">
        <w:rPr>
          <w:lang w:val="en-US"/>
        </w:rPr>
        <w:lastRenderedPageBreak/>
        <w:t xml:space="preserve">Morán, G., &amp; Folch, H. (2013). </w:t>
      </w:r>
      <w:r w:rsidRPr="00382DF1">
        <w:rPr>
          <w:i/>
          <w:iCs/>
          <w:lang w:val="en-US"/>
        </w:rPr>
        <w:t>Exercise-induced pulmonary hemorrhage in horses. Acta Veterinaria Brno, 82</w:t>
      </w:r>
      <w:r w:rsidRPr="00382DF1">
        <w:rPr>
          <w:lang w:val="en-US"/>
        </w:rPr>
        <w:t>(3), 309–316.</w:t>
      </w:r>
    </w:p>
    <w:p w14:paraId="3676D4CD" w14:textId="36850D1D" w:rsidR="00844433" w:rsidRPr="00233C2F" w:rsidRDefault="00844433" w:rsidP="00844433">
      <w:pPr>
        <w:jc w:val="both"/>
        <w:rPr>
          <w:lang w:val="en-GB"/>
        </w:rPr>
      </w:pPr>
      <w:r w:rsidRPr="00382DF1">
        <w:rPr>
          <w:lang w:val="en-US"/>
        </w:rPr>
        <w:t xml:space="preserve">Poole, D. C., et al. (2007). </w:t>
      </w:r>
      <w:r w:rsidRPr="00382DF1">
        <w:rPr>
          <w:i/>
          <w:iCs/>
          <w:lang w:val="en-US"/>
        </w:rPr>
        <w:t>Exercise-induced pulmonary haemorrhage (EIPH): Mechanistic bases and therapeutic interventions.</w:t>
      </w:r>
      <w:r w:rsidRPr="00382DF1">
        <w:rPr>
          <w:lang w:val="en-US"/>
        </w:rPr>
        <w:t xml:space="preserve"> Equine Veterinary Journal, 39, 292–293.</w:t>
      </w:r>
    </w:p>
    <w:p w14:paraId="1C99FF07" w14:textId="2954DD37" w:rsidR="00844433" w:rsidRPr="00233C2F" w:rsidRDefault="00844433" w:rsidP="00844433">
      <w:pPr>
        <w:jc w:val="both"/>
        <w:rPr>
          <w:lang w:val="en-GB"/>
        </w:rPr>
      </w:pPr>
      <w:r w:rsidRPr="00382DF1">
        <w:rPr>
          <w:lang w:val="en-US"/>
        </w:rPr>
        <w:t xml:space="preserve">Rocchigiani, G. (2022). </w:t>
      </w:r>
      <w:r w:rsidRPr="00382DF1">
        <w:rPr>
          <w:i/>
          <w:iCs/>
          <w:lang w:val="en-US"/>
        </w:rPr>
        <w:t>Exercise induced pulmonary haemorrhage (EIPH) and exercise associated fatal pulmonary haemorrhage (EAFPH) in racing horses: Two different diseases?</w:t>
      </w:r>
    </w:p>
    <w:p w14:paraId="642DE0A7" w14:textId="37B74BFE" w:rsidR="00844433" w:rsidRPr="00233C2F" w:rsidRDefault="00844433" w:rsidP="00844433">
      <w:pPr>
        <w:jc w:val="both"/>
        <w:rPr>
          <w:lang w:val="en-GB"/>
        </w:rPr>
      </w:pPr>
      <w:r w:rsidRPr="00382DF1">
        <w:rPr>
          <w:lang w:val="en-US"/>
        </w:rPr>
        <w:t xml:space="preserve">Tammi, S. (2009). </w:t>
      </w:r>
      <w:r w:rsidRPr="00382DF1">
        <w:rPr>
          <w:i/>
          <w:iCs/>
          <w:lang w:val="en-US"/>
        </w:rPr>
        <w:t>The effectiveness of immunotherapy in treating exercise-induced pulmonary hemorrhage.</w:t>
      </w:r>
      <w:r w:rsidRPr="00382DF1">
        <w:rPr>
          <w:lang w:val="en-US"/>
        </w:rPr>
        <w:t xml:space="preserve"> </w:t>
      </w:r>
      <w:r w:rsidRPr="00382DF1">
        <w:rPr>
          <w:i/>
          <w:iCs/>
          <w:lang w:val="en-US"/>
        </w:rPr>
        <w:t>Journal of Equine Veterinary Science</w:t>
      </w:r>
      <w:r w:rsidRPr="00382DF1">
        <w:rPr>
          <w:lang w:val="en-US"/>
        </w:rPr>
        <w:t>.</w:t>
      </w:r>
    </w:p>
    <w:p w14:paraId="42B79126" w14:textId="0DEB0DEB" w:rsidR="00844433" w:rsidRPr="00233C2F" w:rsidRDefault="00844433" w:rsidP="00844433">
      <w:pPr>
        <w:jc w:val="both"/>
        <w:rPr>
          <w:lang w:val="en-GB"/>
        </w:rPr>
      </w:pPr>
      <w:r w:rsidRPr="00382DF1">
        <w:rPr>
          <w:lang w:val="en-US"/>
        </w:rPr>
        <w:t>West, J. B., et al. (2001).</w:t>
      </w:r>
      <w:r w:rsidRPr="00382DF1">
        <w:rPr>
          <w:i/>
          <w:iCs/>
          <w:lang w:val="en-US"/>
        </w:rPr>
        <w:t xml:space="preserve"> Stress failure of pulmonary capillaries in racehorses with exercise-induced pulmonary hemorrhage. Journal of Applied Physiology, 91</w:t>
      </w:r>
      <w:r w:rsidRPr="00382DF1">
        <w:rPr>
          <w:lang w:val="en-US"/>
        </w:rPr>
        <w:t>(3), 1396–1404.</w:t>
      </w:r>
    </w:p>
    <w:p w14:paraId="1748466F" w14:textId="77777777" w:rsidR="00844433" w:rsidRPr="00844433" w:rsidRDefault="00844433" w:rsidP="00844433">
      <w:pPr>
        <w:jc w:val="both"/>
      </w:pPr>
      <w:r w:rsidRPr="00382DF1">
        <w:rPr>
          <w:lang w:val="en-US"/>
        </w:rPr>
        <w:t xml:space="preserve">Wilson, D. A. (2012). </w:t>
      </w:r>
      <w:r w:rsidRPr="00382DF1">
        <w:rPr>
          <w:i/>
          <w:iCs/>
          <w:lang w:val="en-US"/>
        </w:rPr>
        <w:t>Clinical veterinary advisor: The horse</w:t>
      </w:r>
      <w:r w:rsidRPr="00382DF1">
        <w:rPr>
          <w:lang w:val="en-US"/>
        </w:rPr>
        <w:t xml:space="preserve">. </w:t>
      </w:r>
      <w:r w:rsidRPr="00844433">
        <w:t>St. Louis, MO: Elsevier.</w:t>
      </w:r>
    </w:p>
    <w:p w14:paraId="409D1755" w14:textId="77777777" w:rsidR="00844433" w:rsidRDefault="00844433" w:rsidP="00844433">
      <w:pPr>
        <w:jc w:val="both"/>
      </w:pPr>
      <w:r w:rsidRPr="00844433">
        <w:br/>
      </w:r>
      <w:r w:rsidRPr="00844433">
        <w:br/>
      </w:r>
      <w:r w:rsidRPr="00844433">
        <w:br/>
      </w:r>
      <w:r w:rsidRPr="00844433">
        <w:br/>
      </w:r>
    </w:p>
    <w:p w14:paraId="1EEA276E" w14:textId="77777777" w:rsidR="00844433" w:rsidRDefault="00844433" w:rsidP="00844433">
      <w:pPr>
        <w:jc w:val="both"/>
      </w:pPr>
    </w:p>
    <w:p w14:paraId="0AD62403" w14:textId="77777777" w:rsidR="00844433" w:rsidRDefault="00844433" w:rsidP="00844433">
      <w:pPr>
        <w:jc w:val="both"/>
      </w:pPr>
    </w:p>
    <w:p w14:paraId="5BFB3F0D" w14:textId="77777777" w:rsidR="00844433" w:rsidRDefault="00844433" w:rsidP="00844433">
      <w:pPr>
        <w:jc w:val="both"/>
      </w:pPr>
    </w:p>
    <w:p w14:paraId="58867980" w14:textId="77777777" w:rsidR="00844433" w:rsidRDefault="00844433" w:rsidP="00844433">
      <w:pPr>
        <w:jc w:val="both"/>
      </w:pPr>
    </w:p>
    <w:p w14:paraId="493DE89A" w14:textId="77777777" w:rsidR="00844433" w:rsidRDefault="00844433" w:rsidP="00844433">
      <w:pPr>
        <w:jc w:val="both"/>
      </w:pPr>
    </w:p>
    <w:p w14:paraId="1A4931B2" w14:textId="77777777" w:rsidR="00844433" w:rsidRDefault="00844433" w:rsidP="00844433">
      <w:pPr>
        <w:jc w:val="both"/>
      </w:pPr>
    </w:p>
    <w:p w14:paraId="0C335088" w14:textId="77777777" w:rsidR="00844433" w:rsidRDefault="00844433" w:rsidP="00844433">
      <w:pPr>
        <w:jc w:val="both"/>
      </w:pPr>
    </w:p>
    <w:p w14:paraId="03685C17" w14:textId="77777777" w:rsidR="00844433" w:rsidRDefault="00844433" w:rsidP="00844433">
      <w:pPr>
        <w:jc w:val="both"/>
      </w:pPr>
    </w:p>
    <w:p w14:paraId="33729DE5" w14:textId="77777777" w:rsidR="00844433" w:rsidRDefault="00844433" w:rsidP="00844433">
      <w:pPr>
        <w:jc w:val="both"/>
      </w:pPr>
    </w:p>
    <w:p w14:paraId="20D7EFD3" w14:textId="77777777" w:rsidR="00844433" w:rsidRDefault="00844433" w:rsidP="00844433">
      <w:pPr>
        <w:jc w:val="both"/>
      </w:pPr>
    </w:p>
    <w:p w14:paraId="4AC2CBD1" w14:textId="4F202FD5" w:rsidR="00844433" w:rsidRPr="00844433" w:rsidRDefault="00844433" w:rsidP="00844433">
      <w:pPr>
        <w:jc w:val="both"/>
      </w:pPr>
      <w:r w:rsidRPr="00844433">
        <w:br/>
      </w:r>
      <w:r w:rsidRPr="00844433">
        <w:br/>
      </w:r>
      <w:r w:rsidRPr="00844433">
        <w:br/>
      </w:r>
      <w:r w:rsidRPr="00844433">
        <w:br/>
      </w:r>
      <w:r w:rsidRPr="00844433">
        <w:br/>
      </w:r>
      <w:r w:rsidRPr="00844433">
        <w:br/>
      </w:r>
      <w:r w:rsidRPr="00844433">
        <w:br/>
      </w:r>
      <w:r w:rsidRPr="00844433">
        <w:br/>
      </w:r>
      <w:r w:rsidRPr="00844433">
        <w:br/>
      </w:r>
      <w:r w:rsidRPr="00844433">
        <w:br/>
      </w:r>
      <w:r w:rsidRPr="00844433">
        <w:br/>
      </w:r>
    </w:p>
    <w:p w14:paraId="2E11F34F" w14:textId="77777777" w:rsidR="00844433" w:rsidRPr="00844433" w:rsidRDefault="00844433" w:rsidP="00844433">
      <w:pPr>
        <w:jc w:val="both"/>
      </w:pPr>
      <w:r w:rsidRPr="00844433">
        <w:rPr>
          <w:b/>
          <w:bCs/>
        </w:rPr>
        <w:lastRenderedPageBreak/>
        <w:t>Διαγνωστική και Θεραπευτική Προσέγγιση Παθολογίας Αυχένα Ίππων</w:t>
      </w:r>
    </w:p>
    <w:p w14:paraId="01AFE423" w14:textId="145AF468" w:rsidR="00844433" w:rsidRPr="00844433" w:rsidRDefault="00844433" w:rsidP="00844433">
      <w:pPr>
        <w:jc w:val="both"/>
      </w:pPr>
      <w:r w:rsidRPr="00844433">
        <w:t>Γρηγοριάδου Ελευθερία</w:t>
      </w:r>
      <w:r w:rsidRPr="00844433">
        <w:rPr>
          <w:vertAlign w:val="superscript"/>
        </w:rPr>
        <w:t>1</w:t>
      </w:r>
      <w:r w:rsidRPr="00844433">
        <w:t>, Διακάκης Νικόλαος</w:t>
      </w:r>
      <w:r w:rsidRPr="00844433">
        <w:rPr>
          <w:vertAlign w:val="superscript"/>
        </w:rPr>
        <w:t>2</w:t>
      </w:r>
    </w:p>
    <w:p w14:paraId="53CFBC4D" w14:textId="77777777" w:rsidR="00844433" w:rsidRPr="00844433" w:rsidRDefault="00844433">
      <w:pPr>
        <w:numPr>
          <w:ilvl w:val="0"/>
          <w:numId w:val="38"/>
        </w:numPr>
        <w:jc w:val="both"/>
      </w:pPr>
      <w:r w:rsidRPr="00844433">
        <w:t>Προπτυχιακή φοιτήτρια, Τμήμα Κτηνιατρικής, Σχολής Επιστημών Υγείας, Αριστοτέλειο Πανεπιστήμιο Θεσσαλονίκης</w:t>
      </w:r>
    </w:p>
    <w:p w14:paraId="6377A88B" w14:textId="77777777" w:rsidR="00844433" w:rsidRPr="00844433" w:rsidRDefault="00844433">
      <w:pPr>
        <w:numPr>
          <w:ilvl w:val="0"/>
          <w:numId w:val="38"/>
        </w:numPr>
        <w:jc w:val="both"/>
      </w:pPr>
      <w:r w:rsidRPr="00844433">
        <w:t>Καθηγητής Χειρουργικής Ιπποειδών, Τμήμα Κτηνιατρικής, Σχολής Επιστημών Υγείας, Αριστοτέλειο Πανεπιστήμιο Θεσσαλονίκης</w:t>
      </w:r>
    </w:p>
    <w:p w14:paraId="0089D3C9" w14:textId="77777777" w:rsidR="00844433" w:rsidRPr="00844433" w:rsidRDefault="00844433" w:rsidP="00844433">
      <w:pPr>
        <w:jc w:val="both"/>
      </w:pPr>
    </w:p>
    <w:p w14:paraId="428E8017" w14:textId="77777777" w:rsidR="00844433" w:rsidRPr="00844433" w:rsidRDefault="00844433" w:rsidP="00844433">
      <w:pPr>
        <w:jc w:val="both"/>
      </w:pPr>
      <w:r w:rsidRPr="00844433">
        <w:rPr>
          <w:b/>
          <w:bCs/>
        </w:rPr>
        <w:t>Περίληψη</w:t>
      </w:r>
    </w:p>
    <w:p w14:paraId="6FD4C36D" w14:textId="77777777" w:rsidR="00844433" w:rsidRPr="00844433" w:rsidRDefault="00844433" w:rsidP="00844433">
      <w:pPr>
        <w:jc w:val="both"/>
      </w:pPr>
      <w:r w:rsidRPr="00844433">
        <w:t> Η παθολογία του αυχένα στους ίππους εκδηλώνεται με συμπτώματα, όπως χωλότητα πρόσθιων άκρων, αυχενική δυσκαμψία, αταξία και μειωμένη απόδοση. Η προσέγγιση απαιτεί πλήρη ορθοπεδική εξέταση, η οποία περιλαμβάνει λήψη ιστορικού, επισκόπηση, ψηλάφηση, υποβολή σε παθητικές κινήσεις και αξιολόγηση σε κίνηση. Η διάγνωση βασίζεται σε απεικονιστικές μεθόδους, όπως ακτινογραφία, υπερηχογράφημα, σπινθηρογράφημα, αξονική τομογραφία και μυελογραφία, που επιτρέπουν τον εντοπισμό οστικών βλαβών, καθώς και παθολογικές καταστάσεις των μαλακών μορίων και των αρθρώσεων. Η θεραπεία είναι, κυρίως, συντηρητική και περιλαμβάνει τη χορήγηση στεροειδών ή μη στεροειδών αντιφλεγμονωδών φαρμάκων και μυοχαλαρωτικών, ανάπαυση και φυσικοθεραπεία. Ιδιαίτερη σημασία έχουν οι ενδοαρθρικές εγχύσεις κορτικοστεροειδών, καθώς αποτελούν στοχευμένη θεραπεία για τον πόνο που προέρχεται από τις αυχενικές αρθρώσεις. Όταν εφαρμόζονται με σωστή διάγνωση και υπερηχοτομογραφική καθοδήγηση, βελτιώνουν σημαντικά την κλινική εικόνα και την απόδοση του ίππου. Σε επιλεγμένες, μόνο, περιπτώσεις εφαρμόζεται χειρουργική αντιμετώπιση.</w:t>
      </w:r>
    </w:p>
    <w:p w14:paraId="505A266E" w14:textId="77777777" w:rsidR="00844433" w:rsidRPr="00844433" w:rsidRDefault="00844433" w:rsidP="00844433">
      <w:pPr>
        <w:jc w:val="both"/>
      </w:pPr>
    </w:p>
    <w:p w14:paraId="2D81314A" w14:textId="77777777" w:rsidR="00844433" w:rsidRPr="00844433" w:rsidRDefault="00844433" w:rsidP="00844433">
      <w:pPr>
        <w:jc w:val="both"/>
      </w:pPr>
      <w:r w:rsidRPr="00844433">
        <w:rPr>
          <w:b/>
          <w:bCs/>
        </w:rPr>
        <w:t>Βιβλιογραφία</w:t>
      </w:r>
    </w:p>
    <w:p w14:paraId="281D7627" w14:textId="005EE492" w:rsidR="00844433" w:rsidRPr="002617A2" w:rsidRDefault="00844433" w:rsidP="00844433">
      <w:pPr>
        <w:jc w:val="both"/>
      </w:pPr>
      <w:r w:rsidRPr="00844433">
        <w:t xml:space="preserve">Διακάκης, Ν. (2022). </w:t>
      </w:r>
      <w:r w:rsidRPr="00844433">
        <w:rPr>
          <w:i/>
          <w:iCs/>
        </w:rPr>
        <w:t>Προβλήματα της σπονδυλικής στήλης του ίππου: Διάγνωση και αντιμετώπιση.</w:t>
      </w:r>
      <w:r w:rsidRPr="00844433">
        <w:t xml:space="preserve"> </w:t>
      </w:r>
      <w:r w:rsidRPr="00844433">
        <w:rPr>
          <w:i/>
          <w:iCs/>
        </w:rPr>
        <w:t>Πρακτικά 15ου Πανελλήνιου Κτηνιατρικού Συνεδρίου</w:t>
      </w:r>
      <w:r w:rsidRPr="00844433">
        <w:t>.</w:t>
      </w:r>
    </w:p>
    <w:p w14:paraId="7D61727A" w14:textId="53735DA6" w:rsidR="00844433" w:rsidRPr="00233C2F" w:rsidRDefault="00844433" w:rsidP="00844433">
      <w:pPr>
        <w:jc w:val="both"/>
        <w:rPr>
          <w:lang w:val="en-GB"/>
        </w:rPr>
      </w:pPr>
      <w:r w:rsidRPr="00844433">
        <w:t xml:space="preserve">Adams, S. B. (2024). </w:t>
      </w:r>
      <w:r w:rsidRPr="00844433">
        <w:rPr>
          <w:i/>
          <w:iCs/>
        </w:rPr>
        <w:t>The lameness examination in horses.</w:t>
      </w:r>
      <w:r w:rsidRPr="00844433">
        <w:t xml:space="preserve"> </w:t>
      </w:r>
      <w:r w:rsidRPr="00382DF1">
        <w:rPr>
          <w:lang w:val="en-US"/>
        </w:rPr>
        <w:t>MSD Manual</w:t>
      </w:r>
    </w:p>
    <w:p w14:paraId="0A9E3339" w14:textId="0BDC9462" w:rsidR="00844433" w:rsidRPr="00233C2F" w:rsidRDefault="00844433" w:rsidP="00844433">
      <w:pPr>
        <w:jc w:val="both"/>
        <w:rPr>
          <w:lang w:val="en-GB"/>
        </w:rPr>
      </w:pPr>
      <w:r w:rsidRPr="00382DF1">
        <w:rPr>
          <w:lang w:val="en-US"/>
        </w:rPr>
        <w:t xml:space="preserve">Bergman, H. J. (n.d.). </w:t>
      </w:r>
      <w:r w:rsidRPr="00382DF1">
        <w:rPr>
          <w:i/>
          <w:iCs/>
          <w:lang w:val="en-US"/>
        </w:rPr>
        <w:t xml:space="preserve">Neck pathology: Diagnostic options. </w:t>
      </w:r>
      <w:r w:rsidRPr="00382DF1">
        <w:rPr>
          <w:lang w:val="en-US"/>
        </w:rPr>
        <w:t>The International Society of Equine Locomotor Pathology.</w:t>
      </w:r>
    </w:p>
    <w:p w14:paraId="459AA7BE" w14:textId="283524C2" w:rsidR="00844433" w:rsidRPr="00233C2F" w:rsidRDefault="00844433" w:rsidP="00844433">
      <w:pPr>
        <w:jc w:val="both"/>
        <w:rPr>
          <w:lang w:val="en-GB"/>
        </w:rPr>
      </w:pPr>
      <w:r w:rsidRPr="00382DF1">
        <w:rPr>
          <w:lang w:val="en-US"/>
        </w:rPr>
        <w:t xml:space="preserve">Cornille, J.-L. (2013). </w:t>
      </w:r>
      <w:r w:rsidRPr="00382DF1">
        <w:rPr>
          <w:i/>
          <w:iCs/>
          <w:lang w:val="en-US"/>
        </w:rPr>
        <w:t>Technical discussion with Leanne</w:t>
      </w:r>
      <w:r w:rsidRPr="00382DF1">
        <w:rPr>
          <w:lang w:val="en-US"/>
        </w:rPr>
        <w:t>. Science of Motion.</w:t>
      </w:r>
    </w:p>
    <w:p w14:paraId="05ADB4A3" w14:textId="19CFDFF3" w:rsidR="00844433" w:rsidRPr="00233C2F" w:rsidRDefault="00844433" w:rsidP="00844433">
      <w:pPr>
        <w:jc w:val="both"/>
        <w:rPr>
          <w:lang w:val="en-GB"/>
        </w:rPr>
      </w:pPr>
      <w:r w:rsidRPr="00382DF1">
        <w:rPr>
          <w:lang w:val="en-US"/>
        </w:rPr>
        <w:t xml:space="preserve">Davidson, E. J., Stefanovski, D., Slack, J., &amp; Manzi, T. J. (2024). </w:t>
      </w:r>
      <w:r w:rsidRPr="00382DF1">
        <w:rPr>
          <w:i/>
          <w:iCs/>
          <w:lang w:val="en-US"/>
        </w:rPr>
        <w:t>Ultrasound-guided caudal cervical articular process arthrocentesis is accurate in live horses with and without arthropathy.</w:t>
      </w:r>
    </w:p>
    <w:p w14:paraId="7987CD85" w14:textId="56CF2CF7" w:rsidR="00844433" w:rsidRPr="00233C2F" w:rsidRDefault="00844433" w:rsidP="00844433">
      <w:pPr>
        <w:jc w:val="both"/>
        <w:rPr>
          <w:lang w:val="en-GB"/>
        </w:rPr>
      </w:pPr>
      <w:r w:rsidRPr="00382DF1">
        <w:rPr>
          <w:lang w:val="en-US"/>
        </w:rPr>
        <w:t xml:space="preserve">Dixon, J. J. (2018). </w:t>
      </w:r>
      <w:r w:rsidRPr="00382DF1">
        <w:rPr>
          <w:i/>
          <w:iCs/>
          <w:lang w:val="en-US"/>
        </w:rPr>
        <w:t>Imaging the equine neck.</w:t>
      </w:r>
      <w:r w:rsidRPr="00382DF1">
        <w:rPr>
          <w:lang w:val="en-US"/>
        </w:rPr>
        <w:t xml:space="preserve"> </w:t>
      </w:r>
      <w:r w:rsidRPr="00382DF1">
        <w:rPr>
          <w:i/>
          <w:iCs/>
          <w:lang w:val="en-US"/>
        </w:rPr>
        <w:t>UK Vet Equine, 2</w:t>
      </w:r>
      <w:r w:rsidRPr="00382DF1">
        <w:rPr>
          <w:lang w:val="en-US"/>
        </w:rPr>
        <w:t>(2). </w:t>
      </w:r>
    </w:p>
    <w:p w14:paraId="7C021870" w14:textId="64FCE8B4" w:rsidR="00844433" w:rsidRPr="00233C2F" w:rsidRDefault="00844433" w:rsidP="00844433">
      <w:pPr>
        <w:jc w:val="both"/>
        <w:rPr>
          <w:lang w:val="en-GB"/>
        </w:rPr>
      </w:pPr>
      <w:r w:rsidRPr="00382DF1">
        <w:rPr>
          <w:lang w:val="en-US"/>
        </w:rPr>
        <w:t xml:space="preserve">Fletcher, O., Dixon, J., &amp; Anderson, J. (2025). </w:t>
      </w:r>
      <w:r w:rsidRPr="00382DF1">
        <w:rPr>
          <w:i/>
          <w:iCs/>
          <w:lang w:val="en-US"/>
        </w:rPr>
        <w:t>Interpreting cervical radiographs in horses</w:t>
      </w:r>
      <w:r w:rsidRPr="00382DF1">
        <w:rPr>
          <w:lang w:val="en-US"/>
        </w:rPr>
        <w:t xml:space="preserve">. </w:t>
      </w:r>
      <w:r w:rsidRPr="00382DF1">
        <w:rPr>
          <w:i/>
          <w:iCs/>
          <w:lang w:val="en-US"/>
        </w:rPr>
        <w:t>In Practice</w:t>
      </w:r>
      <w:r w:rsidRPr="00382DF1">
        <w:rPr>
          <w:lang w:val="en-US"/>
        </w:rPr>
        <w:t>. </w:t>
      </w:r>
    </w:p>
    <w:p w14:paraId="3055B070" w14:textId="55782D96" w:rsidR="00844433" w:rsidRPr="00233C2F" w:rsidRDefault="00844433" w:rsidP="00844433">
      <w:pPr>
        <w:jc w:val="both"/>
        <w:rPr>
          <w:lang w:val="en-GB"/>
        </w:rPr>
      </w:pPr>
      <w:r w:rsidRPr="00382DF1">
        <w:rPr>
          <w:lang w:val="en-US"/>
        </w:rPr>
        <w:t xml:space="preserve">Henson, F. M. D. (Ed.). (2018). </w:t>
      </w:r>
      <w:r w:rsidRPr="00382DF1">
        <w:rPr>
          <w:i/>
          <w:iCs/>
          <w:lang w:val="en-US"/>
        </w:rPr>
        <w:t>Equine neck and back pathology: Diagnosis and treatment</w:t>
      </w:r>
      <w:r w:rsidRPr="00382DF1">
        <w:rPr>
          <w:lang w:val="en-US"/>
        </w:rPr>
        <w:t xml:space="preserve"> (2nd ed.). Elsevier.</w:t>
      </w:r>
    </w:p>
    <w:p w14:paraId="26567D21" w14:textId="77777777" w:rsidR="00844433" w:rsidRDefault="00844433" w:rsidP="00844433">
      <w:pPr>
        <w:jc w:val="both"/>
      </w:pPr>
      <w:r w:rsidRPr="00382DF1">
        <w:rPr>
          <w:lang w:val="en-US"/>
        </w:rPr>
        <w:t xml:space="preserve">Tabor, G. (2021). </w:t>
      </w:r>
      <w:r w:rsidRPr="00382DF1">
        <w:rPr>
          <w:i/>
          <w:iCs/>
          <w:lang w:val="en-US"/>
        </w:rPr>
        <w:t>Physiotherapy for neck pain in the horse</w:t>
      </w:r>
      <w:r w:rsidRPr="00382DF1">
        <w:rPr>
          <w:lang w:val="en-US"/>
        </w:rPr>
        <w:t xml:space="preserve">. </w:t>
      </w:r>
      <w:r w:rsidRPr="00844433">
        <w:t>UK Vet Equine, 5(1), 37–42.</w:t>
      </w:r>
    </w:p>
    <w:p w14:paraId="544797AD" w14:textId="7DFDB283" w:rsidR="00844433" w:rsidRPr="00844433" w:rsidRDefault="00844433" w:rsidP="00844433">
      <w:pPr>
        <w:jc w:val="both"/>
      </w:pPr>
      <w:r w:rsidRPr="00844433">
        <w:rPr>
          <w:b/>
          <w:bCs/>
        </w:rPr>
        <w:lastRenderedPageBreak/>
        <w:t>Εγκεφαλίτιδα του Δυτικού Νείλου στα Ιπποειδή: Η Σημασία της Κλινικής και Εργαστηριακής Διάγνωσης στην Επιτήρηση του Νοσήματος</w:t>
      </w:r>
    </w:p>
    <w:p w14:paraId="5992BA56" w14:textId="5610AF75" w:rsidR="00844433" w:rsidRPr="00844433" w:rsidRDefault="00844433" w:rsidP="00844433">
      <w:pPr>
        <w:jc w:val="both"/>
      </w:pPr>
      <w:r w:rsidRPr="00844433">
        <w:t>Βούλτσιου Βασιλική</w:t>
      </w:r>
      <w:r w:rsidRPr="00844433">
        <w:rPr>
          <w:vertAlign w:val="superscript"/>
        </w:rPr>
        <w:t>1</w:t>
      </w:r>
      <w:r w:rsidRPr="00844433">
        <w:t>, Διακάκης Νικόλαος</w:t>
      </w:r>
      <w:r w:rsidRPr="00844433">
        <w:rPr>
          <w:vertAlign w:val="superscript"/>
        </w:rPr>
        <w:t>2</w:t>
      </w:r>
    </w:p>
    <w:p w14:paraId="6D03640F" w14:textId="77777777" w:rsidR="00844433" w:rsidRPr="00844433" w:rsidRDefault="00844433">
      <w:pPr>
        <w:numPr>
          <w:ilvl w:val="0"/>
          <w:numId w:val="39"/>
        </w:numPr>
        <w:jc w:val="both"/>
      </w:pPr>
      <w:r w:rsidRPr="00844433">
        <w:t>Προπτυχιακή Φοιτήτρια, Τμήμα Κτηνιατρικής , Σχολή Επιστημών Υγείας , Αριστοτέλειο Πανεπιστήμιο Θεσσαλονίκης </w:t>
      </w:r>
    </w:p>
    <w:p w14:paraId="36228617" w14:textId="77777777" w:rsidR="00844433" w:rsidRPr="00844433" w:rsidRDefault="00844433">
      <w:pPr>
        <w:numPr>
          <w:ilvl w:val="0"/>
          <w:numId w:val="39"/>
        </w:numPr>
        <w:jc w:val="both"/>
      </w:pPr>
      <w:r w:rsidRPr="00844433">
        <w:t>Καθηγητής Χειρουργικής Ιπποειδών, Τμήμα Κτηνιατρικής, Σχολής Επιστημών Υγείας, Αριστοτέλειο Πανεπιστήμιο Θεσσαλονίκης</w:t>
      </w:r>
    </w:p>
    <w:p w14:paraId="657EF6E5" w14:textId="77777777" w:rsidR="00844433" w:rsidRPr="00844433" w:rsidRDefault="00844433" w:rsidP="00844433">
      <w:pPr>
        <w:jc w:val="both"/>
      </w:pPr>
    </w:p>
    <w:p w14:paraId="52D2A787" w14:textId="77777777" w:rsidR="00844433" w:rsidRPr="00844433" w:rsidRDefault="00844433" w:rsidP="00844433">
      <w:pPr>
        <w:jc w:val="both"/>
      </w:pPr>
      <w:r w:rsidRPr="00844433">
        <w:rPr>
          <w:b/>
          <w:bCs/>
        </w:rPr>
        <w:t>Περίληψη</w:t>
      </w:r>
    </w:p>
    <w:p w14:paraId="7671B4F1" w14:textId="77777777" w:rsidR="00844433" w:rsidRPr="00844433" w:rsidRDefault="00844433" w:rsidP="00844433">
      <w:pPr>
        <w:jc w:val="both"/>
      </w:pPr>
      <w:r w:rsidRPr="00844433">
        <w:t> Ο ιός του Δυτικού Νείλου (WNV) είναι ένας RNA ιός, της οικογένειας Flaviviridae. Αποτελεί μια σημαντική ζωονόσο με παγκόσμια εξάπλωση και μεταδίδεται μέσω νυγμάτων μολυσμένων κουνουπιών, με τα πτηνά να αποτελούν τη φυσική δεξαμενή και του ίππους ή τον άνθρωπο τους αδιέξοδους ξενιστές (dead-end hosts). Στα άλογα προκαλεί συχνά σοβαρή μορφή εγκεφαλομυελίτιδας η οποία εκδηλώνεται κλινικά με αταξία, μυοκλωνίες και κατάπτωση. Η κλινική αξιολόγηση και η συμπερίληψη του νοσήματος στη διαφορική διάγνωση είναι θεμελιώδους σημασίας, καθώς, νομικά, αποτελεί υποχρέωση του κτηνιάτρου η δήλωση όλων των ύποπτων περιστατικών. Παράλληλα, ενισχύει τη πιθανότητα επιτυχούς αντιμετώπισης του περιστατικού. Επιπλέον, η χρήση εργαστηριακών διαγνωστικών τεχνικών παραμένει απαραίτητη για την επίσημη επιβεβαίωση (οριστική διάγνωση) των κρουσμάτων. Η ταχεία εργαστηριακή τεκμηρίωση είναι ο ακρογωνιαίος λίθος της επιδημιολογικής επιτήρησης, επιτρέποντας στις αρχές την πρώιμη ανίχνευση και χαρτογράφηση της διασποράς του ιού καθώς και την προστασία της δημόσιας υγείας.</w:t>
      </w:r>
    </w:p>
    <w:p w14:paraId="033765A9" w14:textId="77777777" w:rsidR="00844433" w:rsidRPr="00844433" w:rsidRDefault="00844433" w:rsidP="00844433">
      <w:pPr>
        <w:jc w:val="both"/>
      </w:pPr>
    </w:p>
    <w:p w14:paraId="7F43AB47" w14:textId="77777777" w:rsidR="00844433" w:rsidRPr="00844433" w:rsidRDefault="00844433" w:rsidP="00844433">
      <w:pPr>
        <w:jc w:val="both"/>
      </w:pPr>
      <w:r w:rsidRPr="00844433">
        <w:rPr>
          <w:b/>
          <w:bCs/>
        </w:rPr>
        <w:t>Βιβλιογραφία</w:t>
      </w:r>
    </w:p>
    <w:p w14:paraId="620ECD69" w14:textId="77777777" w:rsidR="00844433" w:rsidRPr="00844433" w:rsidRDefault="00844433" w:rsidP="00844433">
      <w:pPr>
        <w:jc w:val="both"/>
      </w:pPr>
      <w:r w:rsidRPr="00844433">
        <w:t xml:space="preserve">Υπουργείο Αγροτικής Ανάπτυξης και Τροφίμων. (2024). </w:t>
      </w:r>
      <w:r w:rsidRPr="00844433">
        <w:rPr>
          <w:i/>
          <w:iCs/>
        </w:rPr>
        <w:t>Πρόγραμμα Επιτήρησης του ιού του Πυρετού του Δυτικού Νείλου (ΠΔΝ) στα ιπποειδή, τα πτηνά και σε άλλα ζώα ευαίσθητα στον ιό</w:t>
      </w:r>
      <w:r w:rsidRPr="00844433">
        <w:t xml:space="preserve"> (Αριθμ. 1500/224312). </w:t>
      </w:r>
      <w:r w:rsidRPr="00844433">
        <w:rPr>
          <w:i/>
          <w:iCs/>
        </w:rPr>
        <w:t>Φύλλο Εφημερίδας της Κυβερνήσεως</w:t>
      </w:r>
      <w:r w:rsidRPr="00844433">
        <w:t>, 4558, Τεύχος Β’.</w:t>
      </w:r>
    </w:p>
    <w:p w14:paraId="6CEB2768" w14:textId="77777777" w:rsidR="00844433" w:rsidRPr="00382DF1" w:rsidRDefault="00844433" w:rsidP="00844433">
      <w:pPr>
        <w:jc w:val="both"/>
        <w:rPr>
          <w:lang w:val="en-US"/>
        </w:rPr>
      </w:pPr>
      <w:r w:rsidRPr="00844433">
        <w:t xml:space="preserve">Ahsan Naveed, Lianne G. Eertink, Dan Wang &amp; Feng Li. </w:t>
      </w:r>
      <w:r w:rsidRPr="00382DF1">
        <w:rPr>
          <w:lang w:val="en-US"/>
        </w:rPr>
        <w:t xml:space="preserve">(2024). </w:t>
      </w:r>
      <w:r w:rsidRPr="00382DF1">
        <w:rPr>
          <w:i/>
          <w:iCs/>
          <w:lang w:val="en-US"/>
        </w:rPr>
        <w:t>Lessons learned from West Nile virus infection: Vaccinations in equines and their implications for One Health approaches.</w:t>
      </w:r>
      <w:r w:rsidRPr="00382DF1">
        <w:rPr>
          <w:lang w:val="en-US"/>
        </w:rPr>
        <w:t xml:space="preserve"> </w:t>
      </w:r>
      <w:r w:rsidRPr="00382DF1">
        <w:rPr>
          <w:i/>
          <w:iCs/>
          <w:lang w:val="en-US"/>
        </w:rPr>
        <w:t>Viruses</w:t>
      </w:r>
      <w:r w:rsidRPr="00382DF1">
        <w:rPr>
          <w:lang w:val="en-US"/>
        </w:rPr>
        <w:t>, 16(5).</w:t>
      </w:r>
    </w:p>
    <w:p w14:paraId="1453C110" w14:textId="77777777" w:rsidR="00844433" w:rsidRPr="00382DF1" w:rsidRDefault="00844433" w:rsidP="00844433">
      <w:pPr>
        <w:jc w:val="both"/>
        <w:rPr>
          <w:lang w:val="en-US"/>
        </w:rPr>
      </w:pPr>
      <w:r w:rsidRPr="00382DF1">
        <w:rPr>
          <w:lang w:val="en-US"/>
        </w:rPr>
        <w:t xml:space="preserve">Angenvoort, J., Brault, A. C., Bowen, R. A. &amp; Groschup, M. H. (2013). </w:t>
      </w:r>
      <w:r w:rsidRPr="00382DF1">
        <w:rPr>
          <w:i/>
          <w:iCs/>
          <w:lang w:val="en-US"/>
        </w:rPr>
        <w:t>West Nile viral infection of equids.</w:t>
      </w:r>
      <w:r w:rsidRPr="00382DF1">
        <w:rPr>
          <w:lang w:val="en-US"/>
        </w:rPr>
        <w:t xml:space="preserve"> </w:t>
      </w:r>
      <w:r w:rsidRPr="00382DF1">
        <w:rPr>
          <w:i/>
          <w:iCs/>
          <w:lang w:val="en-US"/>
        </w:rPr>
        <w:t>Veterinary Microbiology</w:t>
      </w:r>
      <w:r w:rsidRPr="00382DF1">
        <w:rPr>
          <w:lang w:val="en-US"/>
        </w:rPr>
        <w:t>, 167(1–2), 168–180.</w:t>
      </w:r>
    </w:p>
    <w:p w14:paraId="6C223516" w14:textId="77777777" w:rsidR="00844433" w:rsidRPr="00382DF1" w:rsidRDefault="00844433" w:rsidP="00844433">
      <w:pPr>
        <w:jc w:val="both"/>
        <w:rPr>
          <w:lang w:val="en-US"/>
        </w:rPr>
      </w:pPr>
      <w:r w:rsidRPr="00382DF1">
        <w:rPr>
          <w:lang w:val="en-US"/>
        </w:rPr>
        <w:t xml:space="preserve">Beck, C., Lowenski, S., Durand, B., Bahuon, C., Zientara, S. &amp; Lecollinet, S. (2017). </w:t>
      </w:r>
      <w:r w:rsidRPr="00382DF1">
        <w:rPr>
          <w:i/>
          <w:iCs/>
          <w:lang w:val="en-US"/>
        </w:rPr>
        <w:t>Improved reliability of serological tools for the diagnosis of West Nile fever in horses within Europe.</w:t>
      </w:r>
      <w:r w:rsidRPr="00382DF1">
        <w:rPr>
          <w:lang w:val="en-US"/>
        </w:rPr>
        <w:t xml:space="preserve"> </w:t>
      </w:r>
      <w:r w:rsidRPr="00382DF1">
        <w:rPr>
          <w:i/>
          <w:iCs/>
          <w:lang w:val="en-US"/>
        </w:rPr>
        <w:t>PLOS Neglected Tropical Diseases</w:t>
      </w:r>
      <w:r w:rsidRPr="00382DF1">
        <w:rPr>
          <w:lang w:val="en-US"/>
        </w:rPr>
        <w:t>.</w:t>
      </w:r>
    </w:p>
    <w:p w14:paraId="775B889F" w14:textId="77777777" w:rsidR="00844433" w:rsidRPr="00382DF1" w:rsidRDefault="00844433" w:rsidP="00844433">
      <w:pPr>
        <w:jc w:val="both"/>
        <w:rPr>
          <w:lang w:val="en-US"/>
        </w:rPr>
      </w:pPr>
      <w:r w:rsidRPr="00382DF1">
        <w:rPr>
          <w:lang w:val="en-US"/>
        </w:rPr>
        <w:t xml:space="preserve">Castillo-Olivares, J. &amp; Wood, J. (2004). </w:t>
      </w:r>
      <w:r w:rsidRPr="00382DF1">
        <w:rPr>
          <w:i/>
          <w:iCs/>
          <w:lang w:val="en-US"/>
        </w:rPr>
        <w:t>West Nile virus infection of horses.</w:t>
      </w:r>
      <w:r w:rsidRPr="00382DF1">
        <w:rPr>
          <w:lang w:val="en-US"/>
        </w:rPr>
        <w:t xml:space="preserve"> </w:t>
      </w:r>
      <w:r w:rsidRPr="00382DF1">
        <w:rPr>
          <w:i/>
          <w:iCs/>
          <w:lang w:val="en-US"/>
        </w:rPr>
        <w:t>Veterinary Research</w:t>
      </w:r>
      <w:r w:rsidRPr="00382DF1">
        <w:rPr>
          <w:lang w:val="en-US"/>
        </w:rPr>
        <w:t>, 35, 467–483.</w:t>
      </w:r>
    </w:p>
    <w:p w14:paraId="0D9530E1" w14:textId="77777777" w:rsidR="00844433" w:rsidRPr="00382DF1" w:rsidRDefault="00844433" w:rsidP="00844433">
      <w:pPr>
        <w:jc w:val="both"/>
        <w:rPr>
          <w:lang w:val="en-US"/>
        </w:rPr>
      </w:pPr>
      <w:r w:rsidRPr="00382DF1">
        <w:rPr>
          <w:lang w:val="en-US"/>
        </w:rPr>
        <w:t xml:space="preserve">Cavalleri, J.-M. V., Korbacska-Kutasi, O., Leblond, A., Paillot, R., Pusterla, N., Steinmann, E. &amp; Tomlinson, J. (2022). </w:t>
      </w:r>
      <w:r w:rsidRPr="00382DF1">
        <w:rPr>
          <w:i/>
          <w:iCs/>
          <w:lang w:val="en-US"/>
        </w:rPr>
        <w:t xml:space="preserve">European College of Equine Internal Medicine consensus statement on </w:t>
      </w:r>
      <w:r w:rsidRPr="00382DF1">
        <w:rPr>
          <w:i/>
          <w:iCs/>
          <w:lang w:val="en-US"/>
        </w:rPr>
        <w:lastRenderedPageBreak/>
        <w:t>equine Flaviviridae infections in Europe.</w:t>
      </w:r>
      <w:r w:rsidRPr="00382DF1">
        <w:rPr>
          <w:lang w:val="en-US"/>
        </w:rPr>
        <w:t xml:space="preserve"> </w:t>
      </w:r>
      <w:r w:rsidRPr="00382DF1">
        <w:rPr>
          <w:i/>
          <w:iCs/>
          <w:lang w:val="en-US"/>
        </w:rPr>
        <w:t>Journal of Veterinary Internal Medicine</w:t>
      </w:r>
      <w:r w:rsidRPr="00382DF1">
        <w:rPr>
          <w:lang w:val="en-US"/>
        </w:rPr>
        <w:t>, 36(6), 1858–1871.</w:t>
      </w:r>
    </w:p>
    <w:p w14:paraId="2F80D79E" w14:textId="77777777" w:rsidR="00844433" w:rsidRPr="00382DF1" w:rsidRDefault="00844433" w:rsidP="00844433">
      <w:pPr>
        <w:jc w:val="both"/>
        <w:rPr>
          <w:lang w:val="en-US"/>
        </w:rPr>
      </w:pPr>
      <w:r w:rsidRPr="00382DF1">
        <w:rPr>
          <w:lang w:val="en-US"/>
        </w:rPr>
        <w:t xml:space="preserve">Chaintoutis, S. C., Diakakis, N., Polizopoulou, Z. S. &amp; Dovas, C. I. (2025). </w:t>
      </w:r>
      <w:r w:rsidRPr="00382DF1">
        <w:rPr>
          <w:i/>
          <w:iCs/>
          <w:lang w:val="en-US"/>
        </w:rPr>
        <w:t>Serum protein electrophoretic profile changes in West Nile virus-naturally infected horses</w:t>
      </w:r>
      <w:r w:rsidRPr="00382DF1">
        <w:rPr>
          <w:lang w:val="en-US"/>
        </w:rPr>
        <w:t xml:space="preserve">. </w:t>
      </w:r>
      <w:r w:rsidRPr="00382DF1">
        <w:rPr>
          <w:i/>
          <w:iCs/>
          <w:lang w:val="en-US"/>
        </w:rPr>
        <w:t>Journal of Equine Veterinary Science</w:t>
      </w:r>
      <w:r w:rsidRPr="00382DF1">
        <w:rPr>
          <w:lang w:val="en-US"/>
        </w:rPr>
        <w:t>, 144.</w:t>
      </w:r>
    </w:p>
    <w:p w14:paraId="7CDCA4DB" w14:textId="77777777" w:rsidR="00844433" w:rsidRPr="00382DF1" w:rsidRDefault="00844433" w:rsidP="00844433">
      <w:pPr>
        <w:jc w:val="both"/>
        <w:rPr>
          <w:lang w:val="fr-FR"/>
        </w:rPr>
      </w:pPr>
      <w:r w:rsidRPr="00382DF1">
        <w:rPr>
          <w:lang w:val="en-US"/>
        </w:rPr>
        <w:t>Chaintoutis, S. C., Gewehr, S., Mourelatos, S. &amp; Dovas, C. I. (2016).</w:t>
      </w:r>
      <w:r w:rsidRPr="00382DF1">
        <w:rPr>
          <w:i/>
          <w:iCs/>
          <w:lang w:val="en-US"/>
        </w:rPr>
        <w:t xml:space="preserve"> Serological monitoring of backyard chickens in Central Macedonia-Greece can detect low transmission of West Nile virus in the absence of human neuroinvasive disease cases. </w:t>
      </w:r>
      <w:r w:rsidRPr="00382DF1">
        <w:rPr>
          <w:i/>
          <w:iCs/>
          <w:lang w:val="fr-FR"/>
        </w:rPr>
        <w:t>Acta Tropica</w:t>
      </w:r>
      <w:r w:rsidRPr="00382DF1">
        <w:rPr>
          <w:lang w:val="fr-FR"/>
        </w:rPr>
        <w:t>, 163.</w:t>
      </w:r>
    </w:p>
    <w:p w14:paraId="37AD6B4E" w14:textId="77777777" w:rsidR="00844433" w:rsidRPr="00382DF1" w:rsidRDefault="00844433" w:rsidP="00844433">
      <w:pPr>
        <w:jc w:val="both"/>
        <w:rPr>
          <w:lang w:val="en-US"/>
        </w:rPr>
      </w:pPr>
      <w:r w:rsidRPr="00382DF1">
        <w:rPr>
          <w:lang w:val="fr-FR"/>
        </w:rPr>
        <w:t xml:space="preserve">Chaintoutis, S. C., Papa, A., Pervanidou, D. &amp; Dovas, C. I. (2019). </w:t>
      </w:r>
      <w:r w:rsidRPr="00382DF1">
        <w:rPr>
          <w:i/>
          <w:iCs/>
          <w:lang w:val="en-US"/>
        </w:rPr>
        <w:t>Evolutionary dynamics of lineage 2 West Nile virus in Europe, 2004–2018: Phylogeny, selection pressure and phylogeography</w:t>
      </w:r>
      <w:r w:rsidRPr="00382DF1">
        <w:rPr>
          <w:lang w:val="en-US"/>
        </w:rPr>
        <w:t xml:space="preserve">. </w:t>
      </w:r>
      <w:r w:rsidRPr="00382DF1">
        <w:rPr>
          <w:i/>
          <w:iCs/>
          <w:lang w:val="en-US"/>
        </w:rPr>
        <w:t>Molecular Phylogenetics and Evolution</w:t>
      </w:r>
      <w:r w:rsidRPr="00382DF1">
        <w:rPr>
          <w:lang w:val="en-US"/>
        </w:rPr>
        <w:t>, 141.</w:t>
      </w:r>
    </w:p>
    <w:p w14:paraId="12FA7205" w14:textId="77777777" w:rsidR="00844433" w:rsidRPr="00382DF1" w:rsidRDefault="00844433" w:rsidP="00844433">
      <w:pPr>
        <w:jc w:val="both"/>
        <w:rPr>
          <w:lang w:val="en-US"/>
        </w:rPr>
      </w:pPr>
      <w:r w:rsidRPr="00382DF1">
        <w:rPr>
          <w:lang w:val="en-US"/>
        </w:rPr>
        <w:t>European Centre for Disease Prevention and Control (ECDC) &amp; European Food Safety Authority (EFSA). (2025).</w:t>
      </w:r>
      <w:r w:rsidRPr="00382DF1">
        <w:rPr>
          <w:i/>
          <w:iCs/>
          <w:lang w:val="en-US"/>
        </w:rPr>
        <w:t xml:space="preserve"> Surveillance of West Nile virus infections in humans and animals in Europe, monthly report – data submitted up to 3 December 2025.</w:t>
      </w:r>
    </w:p>
    <w:p w14:paraId="2CF4E5C3" w14:textId="77777777" w:rsidR="00844433" w:rsidRPr="00382DF1" w:rsidRDefault="00844433" w:rsidP="00844433">
      <w:pPr>
        <w:jc w:val="both"/>
        <w:rPr>
          <w:lang w:val="en-US"/>
        </w:rPr>
      </w:pPr>
      <w:r w:rsidRPr="00382DF1">
        <w:rPr>
          <w:lang w:val="en-US"/>
        </w:rPr>
        <w:t xml:space="preserve">Ibrahim Abbas, Luigi Sedda, Fahad Ahmed, Hira Muqaddas, Alberto Alberti &amp; Antonio Varcasia. (2025). </w:t>
      </w:r>
      <w:r w:rsidRPr="00382DF1">
        <w:rPr>
          <w:i/>
          <w:iCs/>
          <w:lang w:val="en-US"/>
        </w:rPr>
        <w:t>Epidemiology and surveillance of West Nile virus in the Mediterranean Basin during 2010–2023: A systematic review</w:t>
      </w:r>
      <w:r w:rsidRPr="00382DF1">
        <w:rPr>
          <w:lang w:val="en-US"/>
        </w:rPr>
        <w:t xml:space="preserve">. </w:t>
      </w:r>
      <w:r w:rsidRPr="00382DF1">
        <w:rPr>
          <w:i/>
          <w:iCs/>
          <w:lang w:val="en-US"/>
        </w:rPr>
        <w:t>Current Research in Parasitology &amp; Vector-Borne Diseases</w:t>
      </w:r>
      <w:r w:rsidRPr="00382DF1">
        <w:rPr>
          <w:lang w:val="en-US"/>
        </w:rPr>
        <w:t>, 7.</w:t>
      </w:r>
    </w:p>
    <w:p w14:paraId="4A1F294E" w14:textId="77777777" w:rsidR="00844433" w:rsidRPr="00382DF1" w:rsidRDefault="00844433" w:rsidP="00844433">
      <w:pPr>
        <w:jc w:val="both"/>
        <w:rPr>
          <w:lang w:val="en-US"/>
        </w:rPr>
      </w:pPr>
      <w:r w:rsidRPr="00382DF1">
        <w:rPr>
          <w:lang w:val="en-US"/>
        </w:rPr>
        <w:t xml:space="preserve">Porter, M. B., Long, M. T., Getman, L. M., Giguère, S., MacKay, R. J., Lester, G. D., Alleman, A. R., Wamsley, H. L., Franklin, R. P., Jacks, S., Buergelt, C. D. &amp; Detrisac, C. J. (2001). </w:t>
      </w:r>
      <w:r w:rsidRPr="00382DF1">
        <w:rPr>
          <w:i/>
          <w:iCs/>
          <w:lang w:val="en-US"/>
        </w:rPr>
        <w:t>West Nile virus encephalomyelitis in horses: 46 cases</w:t>
      </w:r>
      <w:r w:rsidRPr="00382DF1">
        <w:rPr>
          <w:lang w:val="en-US"/>
        </w:rPr>
        <w:t xml:space="preserve">. </w:t>
      </w:r>
      <w:r w:rsidRPr="00382DF1">
        <w:rPr>
          <w:i/>
          <w:iCs/>
          <w:lang w:val="en-US"/>
        </w:rPr>
        <w:t>Journal of the American Veterinary Medical Association (JAVMA)</w:t>
      </w:r>
      <w:r w:rsidRPr="00382DF1">
        <w:rPr>
          <w:lang w:val="en-US"/>
        </w:rPr>
        <w:t>, 222(9).</w:t>
      </w:r>
    </w:p>
    <w:p w14:paraId="28806968" w14:textId="77777777" w:rsidR="00844433" w:rsidRPr="00382DF1" w:rsidRDefault="00844433" w:rsidP="00844433">
      <w:pPr>
        <w:jc w:val="both"/>
        <w:rPr>
          <w:lang w:val="en-US"/>
        </w:rPr>
      </w:pPr>
      <w:r w:rsidRPr="00382DF1">
        <w:rPr>
          <w:lang w:val="fr-FR"/>
        </w:rPr>
        <w:t xml:space="preserve">Pappa, S., Chaintoutis, S. C., Dovas, C. I. &amp; Papa, A. (2021). </w:t>
      </w:r>
      <w:r w:rsidRPr="00382DF1">
        <w:rPr>
          <w:i/>
          <w:iCs/>
          <w:lang w:val="en-US"/>
        </w:rPr>
        <w:t>PCR-based next-generation West Nile virus sequencing protocols.</w:t>
      </w:r>
      <w:r w:rsidRPr="00382DF1">
        <w:rPr>
          <w:lang w:val="en-US"/>
        </w:rPr>
        <w:t xml:space="preserve"> </w:t>
      </w:r>
      <w:r w:rsidRPr="00382DF1">
        <w:rPr>
          <w:i/>
          <w:iCs/>
          <w:lang w:val="en-US"/>
        </w:rPr>
        <w:t>Molecular and Cellular Probes</w:t>
      </w:r>
      <w:r w:rsidRPr="00382DF1">
        <w:rPr>
          <w:lang w:val="en-US"/>
        </w:rPr>
        <w:t>, 60.</w:t>
      </w:r>
    </w:p>
    <w:p w14:paraId="61588CFA" w14:textId="77777777" w:rsidR="00844433" w:rsidRPr="00382DF1" w:rsidRDefault="00844433" w:rsidP="00844433">
      <w:pPr>
        <w:jc w:val="both"/>
        <w:rPr>
          <w:lang w:val="en-US"/>
        </w:rPr>
      </w:pPr>
      <w:r w:rsidRPr="00382DF1">
        <w:rPr>
          <w:lang w:val="en-US"/>
        </w:rPr>
        <w:t xml:space="preserve">Samuel, M. A. &amp; Diamond, M. S. (2006). </w:t>
      </w:r>
      <w:r w:rsidRPr="00382DF1">
        <w:rPr>
          <w:i/>
          <w:iCs/>
          <w:lang w:val="en-US"/>
        </w:rPr>
        <w:t>Pathogenesis of West Nile virus infection: A balance between virulence, innate and adaptive immunity, and viral evasion. Journal of Virology</w:t>
      </w:r>
      <w:r w:rsidRPr="00382DF1">
        <w:rPr>
          <w:lang w:val="en-US"/>
        </w:rPr>
        <w:t>, 80, 9349–9360.</w:t>
      </w:r>
    </w:p>
    <w:p w14:paraId="1D2536A1" w14:textId="77777777" w:rsidR="00844433" w:rsidRPr="00382DF1" w:rsidRDefault="00844433" w:rsidP="00844433">
      <w:pPr>
        <w:jc w:val="both"/>
        <w:rPr>
          <w:lang w:val="en-US"/>
        </w:rPr>
      </w:pPr>
      <w:r w:rsidRPr="00382DF1">
        <w:rPr>
          <w:lang w:val="en-US"/>
        </w:rPr>
        <w:t xml:space="preserve">Tolnai, C., O’Sullivan, C., Lorincz, M., Karvouni, M., Ttenk, M., Marosi, A., Forgách, P., Paszerbovics, B., Wagenhoffer, Z. &amp; Kutasi, O. (2025). </w:t>
      </w:r>
      <w:r w:rsidRPr="00382DF1">
        <w:rPr>
          <w:i/>
          <w:iCs/>
          <w:lang w:val="en-US"/>
        </w:rPr>
        <w:t>Cellular immune response in horses after West Nile neuroinvasive disease</w:t>
      </w:r>
      <w:r w:rsidRPr="00382DF1">
        <w:rPr>
          <w:lang w:val="en-US"/>
        </w:rPr>
        <w:t xml:space="preserve">. </w:t>
      </w:r>
      <w:r w:rsidRPr="00382DF1">
        <w:rPr>
          <w:i/>
          <w:iCs/>
          <w:lang w:val="en-US"/>
        </w:rPr>
        <w:t>Animals</w:t>
      </w:r>
      <w:r w:rsidRPr="00382DF1">
        <w:rPr>
          <w:lang w:val="en-US"/>
        </w:rPr>
        <w:t>, 15(16).</w:t>
      </w:r>
    </w:p>
    <w:p w14:paraId="37AD6FDE" w14:textId="77777777" w:rsidR="00844433" w:rsidRPr="00382DF1" w:rsidRDefault="00844433" w:rsidP="00844433">
      <w:pPr>
        <w:jc w:val="both"/>
        <w:rPr>
          <w:lang w:val="en-US"/>
        </w:rPr>
      </w:pPr>
      <w:r w:rsidRPr="00382DF1">
        <w:rPr>
          <w:lang w:val="en-US"/>
        </w:rPr>
        <w:t xml:space="preserve">World Organisation for Animal Health. (2018). West Nile fever (Chapter 3.1.25). </w:t>
      </w:r>
      <w:r w:rsidRPr="00382DF1">
        <w:rPr>
          <w:i/>
          <w:iCs/>
          <w:lang w:val="en-US"/>
        </w:rPr>
        <w:t>In Manual of Diagnostic Tests and Vaccines for Terrestrial Animals (Terrestrial Manual)</w:t>
      </w:r>
      <w:r w:rsidRPr="00382DF1">
        <w:rPr>
          <w:lang w:val="en-US"/>
        </w:rPr>
        <w:t>.</w:t>
      </w:r>
    </w:p>
    <w:p w14:paraId="13A96607" w14:textId="77777777" w:rsidR="00844433" w:rsidRPr="00233C2F" w:rsidRDefault="00844433" w:rsidP="00844433">
      <w:pPr>
        <w:jc w:val="both"/>
        <w:rPr>
          <w:lang w:val="en-GB"/>
        </w:rPr>
      </w:pPr>
      <w:r w:rsidRPr="00382DF1">
        <w:rPr>
          <w:lang w:val="en-US"/>
        </w:rPr>
        <w:br/>
      </w:r>
    </w:p>
    <w:p w14:paraId="6F12AA95" w14:textId="77777777" w:rsidR="00844433" w:rsidRPr="00233C2F" w:rsidRDefault="00844433" w:rsidP="00844433">
      <w:pPr>
        <w:jc w:val="both"/>
        <w:rPr>
          <w:lang w:val="en-GB"/>
        </w:rPr>
      </w:pPr>
    </w:p>
    <w:p w14:paraId="089C0C1D" w14:textId="77777777" w:rsidR="00844433" w:rsidRPr="00233C2F" w:rsidRDefault="00844433" w:rsidP="00844433">
      <w:pPr>
        <w:jc w:val="both"/>
        <w:rPr>
          <w:lang w:val="en-GB"/>
        </w:rPr>
      </w:pPr>
    </w:p>
    <w:p w14:paraId="61E9BDF6" w14:textId="77777777" w:rsidR="00844433" w:rsidRPr="00233C2F" w:rsidRDefault="00844433" w:rsidP="00844433">
      <w:pPr>
        <w:jc w:val="both"/>
        <w:rPr>
          <w:lang w:val="en-GB"/>
        </w:rPr>
      </w:pPr>
    </w:p>
    <w:p w14:paraId="52F1F0B1" w14:textId="77777777" w:rsidR="00844433" w:rsidRPr="00233C2F" w:rsidRDefault="00844433" w:rsidP="00844433">
      <w:pPr>
        <w:jc w:val="both"/>
        <w:rPr>
          <w:lang w:val="en-GB"/>
        </w:rPr>
      </w:pPr>
    </w:p>
    <w:p w14:paraId="12A9CBE2" w14:textId="77777777" w:rsidR="00844433" w:rsidRPr="00233C2F" w:rsidRDefault="00844433" w:rsidP="00844433">
      <w:pPr>
        <w:jc w:val="both"/>
        <w:rPr>
          <w:lang w:val="en-GB"/>
        </w:rPr>
      </w:pPr>
    </w:p>
    <w:p w14:paraId="64BBCDDE" w14:textId="77777777" w:rsidR="00844433" w:rsidRPr="00844433" w:rsidRDefault="00844433" w:rsidP="00844433">
      <w:pPr>
        <w:jc w:val="both"/>
      </w:pPr>
      <w:r w:rsidRPr="00844433">
        <w:rPr>
          <w:b/>
          <w:bCs/>
        </w:rPr>
        <w:lastRenderedPageBreak/>
        <w:t>Ζωοανθρωπονόσοι στα Ιπποειδή και η Πρόληψή τους </w:t>
      </w:r>
    </w:p>
    <w:p w14:paraId="13D5A7C0" w14:textId="77777777" w:rsidR="00844433" w:rsidRPr="00844433" w:rsidRDefault="00844433" w:rsidP="00844433">
      <w:pPr>
        <w:jc w:val="both"/>
      </w:pPr>
      <w:r w:rsidRPr="00844433">
        <w:t>Γκίγκη Μαρία</w:t>
      </w:r>
      <w:r w:rsidRPr="00844433">
        <w:rPr>
          <w:vertAlign w:val="superscript"/>
        </w:rPr>
        <w:t>1</w:t>
      </w:r>
      <w:r w:rsidRPr="00844433">
        <w:t>, Θεοδωρίδης Στέλιος- Κωνσταντίνος</w:t>
      </w:r>
      <w:r w:rsidRPr="00844433">
        <w:rPr>
          <w:vertAlign w:val="superscript"/>
        </w:rPr>
        <w:t>1</w:t>
      </w:r>
      <w:r w:rsidRPr="00844433">
        <w:t>, Παπαγεωργίου Κωσταντίνος</w:t>
      </w:r>
      <w:r w:rsidRPr="00844433">
        <w:rPr>
          <w:vertAlign w:val="superscript"/>
        </w:rPr>
        <w:t>2</w:t>
      </w:r>
    </w:p>
    <w:p w14:paraId="06912C06" w14:textId="77777777" w:rsidR="00844433" w:rsidRPr="00844433" w:rsidRDefault="00844433">
      <w:pPr>
        <w:numPr>
          <w:ilvl w:val="0"/>
          <w:numId w:val="40"/>
        </w:numPr>
        <w:jc w:val="both"/>
      </w:pPr>
      <w:r w:rsidRPr="00844433">
        <w:t>Προπτυχιακός Φοιτητής/-τρια, Τμήμα Κτηνιατρικής, Σχολή Επιστημών Υγείας, Αριστοτέλειο Πανεπιστήμιο Θεσσαλονίκης</w:t>
      </w:r>
    </w:p>
    <w:p w14:paraId="0A52894C" w14:textId="77777777" w:rsidR="00844433" w:rsidRPr="00844433" w:rsidRDefault="00844433">
      <w:pPr>
        <w:numPr>
          <w:ilvl w:val="0"/>
          <w:numId w:val="40"/>
        </w:numPr>
        <w:jc w:val="both"/>
      </w:pPr>
      <w:r w:rsidRPr="00844433">
        <w:t>Επίκουρος Καθηγητής, Εργαστήριο Μικροβιολογίας και Λοιμωδών Νοσημάτων, Τμήμα Κτηνιατρικής, Σχολή Επιστημών Υγείας, Αριστοτέλειο Πανεπιστήμιο Θεσσαλονίκης</w:t>
      </w:r>
    </w:p>
    <w:p w14:paraId="1B69D50B" w14:textId="77777777" w:rsidR="00844433" w:rsidRPr="00844433" w:rsidRDefault="00844433" w:rsidP="00844433">
      <w:pPr>
        <w:jc w:val="both"/>
      </w:pPr>
    </w:p>
    <w:p w14:paraId="461ED5D2" w14:textId="77777777" w:rsidR="00844433" w:rsidRPr="00844433" w:rsidRDefault="00844433" w:rsidP="00844433">
      <w:pPr>
        <w:jc w:val="both"/>
      </w:pPr>
      <w:r w:rsidRPr="00844433">
        <w:rPr>
          <w:b/>
          <w:bCs/>
        </w:rPr>
        <w:t>Περίληψη</w:t>
      </w:r>
    </w:p>
    <w:p w14:paraId="27FDB66D" w14:textId="77777777" w:rsidR="00844433" w:rsidRPr="00844433" w:rsidRDefault="00844433" w:rsidP="00844433">
      <w:pPr>
        <w:jc w:val="both"/>
      </w:pPr>
      <w:r w:rsidRPr="00844433">
        <w:t>Οι ζωοανθρωπονόσοι αποτελούν σοβαρά νοσήματα για τη δημόσια υγεία και την κτηνιατρική πράξη, με τον ρόλο του κτηνίατρου στην πρόληψη και τον έλεγχο τους να είναι σημαντικός. Τα ιπποειδή, αν και δεν αποτελούν κύρια δεξαμενή παθογόνων, εντούτοις είναι δυνατόν να σχετίζονται με τη μετάδοση σημαντικών λοιμωδών παραγόντων στον άνθρωπο.</w:t>
      </w:r>
    </w:p>
    <w:p w14:paraId="4B4C44F8" w14:textId="77777777" w:rsidR="00844433" w:rsidRPr="00844433" w:rsidRDefault="00844433" w:rsidP="00844433">
      <w:pPr>
        <w:jc w:val="both"/>
      </w:pPr>
      <w:r w:rsidRPr="00844433">
        <w:t>Σκοπός της παρούσας εργασίας είναι η ανάδειξη των σημαντικότερων νοσημάτων των ιπποειδών που σχετίζονται με τη δημόσια υγεία σε παγκόσμιο επίπεδο, με έμφαση στα νοσήματα που έχουν ιδιαίτερη σημασία για την Ελλάδα, όπως η νόσος που προκαλείται από τον ιό του Δυτικού Νείλου. Επίσης, παρουσιάζονται τα κύρια μέτρα βιοασφάλειας που απαιτείται να εφαρμόζονται για τη μείωση του κινδύνου μετάδοσης τέτοιων παραγόντων.</w:t>
      </w:r>
    </w:p>
    <w:p w14:paraId="47FEC1F9" w14:textId="77777777" w:rsidR="00844433" w:rsidRDefault="00844433" w:rsidP="00844433">
      <w:pPr>
        <w:jc w:val="both"/>
      </w:pPr>
      <w:r w:rsidRPr="00844433">
        <w:t>Συμπερασματικά, οι ζωοανθρωπονόσοι των ιπποειδών, παρά τη σχετικά χαμηλή συχνότητα εμφάνισής τους, τη συστηματική υποδιάγνωσή τους και το μειωμένο ερευνητικό ενδιαφέρον, έχουν ιδιαίτερη σημασία για τη δημόσια υγεία. Επομένως, ο έλεγχος τους μέσω της επιτήρησης και της εφαρμογής των αναγκαίων μέτρων πρόληψης, κρίνεται απαραίτητος.</w:t>
      </w:r>
    </w:p>
    <w:p w14:paraId="5C27AAE9" w14:textId="77777777" w:rsidR="00844433" w:rsidRPr="00844433" w:rsidRDefault="00844433" w:rsidP="00844433">
      <w:pPr>
        <w:jc w:val="both"/>
      </w:pPr>
    </w:p>
    <w:p w14:paraId="13644C2B" w14:textId="77777777" w:rsidR="00844433" w:rsidRPr="00382DF1" w:rsidRDefault="00844433" w:rsidP="00844433">
      <w:pPr>
        <w:jc w:val="both"/>
        <w:rPr>
          <w:lang w:val="en-US"/>
        </w:rPr>
      </w:pPr>
      <w:r w:rsidRPr="00844433">
        <w:rPr>
          <w:b/>
          <w:bCs/>
        </w:rPr>
        <w:t>Βιβλιογραφία</w:t>
      </w:r>
    </w:p>
    <w:p w14:paraId="45C88670" w14:textId="78D48F3F" w:rsidR="00844433" w:rsidRPr="00233C2F" w:rsidRDefault="00844433" w:rsidP="00844433">
      <w:pPr>
        <w:jc w:val="both"/>
        <w:rPr>
          <w:lang w:val="en-GB"/>
        </w:rPr>
      </w:pPr>
      <w:r w:rsidRPr="00382DF1">
        <w:rPr>
          <w:lang w:val="en-US"/>
        </w:rPr>
        <w:t xml:space="preserve">Arshad, A., Reif, A. H., Cavalleri J.-M. V., &amp;amp; Desvars-Larrive A. (2025). </w:t>
      </w:r>
      <w:r w:rsidRPr="00382DF1">
        <w:rPr>
          <w:i/>
          <w:iCs/>
          <w:lang w:val="en-US"/>
        </w:rPr>
        <w:t>Zoonotic pathogens in equids in Central Europe: a systematic review.</w:t>
      </w:r>
      <w:r w:rsidRPr="00382DF1">
        <w:rPr>
          <w:lang w:val="en-US"/>
        </w:rPr>
        <w:t xml:space="preserve"> Springer Nature Link, 21, 451. </w:t>
      </w:r>
    </w:p>
    <w:p w14:paraId="2C38C6BB" w14:textId="0D886597" w:rsidR="00844433" w:rsidRPr="00233C2F" w:rsidRDefault="00844433" w:rsidP="00844433">
      <w:pPr>
        <w:jc w:val="both"/>
        <w:rPr>
          <w:lang w:val="en-GB"/>
        </w:rPr>
      </w:pPr>
      <w:r w:rsidRPr="00382DF1">
        <w:rPr>
          <w:lang w:val="en-US"/>
        </w:rPr>
        <w:t xml:space="preserve">Burgess, B. A. (2026). </w:t>
      </w:r>
      <w:r w:rsidRPr="00382DF1">
        <w:rPr>
          <w:i/>
          <w:iCs/>
          <w:lang w:val="en-US"/>
        </w:rPr>
        <w:t xml:space="preserve">Infectious Disease and Biosecurity. Emergency Triage of the Horse </w:t>
      </w:r>
      <w:r w:rsidRPr="00382DF1">
        <w:rPr>
          <w:lang w:val="en-US"/>
        </w:rPr>
        <w:t>(373-387). John Wiley &amp;amp; Sons, Inc.</w:t>
      </w:r>
    </w:p>
    <w:p w14:paraId="654C88B5" w14:textId="44AE1584" w:rsidR="00844433" w:rsidRPr="002617A2" w:rsidRDefault="00844433" w:rsidP="00844433">
      <w:pPr>
        <w:jc w:val="both"/>
        <w:rPr>
          <w:lang w:val="fr-FR"/>
        </w:rPr>
      </w:pPr>
      <w:r w:rsidRPr="00382DF1">
        <w:rPr>
          <w:lang w:val="en-US"/>
        </w:rPr>
        <w:t xml:space="preserve">Carminati M. (2023). </w:t>
      </w:r>
      <w:r w:rsidRPr="00382DF1">
        <w:rPr>
          <w:i/>
          <w:iCs/>
          <w:lang w:val="en-US"/>
        </w:rPr>
        <w:t xml:space="preserve">Surveillance plan proposal for early detection of zoonotic pathogens in Equidae </w:t>
      </w:r>
      <w:r w:rsidRPr="00382DF1">
        <w:rPr>
          <w:lang w:val="en-US"/>
        </w:rPr>
        <w:t xml:space="preserve">(horses, donkeys). </w:t>
      </w:r>
      <w:r w:rsidRPr="00382DF1">
        <w:rPr>
          <w:lang w:val="fr-FR"/>
        </w:rPr>
        <w:t>EFSA Supporting Publications, 20(2), EN-7854.</w:t>
      </w:r>
    </w:p>
    <w:p w14:paraId="442562A4" w14:textId="77777777" w:rsidR="00844433" w:rsidRPr="00382DF1" w:rsidRDefault="00844433" w:rsidP="00844433">
      <w:pPr>
        <w:jc w:val="both"/>
        <w:rPr>
          <w:lang w:val="en-US"/>
        </w:rPr>
      </w:pPr>
      <w:r w:rsidRPr="00382DF1">
        <w:rPr>
          <w:lang w:val="fr-FR"/>
        </w:rPr>
        <w:t>Cendejas, P. M., &amp;amp; Goodman, A. G. (2024).</w:t>
      </w:r>
      <w:r w:rsidRPr="00382DF1">
        <w:rPr>
          <w:i/>
          <w:iCs/>
          <w:lang w:val="fr-FR"/>
        </w:rPr>
        <w:t xml:space="preserve"> </w:t>
      </w:r>
      <w:r w:rsidRPr="00382DF1">
        <w:rPr>
          <w:i/>
          <w:iCs/>
          <w:lang w:val="en-US"/>
        </w:rPr>
        <w:t xml:space="preserve">Vaccination and control methods of West Nile virus infection in equids and humans. </w:t>
      </w:r>
      <w:r w:rsidRPr="00382DF1">
        <w:rPr>
          <w:lang w:val="en-US"/>
        </w:rPr>
        <w:t>Vaccines, 12(5), 485.</w:t>
      </w:r>
    </w:p>
    <w:p w14:paraId="69461414" w14:textId="77777777" w:rsidR="00844433" w:rsidRPr="00382DF1" w:rsidRDefault="00844433" w:rsidP="00844433">
      <w:pPr>
        <w:jc w:val="both"/>
        <w:rPr>
          <w:lang w:val="en-US"/>
        </w:rPr>
      </w:pPr>
      <w:r w:rsidRPr="00382DF1">
        <w:rPr>
          <w:lang w:val="en-US"/>
        </w:rPr>
        <w:t xml:space="preserve">Colville, J. L., &amp;amp; Berryhill D. L. (2007). </w:t>
      </w:r>
      <w:r w:rsidRPr="00382DF1">
        <w:rPr>
          <w:i/>
          <w:iCs/>
          <w:lang w:val="en-US"/>
        </w:rPr>
        <w:t xml:space="preserve">Handbook of zoonoses: Identification and prevention. </w:t>
      </w:r>
      <w:r w:rsidRPr="00382DF1">
        <w:rPr>
          <w:lang w:val="en-US"/>
        </w:rPr>
        <w:t>Mosby Elsevier.</w:t>
      </w:r>
    </w:p>
    <w:p w14:paraId="407D2FB0" w14:textId="77777777" w:rsidR="00844433" w:rsidRPr="00382DF1" w:rsidRDefault="00844433" w:rsidP="00844433">
      <w:pPr>
        <w:jc w:val="both"/>
        <w:rPr>
          <w:lang w:val="en-US"/>
        </w:rPr>
      </w:pPr>
      <w:r w:rsidRPr="00382DF1">
        <w:rPr>
          <w:lang w:val="en-US"/>
        </w:rPr>
        <w:t xml:space="preserve">Corrin, T., Ackford, R., Mascarenhas, M., Greig, J., &amp;amp; Waddell, L. A. (2021). </w:t>
      </w:r>
      <w:r w:rsidRPr="00382DF1">
        <w:rPr>
          <w:i/>
          <w:iCs/>
          <w:lang w:val="en-US"/>
        </w:rPr>
        <w:t>Eastern equine encephalitis virus: a scoping review of the global evidence. Vector-Borne and Zoonotic Diseases, 21(5), 305-320. 7. Crew, C.R., Brennan, M.L. &amp;amp; Ireland,  J.L. (2023). Implementation of biosecurity on equestrian premises: a narrative overview</w:t>
      </w:r>
      <w:r w:rsidRPr="00382DF1">
        <w:rPr>
          <w:lang w:val="en-US"/>
        </w:rPr>
        <w:t>. The Veterinary Journal, 292, 105950.  </w:t>
      </w:r>
    </w:p>
    <w:p w14:paraId="1D9B4669" w14:textId="77777777" w:rsidR="00844433" w:rsidRPr="00382DF1" w:rsidRDefault="00844433" w:rsidP="00844433">
      <w:pPr>
        <w:jc w:val="both"/>
        <w:rPr>
          <w:lang w:val="en-US"/>
        </w:rPr>
      </w:pPr>
      <w:r w:rsidRPr="00382DF1">
        <w:rPr>
          <w:lang w:val="fr-FR"/>
        </w:rPr>
        <w:lastRenderedPageBreak/>
        <w:t xml:space="preserve">Díaz, E. A., Arroyo, G., Sáenz, C., Mena, L., &amp;amp; Barragán, V. (2023). </w:t>
      </w:r>
      <w:r w:rsidRPr="00382DF1">
        <w:rPr>
          <w:i/>
          <w:iCs/>
          <w:lang w:val="en-US"/>
        </w:rPr>
        <w:t>Leptospirosis in horses: sentinels for a neglected zoonosis? A systematic review</w:t>
      </w:r>
      <w:r w:rsidRPr="00382DF1">
        <w:rPr>
          <w:lang w:val="en-US"/>
        </w:rPr>
        <w:t>. Veterinary World, 16(10), 2110-2119.</w:t>
      </w:r>
    </w:p>
    <w:p w14:paraId="68E8EAF5" w14:textId="77777777" w:rsidR="00844433" w:rsidRPr="00382DF1" w:rsidRDefault="00844433" w:rsidP="00844433">
      <w:pPr>
        <w:jc w:val="both"/>
        <w:rPr>
          <w:lang w:val="en-US"/>
        </w:rPr>
      </w:pPr>
      <w:r w:rsidRPr="00382DF1">
        <w:rPr>
          <w:lang w:val="en-US"/>
        </w:rPr>
        <w:t>Dwyer, R. M. (2015). Equine zoonoses:</w:t>
      </w:r>
      <w:r w:rsidRPr="00382DF1">
        <w:rPr>
          <w:i/>
          <w:iCs/>
          <w:lang w:val="en-US"/>
        </w:rPr>
        <w:t xml:space="preserve"> Consequences of horse-human interactions.In A. Sing (Ed.), Zoonoses: Infections affecting humans and animals: Focus on public health aspects </w:t>
      </w:r>
      <w:r w:rsidRPr="00382DF1">
        <w:rPr>
          <w:lang w:val="en-US"/>
        </w:rPr>
        <w:t>(643-657). Springer.</w:t>
      </w:r>
    </w:p>
    <w:p w14:paraId="4A8A976A" w14:textId="77777777" w:rsidR="00844433" w:rsidRPr="00382DF1" w:rsidRDefault="00844433" w:rsidP="00844433">
      <w:pPr>
        <w:jc w:val="both"/>
        <w:rPr>
          <w:lang w:val="en-US"/>
        </w:rPr>
      </w:pPr>
      <w:r w:rsidRPr="00382DF1">
        <w:rPr>
          <w:lang w:val="en-US"/>
        </w:rPr>
        <w:t xml:space="preserve">European Center for Disease Prevention and Control. (2024). </w:t>
      </w:r>
      <w:r w:rsidRPr="00382DF1">
        <w:rPr>
          <w:i/>
          <w:iCs/>
          <w:lang w:val="en-US"/>
        </w:rPr>
        <w:t>Communicable disease threats report,</w:t>
      </w:r>
      <w:r w:rsidRPr="00382DF1">
        <w:rPr>
          <w:lang w:val="en-US"/>
        </w:rPr>
        <w:t xml:space="preserve"> week 5, 2024. 10-11.</w:t>
      </w:r>
    </w:p>
    <w:p w14:paraId="41DF9240" w14:textId="77777777" w:rsidR="00844433" w:rsidRPr="00382DF1" w:rsidRDefault="00844433" w:rsidP="00844433">
      <w:pPr>
        <w:jc w:val="both"/>
        <w:rPr>
          <w:lang w:val="en-US"/>
        </w:rPr>
      </w:pPr>
      <w:r w:rsidRPr="00382DF1">
        <w:rPr>
          <w:lang w:val="en-US"/>
        </w:rPr>
        <w:t xml:space="preserve">European Center for Disease Prevention and Control. (2024, February 9). </w:t>
      </w:r>
      <w:r w:rsidRPr="00382DF1">
        <w:rPr>
          <w:i/>
          <w:iCs/>
          <w:lang w:val="en-US"/>
        </w:rPr>
        <w:t>Communicable disease threats report</w:t>
      </w:r>
      <w:r w:rsidRPr="00382DF1">
        <w:rPr>
          <w:lang w:val="en-US"/>
        </w:rPr>
        <w:t>, week 6, 2024,14-15.</w:t>
      </w:r>
    </w:p>
    <w:p w14:paraId="38FA8BCC" w14:textId="77777777" w:rsidR="00844433" w:rsidRPr="00382DF1" w:rsidRDefault="00844433" w:rsidP="00844433">
      <w:pPr>
        <w:jc w:val="both"/>
        <w:rPr>
          <w:lang w:val="en-US"/>
        </w:rPr>
      </w:pPr>
      <w:r w:rsidRPr="00382DF1">
        <w:rPr>
          <w:lang w:val="en-US"/>
        </w:rPr>
        <w:t>European Center for Disease Prevention and Control. (2019, December 12). S</w:t>
      </w:r>
      <w:r w:rsidRPr="00382DF1">
        <w:rPr>
          <w:i/>
          <w:iCs/>
          <w:lang w:val="en-US"/>
        </w:rPr>
        <w:t>almonella the most common cause of foodborne outbreaks in the European Union.</w:t>
      </w:r>
    </w:p>
    <w:p w14:paraId="7ED1F62F" w14:textId="77777777" w:rsidR="00844433" w:rsidRPr="00382DF1" w:rsidRDefault="00844433" w:rsidP="00844433">
      <w:pPr>
        <w:jc w:val="both"/>
        <w:rPr>
          <w:lang w:val="en-US"/>
        </w:rPr>
      </w:pPr>
      <w:r w:rsidRPr="00382DF1">
        <w:rPr>
          <w:lang w:val="en-US"/>
        </w:rPr>
        <w:t> Haseeb, A., Bashir, M. A., Zain Ul Abedin, M., &amp;amp; Sarfraz, K. U.  (2020). E</w:t>
      </w:r>
      <w:r w:rsidRPr="00382DF1">
        <w:rPr>
          <w:i/>
          <w:iCs/>
          <w:lang w:val="en-US"/>
        </w:rPr>
        <w:t>quine zoonotic diseases: a review</w:t>
      </w:r>
      <w:r w:rsidRPr="00382DF1">
        <w:rPr>
          <w:lang w:val="en-US"/>
        </w:rPr>
        <w:t>. Journal of Global Innovations in Agricultural and Social Sciences, 8(4), 223-226.</w:t>
      </w:r>
    </w:p>
    <w:p w14:paraId="57DE6A8D" w14:textId="77777777" w:rsidR="00844433" w:rsidRPr="00382DF1" w:rsidRDefault="00844433" w:rsidP="00844433">
      <w:pPr>
        <w:jc w:val="both"/>
        <w:rPr>
          <w:lang w:val="en-US"/>
        </w:rPr>
      </w:pPr>
      <w:r w:rsidRPr="00382DF1">
        <w:rPr>
          <w:lang w:val="en-US"/>
        </w:rPr>
        <w:t>Khusro, A., Aarti, C., Pliego, A. B., &amp;amp; Cipriano-Salazar, M. (2020).</w:t>
      </w:r>
      <w:r w:rsidRPr="00382DF1">
        <w:rPr>
          <w:i/>
          <w:iCs/>
          <w:lang w:val="en-US"/>
        </w:rPr>
        <w:t xml:space="preserve"> Hendra virus infection in horses: a review on emerging mystery paramyxoviru</w:t>
      </w:r>
      <w:r w:rsidRPr="00382DF1">
        <w:rPr>
          <w:lang w:val="en-US"/>
        </w:rPr>
        <w:t>s. Journal of Equine Veterinary Science, 91, 103149.</w:t>
      </w:r>
    </w:p>
    <w:p w14:paraId="0AAA7845" w14:textId="77777777" w:rsidR="00844433" w:rsidRPr="00382DF1" w:rsidRDefault="00844433" w:rsidP="00844433">
      <w:pPr>
        <w:jc w:val="both"/>
        <w:rPr>
          <w:lang w:val="en-US"/>
        </w:rPr>
      </w:pPr>
      <w:r w:rsidRPr="00382DF1">
        <w:rPr>
          <w:lang w:val="en-US"/>
        </w:rPr>
        <w:t xml:space="preserve"> Khurana, S. K., Dhama, K., Prasad, M., Karthik, K., &amp;amp; Tiwari, </w:t>
      </w:r>
      <w:r w:rsidRPr="00844433">
        <w:t>Ρ</w:t>
      </w:r>
      <w:r w:rsidRPr="00382DF1">
        <w:rPr>
          <w:lang w:val="en-US"/>
        </w:rPr>
        <w:t xml:space="preserve">. (2015). </w:t>
      </w:r>
      <w:r w:rsidRPr="00382DF1">
        <w:rPr>
          <w:i/>
          <w:iCs/>
          <w:lang w:val="en-US"/>
        </w:rPr>
        <w:t>Zoonotic pathogens transmitted from equines: Diagnosis and control.</w:t>
      </w:r>
      <w:r w:rsidRPr="00382DF1">
        <w:rPr>
          <w:lang w:val="en-US"/>
        </w:rPr>
        <w:t xml:space="preserve"> Advances in Animal and Veterinary Sciences, 3(2), 32-53.</w:t>
      </w:r>
    </w:p>
    <w:p w14:paraId="48D4A8C3" w14:textId="77777777" w:rsidR="00844433" w:rsidRPr="00382DF1" w:rsidRDefault="00844433" w:rsidP="00844433">
      <w:pPr>
        <w:jc w:val="both"/>
        <w:rPr>
          <w:lang w:val="en-US"/>
        </w:rPr>
      </w:pPr>
      <w:r w:rsidRPr="00382DF1">
        <w:rPr>
          <w:lang w:val="en-US"/>
        </w:rPr>
        <w:t>Koch, R. T., Erazo, D., Folly, A. J.,  Johnson, N., Dellicour, S., Grubaugh, N. D., &amp;amp; Vogels, C. B.F.  (2024). G</w:t>
      </w:r>
      <w:r w:rsidRPr="00382DF1">
        <w:rPr>
          <w:i/>
          <w:iCs/>
          <w:lang w:val="en-US"/>
        </w:rPr>
        <w:t xml:space="preserve">enomic epidemiology of West Nile virus in Europe. </w:t>
      </w:r>
      <w:r w:rsidRPr="00382DF1">
        <w:rPr>
          <w:lang w:val="en-US"/>
        </w:rPr>
        <w:t>One Health,18, 100664. </w:t>
      </w:r>
    </w:p>
    <w:p w14:paraId="215B1570" w14:textId="77777777" w:rsidR="00844433" w:rsidRPr="00382DF1" w:rsidRDefault="00844433" w:rsidP="00844433">
      <w:pPr>
        <w:jc w:val="both"/>
        <w:rPr>
          <w:lang w:val="en-US"/>
        </w:rPr>
      </w:pPr>
      <w:r w:rsidRPr="00382DF1">
        <w:rPr>
          <w:lang w:val="en-US"/>
        </w:rPr>
        <w:t>Kumar, B., Manuja, A., Gulati, B. R., Virmani, N., &amp; amp; Tripathi, B. N. (2018).</w:t>
      </w:r>
      <w:r w:rsidRPr="00382DF1">
        <w:rPr>
          <w:i/>
          <w:iCs/>
          <w:lang w:val="en-US"/>
        </w:rPr>
        <w:t xml:space="preserve"> Zoonotic viral diseases of equines and their impact on human and animal health. </w:t>
      </w:r>
      <w:r w:rsidRPr="00382DF1">
        <w:rPr>
          <w:lang w:val="en-US"/>
        </w:rPr>
        <w:t>The Open Virology Journal, 12(Suppl-2, M5), 80-98.</w:t>
      </w:r>
    </w:p>
    <w:p w14:paraId="3E521FF0" w14:textId="77777777" w:rsidR="00844433" w:rsidRPr="00382DF1" w:rsidRDefault="00844433" w:rsidP="00844433">
      <w:pPr>
        <w:jc w:val="both"/>
        <w:rPr>
          <w:lang w:val="en-US"/>
        </w:rPr>
      </w:pPr>
      <w:r w:rsidRPr="00382DF1">
        <w:rPr>
          <w:lang w:val="en-US"/>
        </w:rPr>
        <w:t xml:space="preserve">Layton, D. S., Choudhary, A., &amp;amp; Bean A. G.D. (2017). </w:t>
      </w:r>
      <w:r w:rsidRPr="00382DF1">
        <w:rPr>
          <w:i/>
          <w:iCs/>
          <w:lang w:val="en-US"/>
        </w:rPr>
        <w:t>Breaking the chain of zoonoses through biosecurity in livestock</w:t>
      </w:r>
      <w:r w:rsidRPr="00382DF1">
        <w:rPr>
          <w:lang w:val="en-US"/>
        </w:rPr>
        <w:t>. Vaccine, 35(44), 5967-5973.</w:t>
      </w:r>
    </w:p>
    <w:p w14:paraId="6FA00124" w14:textId="77777777" w:rsidR="00844433" w:rsidRPr="00382DF1" w:rsidRDefault="00844433" w:rsidP="00844433">
      <w:pPr>
        <w:jc w:val="both"/>
        <w:rPr>
          <w:lang w:val="en-US"/>
        </w:rPr>
      </w:pPr>
      <w:r w:rsidRPr="00382DF1">
        <w:rPr>
          <w:lang w:val="en-US"/>
        </w:rPr>
        <w:t xml:space="preserve">Jack, A., Oladunni, F.S., Gonchigoo, B., Chambers, T.M., &amp;amp; Gray, G. C. (2020). </w:t>
      </w:r>
      <w:r w:rsidRPr="00382DF1">
        <w:rPr>
          <w:i/>
          <w:iCs/>
          <w:lang w:val="en-US"/>
        </w:rPr>
        <w:t>zoonotic diseases from horses: A systematic review.</w:t>
      </w:r>
      <w:r w:rsidRPr="00382DF1">
        <w:rPr>
          <w:lang w:val="en-US"/>
        </w:rPr>
        <w:t xml:space="preserve"> Vector-Borne and Zoonotic Diseases, 20(7), 484-495.</w:t>
      </w:r>
    </w:p>
    <w:p w14:paraId="6858C2CE" w14:textId="77777777" w:rsidR="00844433" w:rsidRPr="00382DF1" w:rsidRDefault="00844433" w:rsidP="00844433">
      <w:pPr>
        <w:jc w:val="both"/>
        <w:rPr>
          <w:lang w:val="en-US"/>
        </w:rPr>
      </w:pPr>
      <w:r w:rsidRPr="00382DF1">
        <w:rPr>
          <w:lang w:val="en-US"/>
        </w:rPr>
        <w:t xml:space="preserve">Schwarz, E. R., &amp;amp; Long M. T.  (2023). </w:t>
      </w:r>
      <w:r w:rsidRPr="00382DF1">
        <w:rPr>
          <w:i/>
          <w:iCs/>
          <w:lang w:val="en-US"/>
        </w:rPr>
        <w:t>Comparison of West Nile virus disease in humans and horses: exploiting similarities for enhancing syndromic surveillance. Viruses,</w:t>
      </w:r>
      <w:r w:rsidRPr="00382DF1">
        <w:rPr>
          <w:lang w:val="en-US"/>
        </w:rPr>
        <w:t xml:space="preserve"> 15(6), 1230.</w:t>
      </w:r>
    </w:p>
    <w:p w14:paraId="30363513" w14:textId="77777777" w:rsidR="00844433" w:rsidRPr="00382DF1" w:rsidRDefault="00844433" w:rsidP="00844433">
      <w:pPr>
        <w:jc w:val="both"/>
        <w:rPr>
          <w:lang w:val="en-US"/>
        </w:rPr>
      </w:pPr>
      <w:r w:rsidRPr="00382DF1">
        <w:rPr>
          <w:lang w:val="en-US"/>
        </w:rPr>
        <w:t xml:space="preserve">Sellon, D. C., &amp;amp; Long, M. T. (2013). </w:t>
      </w:r>
      <w:r w:rsidRPr="00382DF1">
        <w:rPr>
          <w:i/>
          <w:iCs/>
          <w:lang w:val="en-US"/>
        </w:rPr>
        <w:t>Equine infectious diseases</w:t>
      </w:r>
      <w:r w:rsidRPr="00382DF1">
        <w:rPr>
          <w:lang w:val="en-US"/>
        </w:rPr>
        <w:t xml:space="preserve"> (2), (383-384). Elsevier Health Sciences. </w:t>
      </w:r>
    </w:p>
    <w:p w14:paraId="2A9EE462" w14:textId="77777777" w:rsidR="00844433" w:rsidRPr="00844433" w:rsidRDefault="00844433" w:rsidP="00844433">
      <w:pPr>
        <w:jc w:val="both"/>
      </w:pPr>
      <w:r w:rsidRPr="00844433">
        <w:t xml:space="preserve">Αρσένος, Γ. Ι. (2014). </w:t>
      </w:r>
      <w:r w:rsidRPr="00844433">
        <w:rPr>
          <w:i/>
          <w:iCs/>
        </w:rPr>
        <w:t>Ιπποτροφία</w:t>
      </w:r>
      <w:r w:rsidRPr="00844433">
        <w:t>. Θεσσαλονίκη: Εκδόσεις Τζιόλα</w:t>
      </w:r>
    </w:p>
    <w:p w14:paraId="2CAC4C35" w14:textId="77777777" w:rsidR="00844433" w:rsidRPr="00B020FA" w:rsidRDefault="00844433" w:rsidP="00844433">
      <w:pPr>
        <w:jc w:val="both"/>
      </w:pPr>
      <w:r w:rsidRPr="00844433">
        <w:t xml:space="preserve">Παπαδογιαννάκης, Ε.Ι. (2009). </w:t>
      </w:r>
      <w:r w:rsidRPr="00844433">
        <w:rPr>
          <w:i/>
          <w:iCs/>
        </w:rPr>
        <w:t>Ζωοανθρωπονόσοι: Νοσήματα μεταδιδόμενα από τα ζώα στον άνθρωπο και αντίστροφ</w:t>
      </w:r>
      <w:r w:rsidRPr="00844433">
        <w:t>α (zoonoses). Mendor</w:t>
      </w:r>
      <w:r w:rsidRPr="00B020FA">
        <w:t xml:space="preserve"> </w:t>
      </w:r>
      <w:r w:rsidRPr="00844433">
        <w:t>editions</w:t>
      </w:r>
      <w:r w:rsidRPr="00B020FA">
        <w:t xml:space="preserve"> </w:t>
      </w:r>
      <w:r w:rsidRPr="00844433">
        <w:t>S</w:t>
      </w:r>
      <w:r w:rsidRPr="00B020FA">
        <w:t>.</w:t>
      </w:r>
      <w:r w:rsidRPr="00844433">
        <w:t>A</w:t>
      </w:r>
      <w:r w:rsidRPr="00B020FA">
        <w:t>.</w:t>
      </w:r>
    </w:p>
    <w:p w14:paraId="0740D808" w14:textId="438CE9CF" w:rsidR="00B020FA" w:rsidRPr="00233C2F" w:rsidRDefault="00844433" w:rsidP="00B020FA">
      <w:r w:rsidRPr="00B020FA">
        <w:br/>
      </w:r>
      <w:r w:rsidRPr="00B020FA">
        <w:br/>
      </w:r>
      <w:r w:rsidRPr="00B020FA">
        <w:br/>
      </w:r>
      <w:r w:rsidR="00B020FA" w:rsidRPr="00B020FA">
        <w:rPr>
          <w:b/>
          <w:bCs/>
        </w:rPr>
        <w:lastRenderedPageBreak/>
        <w:t>Κλινική Προσέγγιση Μάζας με Πιθανή Κακοήθη Αιτιολογία σε Σκύλο (Ύποπτο Αιμαγγειοσάρκωμα)</w:t>
      </w:r>
    </w:p>
    <w:p w14:paraId="5DAC517E" w14:textId="77777777" w:rsidR="00B020FA" w:rsidRPr="00B020FA" w:rsidRDefault="00B020FA" w:rsidP="00B020FA">
      <w:pPr>
        <w:jc w:val="both"/>
      </w:pPr>
      <w:r w:rsidRPr="00B020FA">
        <w:t>Χριστοδούλου Γρηγορία Άννα</w:t>
      </w:r>
      <w:r w:rsidRPr="00B020FA">
        <w:rPr>
          <w:vertAlign w:val="superscript"/>
        </w:rPr>
        <w:t>1</w:t>
      </w:r>
      <w:r w:rsidRPr="00B020FA">
        <w:t>, Χατζής Εμμανουήλ</w:t>
      </w:r>
      <w:r w:rsidRPr="00B020FA">
        <w:rPr>
          <w:vertAlign w:val="superscript"/>
        </w:rPr>
        <w:t xml:space="preserve">2 </w:t>
      </w:r>
      <w:r w:rsidRPr="00B020FA">
        <w:t>, Μπαρμπαγιάννη Μαριάνα</w:t>
      </w:r>
      <w:r w:rsidRPr="00B020FA">
        <w:rPr>
          <w:vertAlign w:val="superscript"/>
        </w:rPr>
        <w:t>3</w:t>
      </w:r>
    </w:p>
    <w:p w14:paraId="36BF3D85" w14:textId="77777777" w:rsidR="00B020FA" w:rsidRPr="00B020FA" w:rsidRDefault="00B020FA">
      <w:pPr>
        <w:numPr>
          <w:ilvl w:val="0"/>
          <w:numId w:val="41"/>
        </w:numPr>
        <w:jc w:val="both"/>
      </w:pPr>
      <w:r w:rsidRPr="00B020FA">
        <w:t>Προπτυχιακή Φοιτήτρια, Τμήμα Κτηνιατρικής, Σχολή Επιστημών Υγείας, Πανεπιστήμιο Θεσσαλίας</w:t>
      </w:r>
    </w:p>
    <w:p w14:paraId="61A7DCA0" w14:textId="77777777" w:rsidR="00B020FA" w:rsidRPr="00B020FA" w:rsidRDefault="00B020FA">
      <w:pPr>
        <w:numPr>
          <w:ilvl w:val="0"/>
          <w:numId w:val="41"/>
        </w:numPr>
        <w:jc w:val="both"/>
      </w:pPr>
      <w:r w:rsidRPr="00B020FA">
        <w:t>Μεταδιδακτορικός Διδάσκων, Τμήμα Κτηνιατρικής, Σχολή Επιστημών Υγείας, Πανεπιστήμιο Θεσσαλίας</w:t>
      </w:r>
    </w:p>
    <w:p w14:paraId="7FC7C0A3" w14:textId="77777777" w:rsidR="00B020FA" w:rsidRPr="00B020FA" w:rsidRDefault="00B020FA">
      <w:pPr>
        <w:numPr>
          <w:ilvl w:val="0"/>
          <w:numId w:val="41"/>
        </w:numPr>
        <w:jc w:val="both"/>
      </w:pPr>
      <w:r w:rsidRPr="00B020FA">
        <w:t>Αναπληρώτρια Καθηγήτρια Χειρουργικής, Τμήμα Κτηνιατρικής, Σχολή Επιστημών Υγείας, Πανεπιστήμιο Θεσσαλίας</w:t>
      </w:r>
    </w:p>
    <w:p w14:paraId="2D36173D" w14:textId="77777777" w:rsidR="00B020FA" w:rsidRPr="00B020FA" w:rsidRDefault="00B020FA" w:rsidP="00B020FA">
      <w:pPr>
        <w:jc w:val="both"/>
      </w:pPr>
    </w:p>
    <w:p w14:paraId="0F2659E7" w14:textId="77777777" w:rsidR="00B020FA" w:rsidRPr="00B020FA" w:rsidRDefault="00B020FA" w:rsidP="00B020FA">
      <w:pPr>
        <w:jc w:val="both"/>
      </w:pPr>
      <w:r w:rsidRPr="00B020FA">
        <w:rPr>
          <w:b/>
          <w:bCs/>
        </w:rPr>
        <w:t>Περίληψη</w:t>
      </w:r>
    </w:p>
    <w:p w14:paraId="4D53A51F" w14:textId="77777777" w:rsidR="00B020FA" w:rsidRPr="00B020FA" w:rsidRDefault="00B020FA" w:rsidP="00B020FA">
      <w:pPr>
        <w:jc w:val="both"/>
      </w:pPr>
      <w:r w:rsidRPr="00B020FA">
        <w:t> Το παρόν κλινικό περιστατικό αφορά το αιμαγγειοσάρκωμα, ένα από τα συχνότερα σε εμφάνιση κακοήθη νεοπλάσματα του σκύλου. Συγκεκριμένα, το περιστατικό αφορά έναν ηλικιωμένο σκύλο που μεταφέρθηκε στην κλινική έπειτα από παρατήρηση μάζας στο δέρμα της περιοχής δίπλα από το στέρνο από τον ιδιοκτήτη. Λήφθηκε δείγμα από την μάζα για κυτταρολογική εξέταση (FNA) και στο επίχρισμα βρέθηκαν νεοπλασματικά κύτταρα με στοιχεία κακοήθειας, γεγονός που έκρινε απαραίτητη την διενέργεια αιματολογικών και βιοχημικών εξετάσεων. Τα αποτελέσματα έδειξαν αυξημένα ηπατικά ένζυμα, ενώ παράλληλα με την κλινική εξέταση διαπιστώθηκε κοιλιακό άλγος και διόγκωση ακαθόριστης δομής ενδοκοιλιακά κατά την ψηλάφηση. Με βάση τα παραπάνω ευρήματα, κρίθηκε απαραίτητη η διενέργεια υπερήχου κοιλίας για τον έλεγχο του ήπατος αλλά και των λοιπών ενδοκοιλιακών οργάνων. Στον υπέρηχο, βρέθηκαν οζώδεις αλλοιώσεις εντός του ηπατικού παρεγχύματος ενώ ο σπλήνας έφερε μια σαφώς περιγεγραμμένη κυκλοτερή δομή με στοιχεία τέτοια που παρέπεμπαν σε ισχυρή υποψία κακοήθους νεοπλασίας και στην προκειμένη περίπτωση αιμαγγειοσαρκώματος, καθώς αποτελεί το 80% των περιπτώσεων κακοήθειας στο όργανο αυτό. Συστήθηκε η ενδεδειγμένη θεραπευτική αντιμετώπιση που περιλαμβάνει την χειρουργική αφαίρεση του σπλήνα και επικουρικά την λήψη βιοψιών και τη χημειοθεραπεία, ωστόσο ο ιδιοκτήτης αρνήθηκε να προχωρήσει σε περαιτέρω κτηνιατρικές ενέργειες και αποχώρησε.</w:t>
      </w:r>
    </w:p>
    <w:p w14:paraId="1CF26490" w14:textId="77777777" w:rsidR="00B020FA" w:rsidRPr="00B020FA" w:rsidRDefault="00B020FA" w:rsidP="00B020FA">
      <w:pPr>
        <w:jc w:val="both"/>
      </w:pPr>
    </w:p>
    <w:p w14:paraId="5BFC1020" w14:textId="0FF27222" w:rsidR="00B020FA" w:rsidRPr="00382DF1" w:rsidRDefault="00B020FA" w:rsidP="00B020FA">
      <w:pPr>
        <w:jc w:val="both"/>
        <w:rPr>
          <w:lang w:val="en-US"/>
        </w:rPr>
      </w:pPr>
      <w:r w:rsidRPr="00B020FA">
        <w:rPr>
          <w:b/>
          <w:bCs/>
        </w:rPr>
        <w:t>Βιβλιογραφία</w:t>
      </w:r>
    </w:p>
    <w:p w14:paraId="50DABB19" w14:textId="63114436" w:rsidR="00B020FA" w:rsidRPr="00382DF1" w:rsidRDefault="00B020FA" w:rsidP="00B020FA">
      <w:pPr>
        <w:jc w:val="both"/>
        <w:rPr>
          <w:lang w:val="en-US"/>
        </w:rPr>
      </w:pPr>
      <w:r w:rsidRPr="00382DF1">
        <w:rPr>
          <w:lang w:val="en-US"/>
        </w:rPr>
        <w:t xml:space="preserve">Monnet Éric (2023). </w:t>
      </w:r>
      <w:r w:rsidRPr="00382DF1">
        <w:rPr>
          <w:i/>
          <w:iCs/>
          <w:lang w:val="en-US"/>
        </w:rPr>
        <w:t>Small Animal Soft Tissue Surgery. Wiley-Blackwell. Chapter: Hemangiosarcoma – Surgical Management</w:t>
      </w:r>
      <w:r w:rsidRPr="00382DF1">
        <w:rPr>
          <w:lang w:val="en-US"/>
        </w:rPr>
        <w:t>. </w:t>
      </w:r>
    </w:p>
    <w:p w14:paraId="659E62DE" w14:textId="2872BEDC" w:rsidR="00B020FA" w:rsidRPr="00382DF1" w:rsidRDefault="00B020FA" w:rsidP="00B020FA">
      <w:pPr>
        <w:jc w:val="both"/>
        <w:rPr>
          <w:lang w:val="en-US"/>
        </w:rPr>
      </w:pPr>
      <w:r w:rsidRPr="00382DF1">
        <w:rPr>
          <w:lang w:val="en-US"/>
        </w:rPr>
        <w:t xml:space="preserve">Richard W. Nelson, C. Guillermo Couto (2020). </w:t>
      </w:r>
      <w:r w:rsidRPr="00382DF1">
        <w:rPr>
          <w:i/>
          <w:iCs/>
          <w:lang w:val="en-US"/>
        </w:rPr>
        <w:t>Small Animal Internal Medicine. Elsevier.Chapter: Hemangiosarcoma. </w:t>
      </w:r>
    </w:p>
    <w:p w14:paraId="0843C946" w14:textId="77777777" w:rsidR="00B020FA" w:rsidRPr="00B020FA" w:rsidRDefault="00B020FA" w:rsidP="00B020FA">
      <w:pPr>
        <w:jc w:val="both"/>
      </w:pPr>
      <w:r w:rsidRPr="00382DF1">
        <w:rPr>
          <w:lang w:val="en-US"/>
        </w:rPr>
        <w:t>Rick L. Cowell, Ronald D. Tyler (2020)</w:t>
      </w:r>
      <w:r w:rsidRPr="00382DF1">
        <w:rPr>
          <w:i/>
          <w:iCs/>
          <w:lang w:val="en-US"/>
        </w:rPr>
        <w:t>. Cowell and Tyler's Diagnostic Cytology and Hematology of the Dog and Cat</w:t>
      </w:r>
      <w:r w:rsidRPr="00382DF1">
        <w:rPr>
          <w:lang w:val="en-US"/>
        </w:rPr>
        <w:t xml:space="preserve">. </w:t>
      </w:r>
      <w:r w:rsidRPr="00B020FA">
        <w:t>Elsevier.</w:t>
      </w:r>
    </w:p>
    <w:p w14:paraId="2B8D481D" w14:textId="77777777" w:rsidR="00B020FA" w:rsidRPr="00B020FA" w:rsidRDefault="00B020FA" w:rsidP="00B020FA">
      <w:pPr>
        <w:jc w:val="both"/>
      </w:pPr>
      <w:r w:rsidRPr="00B020FA">
        <w:br/>
      </w:r>
    </w:p>
    <w:p w14:paraId="356EAB76" w14:textId="5305BA35" w:rsidR="00B020FA" w:rsidRPr="00233C2F" w:rsidRDefault="00B020FA" w:rsidP="00B020FA">
      <w:pPr>
        <w:jc w:val="both"/>
      </w:pPr>
    </w:p>
    <w:p w14:paraId="71B4AA67" w14:textId="77777777" w:rsidR="00B020FA" w:rsidRPr="00B020FA" w:rsidRDefault="00B020FA" w:rsidP="00B020FA">
      <w:pPr>
        <w:jc w:val="both"/>
      </w:pPr>
      <w:r w:rsidRPr="00B020FA">
        <w:rPr>
          <w:b/>
          <w:bCs/>
        </w:rPr>
        <w:lastRenderedPageBreak/>
        <w:t>Χρόνια Λεμφοκυτταρική Λευχαιμία Σκύλου</w:t>
      </w:r>
    </w:p>
    <w:p w14:paraId="3AFA17C5" w14:textId="77777777" w:rsidR="00B020FA" w:rsidRPr="00B020FA" w:rsidRDefault="00B020FA" w:rsidP="00B020FA">
      <w:pPr>
        <w:jc w:val="both"/>
        <w:rPr>
          <w:b/>
          <w:bCs/>
        </w:rPr>
      </w:pPr>
      <w:r w:rsidRPr="00B020FA">
        <w:t>Μεσιακάρης Φοίβος</w:t>
      </w:r>
      <w:r w:rsidRPr="00B020FA">
        <w:rPr>
          <w:vertAlign w:val="superscript"/>
        </w:rPr>
        <w:t>1</w:t>
      </w:r>
      <w:r w:rsidRPr="00B020FA">
        <w:t>, Μπάγιας Χρήστος</w:t>
      </w:r>
      <w:r w:rsidRPr="00B020FA">
        <w:rPr>
          <w:vertAlign w:val="superscript"/>
        </w:rPr>
        <w:t xml:space="preserve">1 </w:t>
      </w:r>
      <w:r w:rsidRPr="00B020FA">
        <w:t>, Μυλωνάκης Ματθαίος</w:t>
      </w:r>
      <w:r w:rsidRPr="00B020FA">
        <w:rPr>
          <w:vertAlign w:val="superscript"/>
        </w:rPr>
        <w:t>2</w:t>
      </w:r>
      <w:r w:rsidRPr="00B020FA">
        <w:t>, Δερβίσης Νίκος</w:t>
      </w:r>
      <w:r w:rsidRPr="00B020FA">
        <w:rPr>
          <w:vertAlign w:val="superscript"/>
        </w:rPr>
        <w:t>3</w:t>
      </w:r>
    </w:p>
    <w:p w14:paraId="276EBF34" w14:textId="77777777" w:rsidR="00B020FA" w:rsidRPr="00B020FA" w:rsidRDefault="00B020FA">
      <w:pPr>
        <w:numPr>
          <w:ilvl w:val="0"/>
          <w:numId w:val="42"/>
        </w:numPr>
        <w:jc w:val="both"/>
      </w:pPr>
      <w:r w:rsidRPr="00B020FA">
        <w:t>Προπτυχιακός Φοιτητής, Τμήμα Κτηνιατρικής Σχολή Επιστημών Υγειάς, Α.Π.Θ.</w:t>
      </w:r>
    </w:p>
    <w:p w14:paraId="5EA9F12D" w14:textId="77777777" w:rsidR="00B020FA" w:rsidRPr="00B020FA" w:rsidRDefault="00B020FA">
      <w:pPr>
        <w:numPr>
          <w:ilvl w:val="0"/>
          <w:numId w:val="42"/>
        </w:numPr>
        <w:jc w:val="both"/>
      </w:pPr>
      <w:r w:rsidRPr="00B020FA">
        <w:t> Καθηγητής Παθολογίας Ζώων Συντροφιάς, Τμήμα Κτηνιατρικής, Σχολής Επιστημών Υγείας, Αριστοτέλειο Πανεπιστήμιο Θεσσαλονίκης</w:t>
      </w:r>
    </w:p>
    <w:p w14:paraId="38962989" w14:textId="77777777" w:rsidR="00B020FA" w:rsidRPr="00382DF1" w:rsidRDefault="00B020FA">
      <w:pPr>
        <w:numPr>
          <w:ilvl w:val="0"/>
          <w:numId w:val="42"/>
        </w:numPr>
        <w:jc w:val="both"/>
        <w:rPr>
          <w:lang w:val="en-US"/>
        </w:rPr>
      </w:pPr>
      <w:r w:rsidRPr="00382DF1">
        <w:rPr>
          <w:lang w:val="en-US"/>
        </w:rPr>
        <w:t xml:space="preserve">Associate Professor of Oncology, College of Veterinary Medicine Institute for Cancer Research Purdue University, Indiana, USA, </w:t>
      </w:r>
      <w:r w:rsidRPr="00B020FA">
        <w:t>Επιστημονικός</w:t>
      </w:r>
      <w:r w:rsidRPr="00382DF1">
        <w:rPr>
          <w:lang w:val="en-US"/>
        </w:rPr>
        <w:t xml:space="preserve"> </w:t>
      </w:r>
      <w:r w:rsidRPr="00B020FA">
        <w:t>Υπεύθυνος</w:t>
      </w:r>
      <w:r w:rsidRPr="00382DF1">
        <w:rPr>
          <w:lang w:val="en-US"/>
        </w:rPr>
        <w:t xml:space="preserve"> </w:t>
      </w:r>
      <w:r w:rsidRPr="00B020FA">
        <w:t>Ογκολογικού</w:t>
      </w:r>
      <w:r w:rsidRPr="00382DF1">
        <w:rPr>
          <w:lang w:val="en-US"/>
        </w:rPr>
        <w:t xml:space="preserve"> </w:t>
      </w:r>
      <w:r w:rsidRPr="00B020FA">
        <w:t>τμήματος</w:t>
      </w:r>
      <w:r w:rsidRPr="00382DF1">
        <w:rPr>
          <w:lang w:val="en-US"/>
        </w:rPr>
        <w:t xml:space="preserve"> Cura Animalis Vet Clinic</w:t>
      </w:r>
    </w:p>
    <w:p w14:paraId="73C42C9B" w14:textId="77777777" w:rsidR="00B020FA" w:rsidRPr="00382DF1" w:rsidRDefault="00B020FA" w:rsidP="00B020FA">
      <w:pPr>
        <w:jc w:val="both"/>
        <w:rPr>
          <w:lang w:val="en-US"/>
        </w:rPr>
      </w:pPr>
    </w:p>
    <w:p w14:paraId="47F02D38" w14:textId="77777777" w:rsidR="00B020FA" w:rsidRPr="00B020FA" w:rsidRDefault="00B020FA" w:rsidP="00B020FA">
      <w:pPr>
        <w:jc w:val="both"/>
      </w:pPr>
      <w:r w:rsidRPr="00B020FA">
        <w:rPr>
          <w:b/>
          <w:bCs/>
        </w:rPr>
        <w:t>Περίληψη</w:t>
      </w:r>
    </w:p>
    <w:p w14:paraId="270FA440" w14:textId="77777777" w:rsidR="005379B4" w:rsidRPr="00140659" w:rsidRDefault="00B020FA" w:rsidP="00B020FA">
      <w:pPr>
        <w:jc w:val="both"/>
      </w:pPr>
      <w:r w:rsidRPr="00B020FA">
        <w:t>Στην εργασία αυτή θα αναλυθεί η παθολογική κατάσταση της χρόνιας λεμφοκυτταρικής λευχαιμίας στον σκύλο (CLL), καθώς πρόκειται για έναν από τους πιο συχνούς τύπους καρκίνου του. </w:t>
      </w:r>
    </w:p>
    <w:p w14:paraId="4FBD34E8" w14:textId="383D69C6" w:rsidR="00B020FA" w:rsidRPr="00B020FA" w:rsidRDefault="00B020FA" w:rsidP="00B020FA">
      <w:pPr>
        <w:jc w:val="both"/>
      </w:pPr>
      <w:r w:rsidRPr="00B020FA">
        <w:t>Μέσω της εργασίας θα γίνει κατανοητή η παθογνωμική φύση της νόσου, ως νεοπλασματική διαταραχή των ώριμων λεμφοκυττάρων και θα αναλυθεί η βραδεία εξέλιξη της, σε σύγκριση με άλλες αιματολογικές κακοήθειες, καθώς και η διαχείριση της με μακροχρόνια παρακολούθηση (follow-ups), διότι με βάση αυτη και τη σταδιοποίηση της κακοήθειας, θα κριθούν τα κριτήρια έναρξης της θεραπείας αλλά και οι διαθέσιμες θεραπευτικές επιλογές. Τέλος, θα παρατεθούν δύο αληθινά περιστατικά από την κλινική πράξη τα οποία αναδεικνύουν τη διαφορετική πορεία της νόσου και τη σημασία της εξατομικευμένης προσέγγισης στη διαχείριση των ασθενών.  </w:t>
      </w:r>
      <w:r w:rsidRPr="00B020FA">
        <w:br/>
      </w:r>
    </w:p>
    <w:p w14:paraId="28A3832C" w14:textId="77777777" w:rsidR="00B020FA" w:rsidRPr="00382DF1" w:rsidRDefault="00B020FA" w:rsidP="00B020FA">
      <w:pPr>
        <w:jc w:val="both"/>
        <w:rPr>
          <w:lang w:val="en-US"/>
        </w:rPr>
      </w:pPr>
      <w:r w:rsidRPr="00B020FA">
        <w:rPr>
          <w:b/>
          <w:bCs/>
        </w:rPr>
        <w:t>Βιβλιογραφία</w:t>
      </w:r>
    </w:p>
    <w:p w14:paraId="23EBEF20" w14:textId="77777777" w:rsidR="00B020FA" w:rsidRPr="00382DF1" w:rsidRDefault="00B020FA" w:rsidP="00B020FA">
      <w:pPr>
        <w:jc w:val="both"/>
        <w:rPr>
          <w:lang w:val="en-US"/>
        </w:rPr>
      </w:pPr>
      <w:r w:rsidRPr="00382DF1">
        <w:rPr>
          <w:lang w:val="en-US"/>
        </w:rPr>
        <w:t xml:space="preserve">Marconato, L., Gelain, M. E., &amp; Comazzi, S. (2012). </w:t>
      </w:r>
      <w:r w:rsidRPr="00382DF1">
        <w:rPr>
          <w:i/>
          <w:iCs/>
          <w:lang w:val="en-US"/>
        </w:rPr>
        <w:t>The dog as a possible animal model for human non-Hodgkin lymphoma: A review</w:t>
      </w:r>
      <w:r w:rsidRPr="00382DF1">
        <w:rPr>
          <w:lang w:val="en-US"/>
        </w:rPr>
        <w:t>. </w:t>
      </w:r>
      <w:r w:rsidRPr="00382DF1">
        <w:rPr>
          <w:i/>
          <w:iCs/>
          <w:lang w:val="en-US"/>
        </w:rPr>
        <w:t>Hematological Oncology, 30</w:t>
      </w:r>
      <w:r w:rsidRPr="00382DF1">
        <w:rPr>
          <w:lang w:val="en-US"/>
        </w:rPr>
        <w:t>(1), 1–9. </w:t>
      </w:r>
    </w:p>
    <w:p w14:paraId="2D4164AF" w14:textId="77777777" w:rsidR="00B020FA" w:rsidRPr="00382DF1" w:rsidRDefault="00B020FA" w:rsidP="00B020FA">
      <w:pPr>
        <w:jc w:val="both"/>
        <w:rPr>
          <w:lang w:val="en-US"/>
        </w:rPr>
      </w:pPr>
      <w:r w:rsidRPr="00382DF1">
        <w:rPr>
          <w:lang w:val="en-US"/>
        </w:rPr>
        <w:t xml:space="preserve">Ponce, F., Marchal, T., Magnol, J. P., Turinelli, V., Ledieu, D., Bonnefont, C., Pastor, M., Delignette, M. L., &amp; Fournel-Fleury, C. (2010). </w:t>
      </w:r>
      <w:r w:rsidRPr="00382DF1">
        <w:rPr>
          <w:i/>
          <w:iCs/>
          <w:lang w:val="en-US"/>
        </w:rPr>
        <w:t>A morphological study of 608 cases of canine malignant lymphoma in France with a focus on comparative similarities between canine and human lymphoma morphology.</w:t>
      </w:r>
      <w:r w:rsidRPr="00382DF1">
        <w:rPr>
          <w:lang w:val="en-US"/>
        </w:rPr>
        <w:t> </w:t>
      </w:r>
      <w:r w:rsidRPr="00382DF1">
        <w:rPr>
          <w:i/>
          <w:iCs/>
          <w:lang w:val="en-US"/>
        </w:rPr>
        <w:t>Veterinary Pathology, 47</w:t>
      </w:r>
      <w:r w:rsidRPr="00382DF1">
        <w:rPr>
          <w:lang w:val="en-US"/>
        </w:rPr>
        <w:t>(3), 414–433.</w:t>
      </w:r>
    </w:p>
    <w:p w14:paraId="2F57CA2C" w14:textId="178736CF" w:rsidR="00B020FA" w:rsidRPr="00382DF1" w:rsidRDefault="00B020FA" w:rsidP="00B020FA">
      <w:pPr>
        <w:jc w:val="both"/>
        <w:rPr>
          <w:lang w:val="en-US"/>
        </w:rPr>
      </w:pPr>
      <w:r w:rsidRPr="00382DF1">
        <w:rPr>
          <w:lang w:val="en-US"/>
        </w:rPr>
        <w:t xml:space="preserve">Rout, E. D., Avery, A. C., &amp; Avery, P. R. (2021). </w:t>
      </w:r>
      <w:r w:rsidRPr="00382DF1">
        <w:rPr>
          <w:i/>
          <w:iCs/>
          <w:lang w:val="en-US"/>
        </w:rPr>
        <w:t>Clinical outcome and prognostic factors in dogs with B-cell chronic lymphocytic leukemia.</w:t>
      </w:r>
      <w:r w:rsidRPr="00382DF1">
        <w:rPr>
          <w:lang w:val="en-US"/>
        </w:rPr>
        <w:t> </w:t>
      </w:r>
      <w:r w:rsidRPr="00382DF1">
        <w:rPr>
          <w:i/>
          <w:iCs/>
          <w:lang w:val="en-US"/>
        </w:rPr>
        <w:t>Journal of Veterinary Internal Medicine, 35</w:t>
      </w:r>
      <w:r w:rsidRPr="00382DF1">
        <w:rPr>
          <w:lang w:val="en-US"/>
        </w:rPr>
        <w:t>(3), 1418–1428. </w:t>
      </w:r>
    </w:p>
    <w:p w14:paraId="06C16F70" w14:textId="394E6450" w:rsidR="00B020FA" w:rsidRPr="00382DF1" w:rsidRDefault="00B020FA" w:rsidP="00B020FA">
      <w:pPr>
        <w:jc w:val="both"/>
        <w:rPr>
          <w:lang w:val="en-US"/>
        </w:rPr>
      </w:pPr>
      <w:r w:rsidRPr="00382DF1">
        <w:rPr>
          <w:lang w:val="en-US"/>
        </w:rPr>
        <w:t xml:space="preserve">Vail, D. M., Pinkerton, M. E., &amp; Young, K. M. (2019). </w:t>
      </w:r>
      <w:r w:rsidRPr="00382DF1">
        <w:rPr>
          <w:i/>
          <w:iCs/>
          <w:lang w:val="en-US"/>
        </w:rPr>
        <w:t>Hematopoietic tumors. In S. J. Withrow, D. M. Vail, &amp; R. L. Page</w:t>
      </w:r>
      <w:r w:rsidRPr="00382DF1">
        <w:rPr>
          <w:lang w:val="en-US"/>
        </w:rPr>
        <w:t xml:space="preserve"> (Eds.), </w:t>
      </w:r>
      <w:r w:rsidRPr="00382DF1">
        <w:rPr>
          <w:i/>
          <w:iCs/>
          <w:lang w:val="en-US"/>
        </w:rPr>
        <w:t>Withrow and MacEwen's Small Animal Clinical Oncology</w:t>
      </w:r>
      <w:r w:rsidRPr="00382DF1">
        <w:rPr>
          <w:lang w:val="en-US"/>
        </w:rPr>
        <w:t> (6th ed., pp. 688–772). Elsevier.</w:t>
      </w:r>
    </w:p>
    <w:p w14:paraId="45DCDFDF" w14:textId="77777777" w:rsidR="00B020FA" w:rsidRPr="00382DF1" w:rsidRDefault="00B020FA" w:rsidP="00B020FA">
      <w:pPr>
        <w:jc w:val="both"/>
        <w:rPr>
          <w:lang w:val="en-US"/>
        </w:rPr>
      </w:pPr>
      <w:r w:rsidRPr="00382DF1">
        <w:rPr>
          <w:lang w:val="en-US"/>
        </w:rPr>
        <w:t xml:space="preserve">Workman, H. C., &amp; Vernau, W. (2003). </w:t>
      </w:r>
      <w:r w:rsidRPr="00382DF1">
        <w:rPr>
          <w:i/>
          <w:iCs/>
          <w:lang w:val="en-US"/>
        </w:rPr>
        <w:t>Chronic lymphocytic leukemia in dogs and cats: The veterinary perspective</w:t>
      </w:r>
      <w:r w:rsidRPr="00382DF1">
        <w:rPr>
          <w:lang w:val="en-US"/>
        </w:rPr>
        <w:t>. </w:t>
      </w:r>
      <w:r w:rsidRPr="00382DF1">
        <w:rPr>
          <w:i/>
          <w:iCs/>
          <w:lang w:val="en-US"/>
        </w:rPr>
        <w:t>Journal of Veterinary Internal Medicine, 17</w:t>
      </w:r>
      <w:r w:rsidRPr="00382DF1">
        <w:rPr>
          <w:lang w:val="en-US"/>
        </w:rPr>
        <w:t>(3), 294–305.</w:t>
      </w:r>
    </w:p>
    <w:p w14:paraId="45855317" w14:textId="0237E1B6" w:rsidR="00B020FA" w:rsidRPr="00382DF1" w:rsidRDefault="00B020FA" w:rsidP="00B020FA">
      <w:pPr>
        <w:jc w:val="both"/>
        <w:rPr>
          <w:lang w:val="en-US"/>
        </w:rPr>
      </w:pPr>
      <w:r w:rsidRPr="00382DF1">
        <w:rPr>
          <w:lang w:val="en-US"/>
        </w:rPr>
        <w:br/>
      </w:r>
      <w:r w:rsidRPr="00382DF1">
        <w:rPr>
          <w:lang w:val="en-US"/>
        </w:rPr>
        <w:br/>
      </w:r>
      <w:r w:rsidRPr="00382DF1">
        <w:rPr>
          <w:lang w:val="en-US"/>
        </w:rPr>
        <w:br/>
      </w:r>
    </w:p>
    <w:p w14:paraId="26D17478" w14:textId="1C769BCF" w:rsidR="00B020FA" w:rsidRPr="00382DF1" w:rsidRDefault="00B020FA" w:rsidP="00B020FA">
      <w:pPr>
        <w:jc w:val="both"/>
        <w:rPr>
          <w:lang w:val="en-US"/>
        </w:rPr>
      </w:pPr>
      <w:r w:rsidRPr="00B020FA">
        <w:rPr>
          <w:b/>
          <w:bCs/>
        </w:rPr>
        <w:lastRenderedPageBreak/>
        <w:t>Κατευθυντήριες</w:t>
      </w:r>
      <w:r w:rsidRPr="00382DF1">
        <w:rPr>
          <w:b/>
          <w:bCs/>
          <w:lang w:val="en-US"/>
        </w:rPr>
        <w:t xml:space="preserve"> </w:t>
      </w:r>
      <w:r w:rsidRPr="00B020FA">
        <w:rPr>
          <w:b/>
          <w:bCs/>
        </w:rPr>
        <w:t>Γραμμές</w:t>
      </w:r>
      <w:r w:rsidRPr="00382DF1">
        <w:rPr>
          <w:b/>
          <w:bCs/>
          <w:lang w:val="en-US"/>
        </w:rPr>
        <w:t xml:space="preserve"> </w:t>
      </w:r>
      <w:r w:rsidRPr="00B020FA">
        <w:rPr>
          <w:b/>
          <w:bCs/>
        </w:rPr>
        <w:t>στη</w:t>
      </w:r>
      <w:r w:rsidRPr="00382DF1">
        <w:rPr>
          <w:b/>
          <w:bCs/>
          <w:lang w:val="en-US"/>
        </w:rPr>
        <w:t xml:space="preserve"> </w:t>
      </w:r>
      <w:r w:rsidRPr="00B020FA">
        <w:rPr>
          <w:b/>
          <w:bCs/>
        </w:rPr>
        <w:t>Διαγνωστική</w:t>
      </w:r>
      <w:r w:rsidRPr="00382DF1">
        <w:rPr>
          <w:b/>
          <w:bCs/>
          <w:lang w:val="en-US"/>
        </w:rPr>
        <w:t xml:space="preserve"> </w:t>
      </w:r>
      <w:r w:rsidRPr="00B020FA">
        <w:rPr>
          <w:b/>
          <w:bCs/>
        </w:rPr>
        <w:t>Προσέγγιση</w:t>
      </w:r>
      <w:r w:rsidRPr="00382DF1">
        <w:rPr>
          <w:b/>
          <w:bCs/>
          <w:lang w:val="en-US"/>
        </w:rPr>
        <w:t xml:space="preserve"> </w:t>
      </w:r>
      <w:r w:rsidRPr="00B020FA">
        <w:rPr>
          <w:b/>
          <w:bCs/>
        </w:rPr>
        <w:t>της</w:t>
      </w:r>
      <w:r w:rsidRPr="00382DF1">
        <w:rPr>
          <w:b/>
          <w:bCs/>
          <w:lang w:val="en-US"/>
        </w:rPr>
        <w:t xml:space="preserve"> </w:t>
      </w:r>
      <w:r w:rsidRPr="00B020FA">
        <w:rPr>
          <w:b/>
          <w:bCs/>
        </w:rPr>
        <w:t>Λοιμώδους</w:t>
      </w:r>
      <w:r w:rsidRPr="00382DF1">
        <w:rPr>
          <w:b/>
          <w:bCs/>
          <w:lang w:val="en-US"/>
        </w:rPr>
        <w:t xml:space="preserve"> </w:t>
      </w:r>
      <w:r w:rsidRPr="00B020FA">
        <w:rPr>
          <w:b/>
          <w:bCs/>
        </w:rPr>
        <w:t>Περιτονίτιδας</w:t>
      </w:r>
      <w:r w:rsidRPr="00382DF1">
        <w:rPr>
          <w:b/>
          <w:bCs/>
          <w:lang w:val="en-US"/>
        </w:rPr>
        <w:t xml:space="preserve"> </w:t>
      </w:r>
      <w:r w:rsidRPr="00B020FA">
        <w:rPr>
          <w:b/>
          <w:bCs/>
        </w:rPr>
        <w:t>της</w:t>
      </w:r>
      <w:r w:rsidRPr="00382DF1">
        <w:rPr>
          <w:b/>
          <w:bCs/>
          <w:lang w:val="en-US"/>
        </w:rPr>
        <w:t xml:space="preserve"> </w:t>
      </w:r>
      <w:r w:rsidRPr="00B020FA">
        <w:rPr>
          <w:b/>
          <w:bCs/>
        </w:rPr>
        <w:t>Γάτας</w:t>
      </w:r>
      <w:r w:rsidRPr="00382DF1">
        <w:rPr>
          <w:b/>
          <w:bCs/>
          <w:lang w:val="en-US"/>
        </w:rPr>
        <w:t xml:space="preserve"> (FIP)</w:t>
      </w:r>
    </w:p>
    <w:p w14:paraId="4C6DF4A3" w14:textId="77777777" w:rsidR="00B020FA" w:rsidRPr="00B020FA" w:rsidRDefault="00B020FA" w:rsidP="00B020FA">
      <w:pPr>
        <w:jc w:val="both"/>
      </w:pPr>
      <w:r w:rsidRPr="00B020FA">
        <w:t>Πασχάλη Στυλιανή</w:t>
      </w:r>
      <w:r w:rsidRPr="00B020FA">
        <w:rPr>
          <w:vertAlign w:val="superscript"/>
        </w:rPr>
        <w:t>1</w:t>
      </w:r>
      <w:r w:rsidRPr="00B020FA">
        <w:t>, Λέφα Κωνσταντίνα</w:t>
      </w:r>
      <w:r w:rsidRPr="00B020FA">
        <w:rPr>
          <w:vertAlign w:val="superscript"/>
        </w:rPr>
        <w:t xml:space="preserve">1 </w:t>
      </w:r>
      <w:r w:rsidRPr="00B020FA">
        <w:t>, Ματθαίος Μυλωνάκης</w:t>
      </w:r>
      <w:r w:rsidRPr="00B020FA">
        <w:rPr>
          <w:vertAlign w:val="superscript"/>
        </w:rPr>
        <w:t>2</w:t>
      </w:r>
    </w:p>
    <w:p w14:paraId="314EF146" w14:textId="77777777" w:rsidR="00B020FA" w:rsidRPr="00B020FA" w:rsidRDefault="00B020FA">
      <w:pPr>
        <w:numPr>
          <w:ilvl w:val="0"/>
          <w:numId w:val="43"/>
        </w:numPr>
        <w:jc w:val="both"/>
      </w:pPr>
      <w:r w:rsidRPr="00B020FA">
        <w:t>Προπτυχιακής φοιτήτρια, Τμήμα Κτηνιατρικής, Σχολή Επιστημών Υγείας, Αριστοτέλειο Πανεπιστήμιο Θεσσαλονίκης</w:t>
      </w:r>
    </w:p>
    <w:p w14:paraId="3C8ADF06" w14:textId="77777777" w:rsidR="00B020FA" w:rsidRPr="00B020FA" w:rsidRDefault="00B020FA">
      <w:pPr>
        <w:numPr>
          <w:ilvl w:val="0"/>
          <w:numId w:val="43"/>
        </w:numPr>
        <w:jc w:val="both"/>
      </w:pPr>
      <w:r w:rsidRPr="00B020FA">
        <w:t>Καθηγητής Παθολογίας Ζώων Συντροφιάς, Κλινική Ζώων Συντροφιάς, Τμήμα Κτηνιατρικής, Σχολή Επιστημών Υγείας, Αριστοτέλειο Πανεπιστήμιο Θεσσαλονίκης.</w:t>
      </w:r>
    </w:p>
    <w:p w14:paraId="369AC5CB" w14:textId="77777777" w:rsidR="00B020FA" w:rsidRPr="00B020FA" w:rsidRDefault="00B020FA" w:rsidP="00B020FA">
      <w:pPr>
        <w:jc w:val="both"/>
      </w:pPr>
    </w:p>
    <w:p w14:paraId="6AA2C3B3" w14:textId="77777777" w:rsidR="00B020FA" w:rsidRPr="00B020FA" w:rsidRDefault="00B020FA" w:rsidP="00B020FA">
      <w:pPr>
        <w:jc w:val="both"/>
      </w:pPr>
      <w:r w:rsidRPr="00B020FA">
        <w:rPr>
          <w:b/>
          <w:bCs/>
        </w:rPr>
        <w:t>Περίληψη</w:t>
      </w:r>
    </w:p>
    <w:p w14:paraId="013AAAC2" w14:textId="77777777" w:rsidR="00B020FA" w:rsidRPr="00B020FA" w:rsidRDefault="00B020FA" w:rsidP="00B020FA">
      <w:pPr>
        <w:jc w:val="both"/>
      </w:pPr>
      <w:r w:rsidRPr="00B020FA">
        <w:t> Η εν λόγω εργασία πραγματεύεται ορισμένες κατευθυντήριες γραμμές των  European Advisory Board on Cat Diseases (ABCD) και American Association of Feline Practitioners, που αφορούν τη διαγνωστική προσέγγιση και αντιμετώπιση της λοιμώδους περιτονίτιδας της γάτας (FIP). Η FIP προκαλείται από τον FCoV, που προσβάλει κυρίως το εντερικό επιθήλιο των αιλουροειδών. Η μόλυνση από τον FCoV δεν συνεπάγεται με εμφάνιση κλινικών συμπτωμάτων, ενώ, ένα ποσοστό των γατών που προσβάλλονται από τον ιό, δυνητικά αναπτύσουν FIP. Τα κυριότερα συμπτώματα της FIP είναι ο πυρετός και η απώλεια βάρους, ενώ πολλές από τις γάτες που νοσούν εμφανίζουν περιτοναϊκές και πλευριτικές συλλογές, οφθαλμικές αλλοιώσεις και νευρολογικά συμπτώματα. Η διαγνωστική προσέγγιση  αποτελεί πρόκληση για τον κλινικό κτηνίατρο, λόγω της απουσίας εξειδικευμένης εργαστηριακής εξέτασης σε συνδυασμό με τη δύσκολη διαφορική διάγνωση από άλλες παθήσεις (σηπτική περιτονίτιδα). Εξαιτίας των πολλαπλών μεταλλάξεων του ιού, η πρόληψη θεωρείται περιορισμένης αποτελεσματικότητας, δίνοντας έμφαση στην καλή υγιεινή, τη μείωση παραγόντων καταπόνησης καθώς και την ενίσχυση του ανοσοποιητικού συστήματος του ζώου.</w:t>
      </w:r>
    </w:p>
    <w:p w14:paraId="42B58A33" w14:textId="0D4419E3" w:rsidR="00B020FA" w:rsidRPr="00233C2F" w:rsidRDefault="00B020FA" w:rsidP="00B020FA">
      <w:pPr>
        <w:jc w:val="both"/>
      </w:pPr>
    </w:p>
    <w:p w14:paraId="41D2D023" w14:textId="4F87AB40" w:rsidR="00B020FA" w:rsidRPr="00382DF1" w:rsidRDefault="00B020FA" w:rsidP="00B020FA">
      <w:pPr>
        <w:jc w:val="both"/>
        <w:rPr>
          <w:lang w:val="en-US"/>
        </w:rPr>
      </w:pPr>
      <w:r w:rsidRPr="00B020FA">
        <w:rPr>
          <w:b/>
          <w:bCs/>
        </w:rPr>
        <w:t>Βιβλιογραφία</w:t>
      </w:r>
    </w:p>
    <w:p w14:paraId="27A9FF3E" w14:textId="22C19C9B" w:rsidR="00B020FA" w:rsidRPr="00382DF1" w:rsidRDefault="00B020FA" w:rsidP="00B020FA">
      <w:pPr>
        <w:jc w:val="both"/>
        <w:rPr>
          <w:lang w:val="en-US"/>
        </w:rPr>
      </w:pPr>
      <w:r w:rsidRPr="00382DF1">
        <w:rPr>
          <w:lang w:val="en-US"/>
        </w:rPr>
        <w:t xml:space="preserve">Ansari Mood, M. (2025). </w:t>
      </w:r>
      <w:r w:rsidRPr="00382DF1">
        <w:rPr>
          <w:i/>
          <w:iCs/>
          <w:lang w:val="en-US"/>
        </w:rPr>
        <w:t>Analysis of risk factors, clinical data, treatment outcomes for cats with feline infectious peritonitis using GS-441524 (2020–2024)</w:t>
      </w:r>
      <w:r w:rsidRPr="00382DF1">
        <w:rPr>
          <w:lang w:val="en-US"/>
        </w:rPr>
        <w:t>. Scientific Reports, 16(1), 1037.</w:t>
      </w:r>
    </w:p>
    <w:p w14:paraId="2256CB2A" w14:textId="78A19E6D" w:rsidR="00B020FA" w:rsidRPr="00382DF1" w:rsidRDefault="00B020FA" w:rsidP="00B020FA">
      <w:pPr>
        <w:jc w:val="both"/>
        <w:rPr>
          <w:lang w:val="en-US"/>
        </w:rPr>
      </w:pPr>
      <w:r w:rsidRPr="00382DF1">
        <w:rPr>
          <w:lang w:val="en-US"/>
        </w:rPr>
        <w:t xml:space="preserve">Gokalsing, E., Ferrolho, J., Gibson, M. S., Vilhena, H., &amp; Anastácio, S. (2025). </w:t>
      </w:r>
      <w:r w:rsidRPr="00382DF1">
        <w:rPr>
          <w:i/>
          <w:iCs/>
          <w:lang w:val="en-US"/>
        </w:rPr>
        <w:t>Efficacy of GS-441524 for feline infectious peritonitis: A systematic review</w:t>
      </w:r>
      <w:r w:rsidRPr="00382DF1">
        <w:rPr>
          <w:lang w:val="en-US"/>
        </w:rPr>
        <w:t xml:space="preserve"> (2018–2024). </w:t>
      </w:r>
      <w:r w:rsidRPr="00382DF1">
        <w:rPr>
          <w:i/>
          <w:iCs/>
          <w:lang w:val="en-US"/>
        </w:rPr>
        <w:t>Pathogens</w:t>
      </w:r>
      <w:r w:rsidRPr="00382DF1">
        <w:rPr>
          <w:lang w:val="en-US"/>
        </w:rPr>
        <w:t xml:space="preserve">, </w:t>
      </w:r>
      <w:r w:rsidRPr="00382DF1">
        <w:rPr>
          <w:i/>
          <w:iCs/>
          <w:lang w:val="en-US"/>
        </w:rPr>
        <w:t>14</w:t>
      </w:r>
      <w:r w:rsidRPr="00382DF1">
        <w:rPr>
          <w:lang w:val="en-US"/>
        </w:rPr>
        <w:t>(7), 717. </w:t>
      </w:r>
    </w:p>
    <w:p w14:paraId="4708EA72" w14:textId="6B47BDAC" w:rsidR="00B020FA" w:rsidRPr="00382DF1" w:rsidRDefault="00B020FA" w:rsidP="00B020FA">
      <w:pPr>
        <w:jc w:val="both"/>
        <w:rPr>
          <w:lang w:val="en-US"/>
        </w:rPr>
      </w:pPr>
      <w:r w:rsidRPr="00382DF1">
        <w:rPr>
          <w:lang w:val="en-US"/>
        </w:rPr>
        <w:t>Moyadee, W., Sunpongsri, S., Choowongkomon, K., Roytrakul, S., Rattanasrisomporn, A., Tansakul, N., &amp; Rattanasrisomporn, J. (2024). F</w:t>
      </w:r>
      <w:r w:rsidRPr="00382DF1">
        <w:rPr>
          <w:i/>
          <w:iCs/>
          <w:lang w:val="en-US"/>
        </w:rPr>
        <w:t>eline infectious peritonitis: A comprehensive evaluation of clinical manifestations, laboratory diagnosis, and therapeutic approaches</w:t>
      </w:r>
      <w:r w:rsidRPr="00382DF1">
        <w:rPr>
          <w:lang w:val="en-US"/>
        </w:rPr>
        <w:t xml:space="preserve">. </w:t>
      </w:r>
      <w:r w:rsidRPr="00382DF1">
        <w:rPr>
          <w:i/>
          <w:iCs/>
          <w:lang w:val="en-US"/>
        </w:rPr>
        <w:t>Journal of Advanced Veterinary and Animal Research</w:t>
      </w:r>
      <w:r w:rsidRPr="00382DF1">
        <w:rPr>
          <w:lang w:val="en-US"/>
        </w:rPr>
        <w:t xml:space="preserve">, </w:t>
      </w:r>
      <w:r w:rsidRPr="00382DF1">
        <w:rPr>
          <w:i/>
          <w:iCs/>
          <w:lang w:val="en-US"/>
        </w:rPr>
        <w:t>11</w:t>
      </w:r>
      <w:r w:rsidRPr="00382DF1">
        <w:rPr>
          <w:lang w:val="en-US"/>
        </w:rPr>
        <w:t>(1), 19-26.</w:t>
      </w:r>
    </w:p>
    <w:p w14:paraId="55942EE8" w14:textId="3A4455E9" w:rsidR="00B020FA" w:rsidRPr="00382DF1" w:rsidRDefault="00B020FA" w:rsidP="00B020FA">
      <w:pPr>
        <w:jc w:val="both"/>
        <w:rPr>
          <w:lang w:val="en-US"/>
        </w:rPr>
      </w:pPr>
      <w:r w:rsidRPr="00382DF1">
        <w:rPr>
          <w:lang w:val="en-US"/>
        </w:rPr>
        <w:t xml:space="preserve">Tasker, S., Addie, D. D., Egberink, H., Hofmann-Lehmann, R., Hosie, M. J., Truyen, U., Belák, S., Boucraut-Baralon, C., Frymus, T., Lloret, A., Marsilio, F., Pennisi, M. G., Thiry, E., Möstl, K., &amp; Hartmann, K. (2023). </w:t>
      </w:r>
      <w:r w:rsidRPr="00382DF1">
        <w:rPr>
          <w:i/>
          <w:iCs/>
          <w:lang w:val="en-US"/>
        </w:rPr>
        <w:t>Feline Infectious Peritonitis: European Advisory Board on Cat Diseases Guidelines.</w:t>
      </w:r>
      <w:r w:rsidRPr="00382DF1">
        <w:rPr>
          <w:lang w:val="en-US"/>
        </w:rPr>
        <w:t xml:space="preserve"> </w:t>
      </w:r>
      <w:r w:rsidRPr="00382DF1">
        <w:rPr>
          <w:i/>
          <w:iCs/>
          <w:lang w:val="en-US"/>
        </w:rPr>
        <w:t>Viruses</w:t>
      </w:r>
      <w:r w:rsidRPr="00382DF1">
        <w:rPr>
          <w:lang w:val="en-US"/>
        </w:rPr>
        <w:t xml:space="preserve">, </w:t>
      </w:r>
      <w:r w:rsidRPr="00382DF1">
        <w:rPr>
          <w:i/>
          <w:iCs/>
          <w:lang w:val="en-US"/>
        </w:rPr>
        <w:t>15</w:t>
      </w:r>
      <w:r w:rsidRPr="00382DF1">
        <w:rPr>
          <w:lang w:val="en-US"/>
        </w:rPr>
        <w:t>(9), 1847. </w:t>
      </w:r>
    </w:p>
    <w:p w14:paraId="78C09CAB" w14:textId="6AA0B12C" w:rsidR="00B020FA" w:rsidRPr="00382DF1" w:rsidRDefault="00B020FA" w:rsidP="00B020FA">
      <w:pPr>
        <w:jc w:val="both"/>
        <w:rPr>
          <w:lang w:val="en-US"/>
        </w:rPr>
      </w:pPr>
      <w:r w:rsidRPr="00382DF1">
        <w:rPr>
          <w:lang w:val="en-US"/>
        </w:rPr>
        <w:t xml:space="preserve">Taylor, S. S., Coggins, S., Barker, E. N., Gunn-Moore, D., Jeevaratnam, K., Norris, J. M., Hughes, D., Stacey, E., MacFarlane, L., O'Brien, C., Korman, R., McLauchlan, G., Torres, X. S., Taylor, A., Bongers, J., Castro, L. E., Foreman, M., McMurrough, J., Thomas, B., ... Tasker, S. (2023). </w:t>
      </w:r>
      <w:r w:rsidRPr="00382DF1">
        <w:rPr>
          <w:i/>
          <w:iCs/>
          <w:lang w:val="en-US"/>
        </w:rPr>
        <w:t xml:space="preserve">Retrospective study and outcome of 307 cats with feline infectious peritonitis treated with legally </w:t>
      </w:r>
      <w:r w:rsidRPr="00382DF1">
        <w:rPr>
          <w:i/>
          <w:iCs/>
          <w:lang w:val="en-US"/>
        </w:rPr>
        <w:lastRenderedPageBreak/>
        <w:t>sourced veterinary compounded preparations of remdesivir and GS-441524</w:t>
      </w:r>
      <w:r w:rsidRPr="00382DF1">
        <w:rPr>
          <w:lang w:val="en-US"/>
        </w:rPr>
        <w:t xml:space="preserve"> (2020–2022). </w:t>
      </w:r>
      <w:r w:rsidRPr="00382DF1">
        <w:rPr>
          <w:i/>
          <w:iCs/>
          <w:lang w:val="en-US"/>
        </w:rPr>
        <w:t>Journal of Feline Medicine and Surgery</w:t>
      </w:r>
      <w:r w:rsidRPr="00382DF1">
        <w:rPr>
          <w:lang w:val="en-US"/>
        </w:rPr>
        <w:t xml:space="preserve">, </w:t>
      </w:r>
      <w:r w:rsidRPr="00382DF1">
        <w:rPr>
          <w:i/>
          <w:iCs/>
          <w:lang w:val="en-US"/>
        </w:rPr>
        <w:t>25</w:t>
      </w:r>
      <w:r w:rsidRPr="00382DF1">
        <w:rPr>
          <w:lang w:val="en-US"/>
        </w:rPr>
        <w:t>(9), 1-26. </w:t>
      </w:r>
    </w:p>
    <w:p w14:paraId="196D67BB" w14:textId="31B9C38C" w:rsidR="00B020FA" w:rsidRPr="00382DF1" w:rsidRDefault="00B020FA" w:rsidP="00B020FA">
      <w:pPr>
        <w:jc w:val="both"/>
        <w:rPr>
          <w:lang w:val="en-US"/>
        </w:rPr>
      </w:pPr>
      <w:r w:rsidRPr="00382DF1">
        <w:rPr>
          <w:lang w:val="en-US"/>
        </w:rPr>
        <w:t xml:space="preserve">Thayer, V., Gogolski, S., Felten, S., Hartmann, K., Kennedy, M., &amp; Olah, G. A. (2022). </w:t>
      </w:r>
      <w:r w:rsidRPr="00382DF1">
        <w:rPr>
          <w:i/>
          <w:iCs/>
          <w:lang w:val="en-US"/>
        </w:rPr>
        <w:t>2022 AAFP/EveryCat feline infectious peritonitis diagnosis guidelines</w:t>
      </w:r>
      <w:r w:rsidRPr="00382DF1">
        <w:rPr>
          <w:lang w:val="en-US"/>
        </w:rPr>
        <w:t>. Journal of Feline Medicine and Surgery, 24(9), 905–93</w:t>
      </w:r>
    </w:p>
    <w:p w14:paraId="1531313A" w14:textId="77777777" w:rsidR="00B020FA" w:rsidRPr="00B020FA" w:rsidRDefault="00B020FA" w:rsidP="00B020FA">
      <w:pPr>
        <w:jc w:val="both"/>
      </w:pPr>
      <w:r w:rsidRPr="00382DF1">
        <w:rPr>
          <w:lang w:val="en-US"/>
        </w:rPr>
        <w:t xml:space="preserve">Tasker, S. (2018). </w:t>
      </w:r>
      <w:r w:rsidRPr="00382DF1">
        <w:rPr>
          <w:i/>
          <w:iCs/>
          <w:lang w:val="en-US"/>
        </w:rPr>
        <w:t xml:space="preserve">Diagnosis of feline infectious peritonitis: Update on evidence supporting available tests. </w:t>
      </w:r>
      <w:r w:rsidRPr="00B020FA">
        <w:rPr>
          <w:i/>
          <w:iCs/>
        </w:rPr>
        <w:t>Journal of Feline Medicine and Surgery</w:t>
      </w:r>
      <w:r w:rsidRPr="00B020FA">
        <w:t xml:space="preserve">, </w:t>
      </w:r>
      <w:r w:rsidRPr="00B020FA">
        <w:rPr>
          <w:i/>
          <w:iCs/>
        </w:rPr>
        <w:t>20</w:t>
      </w:r>
      <w:r w:rsidRPr="00B020FA">
        <w:t>(3), 228–243.</w:t>
      </w:r>
    </w:p>
    <w:p w14:paraId="0213AE5F" w14:textId="77777777" w:rsidR="00B020FA" w:rsidRPr="00233C2F" w:rsidRDefault="00B020FA" w:rsidP="00B020FA">
      <w:pPr>
        <w:jc w:val="both"/>
      </w:pP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p>
    <w:p w14:paraId="6FE61AFE" w14:textId="77777777" w:rsidR="00B020FA" w:rsidRPr="00233C2F" w:rsidRDefault="00B020FA" w:rsidP="00B020FA">
      <w:pPr>
        <w:jc w:val="both"/>
      </w:pPr>
    </w:p>
    <w:p w14:paraId="33C8B56A" w14:textId="77777777" w:rsidR="00B020FA" w:rsidRPr="00233C2F" w:rsidRDefault="00B020FA" w:rsidP="00B020FA">
      <w:pPr>
        <w:jc w:val="both"/>
      </w:pPr>
    </w:p>
    <w:p w14:paraId="1AA3A5C1" w14:textId="77777777" w:rsidR="00B020FA" w:rsidRPr="00233C2F" w:rsidRDefault="00B020FA" w:rsidP="00B020FA">
      <w:pPr>
        <w:jc w:val="both"/>
      </w:pPr>
    </w:p>
    <w:p w14:paraId="00DB77FC" w14:textId="77777777" w:rsidR="00B020FA" w:rsidRPr="00233C2F" w:rsidRDefault="00B020FA" w:rsidP="00B020FA">
      <w:pPr>
        <w:jc w:val="both"/>
      </w:pPr>
    </w:p>
    <w:p w14:paraId="74301942" w14:textId="77777777" w:rsidR="00B020FA" w:rsidRPr="00233C2F" w:rsidRDefault="00B020FA" w:rsidP="00B020FA">
      <w:pPr>
        <w:jc w:val="both"/>
      </w:pPr>
    </w:p>
    <w:p w14:paraId="39EE3D0C" w14:textId="77777777" w:rsidR="00B020FA" w:rsidRPr="00233C2F" w:rsidRDefault="00B020FA" w:rsidP="00B020FA">
      <w:pPr>
        <w:jc w:val="both"/>
      </w:pPr>
    </w:p>
    <w:p w14:paraId="7CDFB7AE" w14:textId="77777777" w:rsidR="00B020FA" w:rsidRPr="00233C2F" w:rsidRDefault="00B020FA" w:rsidP="00B020FA">
      <w:pPr>
        <w:jc w:val="both"/>
      </w:pPr>
    </w:p>
    <w:p w14:paraId="1B3A2BB4" w14:textId="03A8C6CF" w:rsidR="00B020FA" w:rsidRPr="00B020FA" w:rsidRDefault="00B020FA" w:rsidP="00B020FA">
      <w:pPr>
        <w:jc w:val="both"/>
      </w:pPr>
      <w:r w:rsidRPr="00B020FA">
        <w:br/>
      </w:r>
      <w:r w:rsidRPr="00B020FA">
        <w:br/>
      </w:r>
    </w:p>
    <w:p w14:paraId="21AB639F" w14:textId="77777777" w:rsidR="00B020FA" w:rsidRPr="00B020FA" w:rsidRDefault="00B020FA" w:rsidP="00B020FA">
      <w:pPr>
        <w:jc w:val="both"/>
      </w:pPr>
      <w:r w:rsidRPr="00B020FA">
        <w:rPr>
          <w:b/>
          <w:bCs/>
        </w:rPr>
        <w:lastRenderedPageBreak/>
        <w:t>Λεϊσμανίωση στο Σκύλο: Κλινικά συμπτώματα, Διαγνωστικές Προκλήσεις, και Θεραπευτικές επιλογές</w:t>
      </w:r>
    </w:p>
    <w:p w14:paraId="47198C53" w14:textId="77777777" w:rsidR="00B020FA" w:rsidRPr="00B020FA" w:rsidRDefault="00B020FA" w:rsidP="00B020FA">
      <w:pPr>
        <w:jc w:val="both"/>
      </w:pPr>
      <w:r w:rsidRPr="00B020FA">
        <w:t>Πήλιουρα Ελένη</w:t>
      </w:r>
      <w:r w:rsidRPr="00B020FA">
        <w:rPr>
          <w:vertAlign w:val="superscript"/>
        </w:rPr>
        <w:t>1</w:t>
      </w:r>
      <w:r w:rsidRPr="00B020FA">
        <w:t>, Μπαιράμογλου Στάθης</w:t>
      </w:r>
      <w:r w:rsidRPr="00B020FA">
        <w:rPr>
          <w:vertAlign w:val="superscript"/>
        </w:rPr>
        <w:t>2</w:t>
      </w:r>
    </w:p>
    <w:p w14:paraId="3A292385" w14:textId="77777777" w:rsidR="00B020FA" w:rsidRPr="00B020FA" w:rsidRDefault="00B020FA">
      <w:pPr>
        <w:numPr>
          <w:ilvl w:val="0"/>
          <w:numId w:val="44"/>
        </w:numPr>
        <w:jc w:val="both"/>
      </w:pPr>
      <w:r w:rsidRPr="00B020FA">
        <w:t>Προπτυχιακή φοιτήτρια, Τμήμα Κτηνιατρικής, Σχολή Επιστημών Υγείας, Πανεπιστήμιο Θεσσαλονίκης</w:t>
      </w:r>
    </w:p>
    <w:p w14:paraId="57447736" w14:textId="77777777" w:rsidR="00B020FA" w:rsidRPr="00B020FA" w:rsidRDefault="00B020FA">
      <w:pPr>
        <w:numPr>
          <w:ilvl w:val="0"/>
          <w:numId w:val="44"/>
        </w:numPr>
        <w:jc w:val="both"/>
      </w:pPr>
      <w:r w:rsidRPr="00B020FA">
        <w:t>Κτηνίατρος, GPCert (SAM), Ειδικευόμενος του Ευρωπαϊκού Κολλεγίου Κτηνιατρικής Δερματολογίας (ECVD)</w:t>
      </w:r>
    </w:p>
    <w:p w14:paraId="789E40E9" w14:textId="77777777" w:rsidR="00B020FA" w:rsidRPr="00B020FA" w:rsidRDefault="00B020FA" w:rsidP="00B020FA">
      <w:pPr>
        <w:jc w:val="both"/>
      </w:pPr>
    </w:p>
    <w:p w14:paraId="6A2D12DE" w14:textId="77777777" w:rsidR="00B020FA" w:rsidRPr="00B020FA" w:rsidRDefault="00B020FA" w:rsidP="00B020FA">
      <w:pPr>
        <w:jc w:val="both"/>
      </w:pPr>
      <w:r w:rsidRPr="00B020FA">
        <w:rPr>
          <w:b/>
          <w:bCs/>
        </w:rPr>
        <w:t>Περίληψη</w:t>
      </w:r>
    </w:p>
    <w:p w14:paraId="5E39C1F6" w14:textId="77777777" w:rsidR="00B020FA" w:rsidRPr="00B020FA" w:rsidRDefault="00B020FA" w:rsidP="00B020FA">
      <w:pPr>
        <w:jc w:val="both"/>
      </w:pPr>
      <w:r w:rsidRPr="00B020FA">
        <w:t> Η λεϊσμανίωση είναι μια σημαντική ζωονόσος που προκαλείται από το πρωτόζωο Leishmania spp. (</w:t>
      </w:r>
      <w:r w:rsidRPr="00B020FA">
        <w:rPr>
          <w:i/>
          <w:iCs/>
        </w:rPr>
        <w:t>Leishmania infantum</w:t>
      </w:r>
      <w:r w:rsidRPr="00B020FA">
        <w:t>), και μεταδίδεται με το δάγκωμα μολυσμένων φλεβοτόμων (</w:t>
      </w:r>
      <w:r w:rsidRPr="00B020FA">
        <w:rPr>
          <w:i/>
          <w:iCs/>
        </w:rPr>
        <w:t>Phlebotomus spp</w:t>
      </w:r>
      <w:r w:rsidRPr="00B020FA">
        <w:t>.). Η λεϊσμανίωση στους σκύλους συχνά προκαλεί μη ειδική συμπτωματολογία, καθώς πέραν των δερματικών αλλοιώσεων, συστηματικές εκδηλώσεις από το ουροποιητικό, αναπνευστικό, γαστρεντερικό, κεντρικό νευρικό σύστημα – μεταξύ άλλων - μπορούν να παρατηρηθούν. Αυτό το ευρύ φάσμα κλινικής συμπτωματολογίας μπορεί να οδηγήσει συχνά σε λανθασμένη διάγνωση. Η πολυπλοκότητα αυτής της ζωονόσου και το ευρύ φάσμα των κλινικών εκδηλώσεών της, από την μόλυνση έως τη σοβαρή νόσηση, καθιστούν τη διαχείριση της λεϊσμανίωσης στο σκύλο - ειδικά για τον κτηνίατρο στην χώρα μας, συχνή αν όχι καθημερινή - πρόκληση. Η παρούσα παρουσίαση σκοπό έχει την ενημέρωση των συναδέλφων φοιτητών σχετικά με τις κλινικές εκδηλώσεις, την ορθότερη διαγνωστική προσέγγιση, και τις επιλογές θεραπείας ανάλογα με το στάδιο της νόσου, βάσει συγκεκριμένων κατευθυντήριων γραμμών.</w:t>
      </w:r>
    </w:p>
    <w:p w14:paraId="68D2E91C" w14:textId="77777777" w:rsidR="00B020FA" w:rsidRPr="00B020FA" w:rsidRDefault="00B020FA" w:rsidP="00B020FA">
      <w:pPr>
        <w:jc w:val="both"/>
      </w:pPr>
    </w:p>
    <w:p w14:paraId="7E45C2D7" w14:textId="77777777" w:rsidR="00B020FA" w:rsidRPr="00382DF1" w:rsidRDefault="00B020FA" w:rsidP="00B020FA">
      <w:pPr>
        <w:jc w:val="both"/>
        <w:rPr>
          <w:lang w:val="fr-FR"/>
        </w:rPr>
      </w:pPr>
      <w:r w:rsidRPr="00B020FA">
        <w:rPr>
          <w:b/>
          <w:bCs/>
        </w:rPr>
        <w:t>Βιβλιογραφία</w:t>
      </w:r>
    </w:p>
    <w:p w14:paraId="5550B2FB" w14:textId="77777777" w:rsidR="00B020FA" w:rsidRPr="00382DF1" w:rsidRDefault="00B020FA" w:rsidP="00B020FA">
      <w:pPr>
        <w:jc w:val="both"/>
        <w:rPr>
          <w:lang w:val="en-US"/>
        </w:rPr>
      </w:pPr>
      <w:r w:rsidRPr="00382DF1">
        <w:rPr>
          <w:lang w:val="fr-FR"/>
        </w:rPr>
        <w:t xml:space="preserve">De Freitas, J. C., et al. </w:t>
      </w:r>
      <w:r w:rsidRPr="00382DF1">
        <w:rPr>
          <w:lang w:val="en-US"/>
        </w:rPr>
        <w:t xml:space="preserve">(2012). </w:t>
      </w:r>
      <w:r w:rsidRPr="00382DF1">
        <w:rPr>
          <w:i/>
          <w:iCs/>
          <w:lang w:val="en-US"/>
        </w:rPr>
        <w:t>Profile of anti-Leishmania antibodies related to clinical picture in canine visceral leishmaniasis</w:t>
      </w:r>
      <w:r w:rsidRPr="00382DF1">
        <w:rPr>
          <w:lang w:val="en-US"/>
        </w:rPr>
        <w:t xml:space="preserve">. </w:t>
      </w:r>
      <w:r w:rsidRPr="00382DF1">
        <w:rPr>
          <w:i/>
          <w:iCs/>
          <w:lang w:val="en-US"/>
        </w:rPr>
        <w:t>Research in Veterinary Science</w:t>
      </w:r>
      <w:r w:rsidRPr="00382DF1">
        <w:rPr>
          <w:lang w:val="en-US"/>
        </w:rPr>
        <w:t>, 93(2), 705–709.</w:t>
      </w:r>
    </w:p>
    <w:p w14:paraId="13EF3136" w14:textId="77777777" w:rsidR="00B020FA" w:rsidRPr="00382DF1" w:rsidRDefault="00B020FA" w:rsidP="00B020FA">
      <w:pPr>
        <w:jc w:val="both"/>
        <w:rPr>
          <w:lang w:val="en-US"/>
        </w:rPr>
      </w:pPr>
      <w:r w:rsidRPr="00382DF1">
        <w:rPr>
          <w:lang w:val="en-US"/>
        </w:rPr>
        <w:t xml:space="preserve">Maia, C. &amp; Campino, L. (2018). </w:t>
      </w:r>
      <w:r w:rsidRPr="00382DF1">
        <w:rPr>
          <w:i/>
          <w:iCs/>
          <w:lang w:val="en-US"/>
        </w:rPr>
        <w:t>Biomarkers associated with Leishmania infantum exposure, infection, and disease in dogs.</w:t>
      </w:r>
      <w:r w:rsidRPr="00382DF1">
        <w:rPr>
          <w:lang w:val="en-US"/>
        </w:rPr>
        <w:t xml:space="preserve"> </w:t>
      </w:r>
      <w:r w:rsidRPr="00382DF1">
        <w:rPr>
          <w:i/>
          <w:iCs/>
          <w:lang w:val="en-US"/>
        </w:rPr>
        <w:t>Frontiers in Cellular and Infection Microbiology</w:t>
      </w:r>
      <w:r w:rsidRPr="00382DF1">
        <w:rPr>
          <w:lang w:val="en-US"/>
        </w:rPr>
        <w:t>, 8, 302.</w:t>
      </w:r>
    </w:p>
    <w:p w14:paraId="5A3F98EA" w14:textId="77777777" w:rsidR="00B020FA" w:rsidRPr="00382DF1" w:rsidRDefault="00B020FA" w:rsidP="00B020FA">
      <w:pPr>
        <w:jc w:val="both"/>
        <w:rPr>
          <w:lang w:val="en-US"/>
        </w:rPr>
      </w:pPr>
      <w:r w:rsidRPr="00382DF1">
        <w:rPr>
          <w:lang w:val="en-US"/>
        </w:rPr>
        <w:t xml:space="preserve">Miró, G., Segarra, S., Cerón, J. J., Ferrer, L., Solano-Gallego, L., Montell, L., et al. (2024). </w:t>
      </w:r>
      <w:r w:rsidRPr="00382DF1">
        <w:rPr>
          <w:i/>
          <w:iCs/>
          <w:lang w:val="en-US"/>
        </w:rPr>
        <w:t>New immunomodulatory treatment protocol for canine leishmaniosis reduces parasitemia and proteinuria</w:t>
      </w:r>
      <w:r w:rsidRPr="00382DF1">
        <w:rPr>
          <w:lang w:val="en-US"/>
        </w:rPr>
        <w:t xml:space="preserve">. </w:t>
      </w:r>
      <w:r w:rsidRPr="00382DF1">
        <w:rPr>
          <w:i/>
          <w:iCs/>
          <w:lang w:val="en-US"/>
        </w:rPr>
        <w:t>PLoS Neglected Tropical Diseases</w:t>
      </w:r>
      <w:r w:rsidRPr="00382DF1">
        <w:rPr>
          <w:lang w:val="en-US"/>
        </w:rPr>
        <w:t>, 18(12), e0012712.</w:t>
      </w:r>
    </w:p>
    <w:p w14:paraId="54DA40F8" w14:textId="77777777" w:rsidR="00B020FA" w:rsidRPr="00382DF1" w:rsidRDefault="00B020FA" w:rsidP="00B020FA">
      <w:pPr>
        <w:jc w:val="both"/>
        <w:rPr>
          <w:lang w:val="en-US"/>
        </w:rPr>
      </w:pPr>
      <w:r w:rsidRPr="00382DF1">
        <w:rPr>
          <w:lang w:val="en-US"/>
        </w:rPr>
        <w:t xml:space="preserve">Noli, C. &amp; Saridomichelakis, M. N. (2014). </w:t>
      </w:r>
      <w:r w:rsidRPr="00382DF1">
        <w:rPr>
          <w:i/>
          <w:iCs/>
          <w:lang w:val="en-US"/>
        </w:rPr>
        <w:t>An update on the diagnosis and treatment of canine leishmaniosis caused by Leishmania infantum</w:t>
      </w:r>
      <w:r w:rsidRPr="00382DF1">
        <w:rPr>
          <w:lang w:val="en-US"/>
        </w:rPr>
        <w:t xml:space="preserve"> (syn. </w:t>
      </w:r>
      <w:r w:rsidRPr="00382DF1">
        <w:rPr>
          <w:i/>
          <w:iCs/>
          <w:lang w:val="en-US"/>
        </w:rPr>
        <w:t>L. chagasi</w:t>
      </w:r>
      <w:r w:rsidRPr="00382DF1">
        <w:rPr>
          <w:lang w:val="en-US"/>
        </w:rPr>
        <w:t xml:space="preserve">). </w:t>
      </w:r>
      <w:r w:rsidRPr="00382DF1">
        <w:rPr>
          <w:i/>
          <w:iCs/>
          <w:lang w:val="en-US"/>
        </w:rPr>
        <w:t>The Veterinary Journal</w:t>
      </w:r>
      <w:r w:rsidRPr="00382DF1">
        <w:rPr>
          <w:lang w:val="en-US"/>
        </w:rPr>
        <w:t>.</w:t>
      </w:r>
    </w:p>
    <w:p w14:paraId="53FB3C84" w14:textId="77777777" w:rsidR="00B020FA" w:rsidRPr="00382DF1" w:rsidRDefault="00B020FA" w:rsidP="00B020FA">
      <w:pPr>
        <w:jc w:val="both"/>
        <w:rPr>
          <w:lang w:val="en-US"/>
        </w:rPr>
      </w:pPr>
      <w:r w:rsidRPr="00382DF1">
        <w:rPr>
          <w:lang w:val="en-US"/>
        </w:rPr>
        <w:t xml:space="preserve">Pennisi, M. G. (2014). </w:t>
      </w:r>
      <w:r w:rsidRPr="00382DF1">
        <w:rPr>
          <w:i/>
          <w:iCs/>
          <w:lang w:val="en-US"/>
        </w:rPr>
        <w:t>Leishmaniosis of companion animals in Europe: An update</w:t>
      </w:r>
      <w:r w:rsidRPr="00382DF1">
        <w:rPr>
          <w:lang w:val="en-US"/>
        </w:rPr>
        <w:t xml:space="preserve">. </w:t>
      </w:r>
      <w:r w:rsidRPr="00382DF1">
        <w:rPr>
          <w:i/>
          <w:iCs/>
          <w:lang w:val="en-US"/>
        </w:rPr>
        <w:t>Veterinary Parasitology</w:t>
      </w:r>
      <w:r w:rsidRPr="00382DF1">
        <w:rPr>
          <w:lang w:val="en-US"/>
        </w:rPr>
        <w:t>.</w:t>
      </w:r>
    </w:p>
    <w:p w14:paraId="684D664C" w14:textId="77777777" w:rsidR="00B020FA" w:rsidRPr="00382DF1" w:rsidRDefault="00B020FA" w:rsidP="00B020FA">
      <w:pPr>
        <w:jc w:val="both"/>
        <w:rPr>
          <w:lang w:val="en-US"/>
        </w:rPr>
      </w:pPr>
      <w:r w:rsidRPr="00382DF1">
        <w:rPr>
          <w:lang w:val="en-US"/>
        </w:rPr>
        <w:t xml:space="preserve">Pennisi, M. G., et al. (2015). </w:t>
      </w:r>
      <w:r w:rsidRPr="00382DF1">
        <w:rPr>
          <w:i/>
          <w:iCs/>
          <w:lang w:val="en-US"/>
        </w:rPr>
        <w:t>Update on canine leishmaniosis and recommendations on diagnosis and clinical management. Parasites &amp; Vectors</w:t>
      </w:r>
      <w:r w:rsidRPr="00382DF1">
        <w:rPr>
          <w:lang w:val="en-US"/>
        </w:rPr>
        <w:t>, 8, 302.</w:t>
      </w:r>
    </w:p>
    <w:p w14:paraId="7C5A6359" w14:textId="77777777" w:rsidR="00B020FA" w:rsidRPr="00382DF1" w:rsidRDefault="00B020FA" w:rsidP="00B020FA">
      <w:pPr>
        <w:jc w:val="both"/>
        <w:rPr>
          <w:lang w:val="en-US"/>
        </w:rPr>
      </w:pPr>
      <w:r w:rsidRPr="00382DF1">
        <w:rPr>
          <w:lang w:val="en-US"/>
        </w:rPr>
        <w:t xml:space="preserve">Saridomichelakis, M. N. (2009). </w:t>
      </w:r>
      <w:r w:rsidRPr="00382DF1">
        <w:rPr>
          <w:i/>
          <w:iCs/>
          <w:lang w:val="en-US"/>
        </w:rPr>
        <w:t>Advances in the pathogenesis of canine leishmaniosis: Epidemiologic and diagnostic implications</w:t>
      </w:r>
      <w:r w:rsidRPr="00382DF1">
        <w:rPr>
          <w:lang w:val="en-US"/>
        </w:rPr>
        <w:t xml:space="preserve">. </w:t>
      </w:r>
      <w:r w:rsidRPr="00382DF1">
        <w:rPr>
          <w:i/>
          <w:iCs/>
          <w:lang w:val="en-US"/>
        </w:rPr>
        <w:t>Veterinary Dermatology</w:t>
      </w:r>
      <w:r w:rsidRPr="00382DF1">
        <w:rPr>
          <w:lang w:val="en-US"/>
        </w:rPr>
        <w:t>, 20(5–6), 471–489.</w:t>
      </w:r>
    </w:p>
    <w:p w14:paraId="32A24332" w14:textId="77777777" w:rsidR="00B020FA" w:rsidRPr="00382DF1" w:rsidRDefault="00B020FA" w:rsidP="00B020FA">
      <w:pPr>
        <w:jc w:val="both"/>
        <w:rPr>
          <w:lang w:val="en-US"/>
        </w:rPr>
      </w:pPr>
      <w:r w:rsidRPr="00382DF1">
        <w:rPr>
          <w:lang w:val="en-US"/>
        </w:rPr>
        <w:lastRenderedPageBreak/>
        <w:t>Saridomichelakis, M. N., Baneth, G., Colombo, S., Dantas-Torres, F., Ferrer, L., Fondati, A., Miró, G., Ordeix, L., Otranto, D. &amp; Noli, C. (2025).</w:t>
      </w:r>
      <w:r w:rsidRPr="00382DF1">
        <w:rPr>
          <w:i/>
          <w:iCs/>
          <w:lang w:val="en-US"/>
        </w:rPr>
        <w:t xml:space="preserve"> World Association for Veterinary Dermatology consensus statement for diagnosis, and evidence-based clinical practice guidelines for treatment and prevention of canine leishmaniosis</w:t>
      </w:r>
      <w:r w:rsidRPr="00382DF1">
        <w:rPr>
          <w:lang w:val="en-US"/>
        </w:rPr>
        <w:t xml:space="preserve">. </w:t>
      </w:r>
      <w:r w:rsidRPr="00382DF1">
        <w:rPr>
          <w:i/>
          <w:iCs/>
          <w:lang w:val="en-US"/>
        </w:rPr>
        <w:t>Veterinary Dermatology</w:t>
      </w:r>
      <w:r w:rsidRPr="00382DF1">
        <w:rPr>
          <w:lang w:val="en-US"/>
        </w:rPr>
        <w:t>, 36(6), 723–787.</w:t>
      </w:r>
    </w:p>
    <w:p w14:paraId="15F8A45E" w14:textId="77777777" w:rsidR="00B020FA" w:rsidRPr="00382DF1" w:rsidRDefault="00B020FA" w:rsidP="00B020FA">
      <w:pPr>
        <w:jc w:val="both"/>
        <w:rPr>
          <w:lang w:val="en-US"/>
        </w:rPr>
      </w:pPr>
      <w:r w:rsidRPr="00382DF1">
        <w:rPr>
          <w:lang w:val="en-US"/>
        </w:rPr>
        <w:t xml:space="preserve">Solano-Gallego, L., et al. (2011). </w:t>
      </w:r>
      <w:r w:rsidRPr="00382DF1">
        <w:rPr>
          <w:i/>
          <w:iCs/>
          <w:lang w:val="en-US"/>
        </w:rPr>
        <w:t>LeishVet guidelines for the practical management of canine leishmaniosis.</w:t>
      </w:r>
      <w:r w:rsidRPr="00382DF1">
        <w:rPr>
          <w:lang w:val="en-US"/>
        </w:rPr>
        <w:t xml:space="preserve"> </w:t>
      </w:r>
      <w:r w:rsidRPr="00382DF1">
        <w:rPr>
          <w:i/>
          <w:iCs/>
          <w:lang w:val="en-US"/>
        </w:rPr>
        <w:t>Parasites &amp; Vectors</w:t>
      </w:r>
      <w:r w:rsidRPr="00382DF1">
        <w:rPr>
          <w:lang w:val="en-US"/>
        </w:rPr>
        <w:t>, 4, 86.</w:t>
      </w:r>
    </w:p>
    <w:p w14:paraId="7EC65D65" w14:textId="77777777" w:rsidR="00B020FA" w:rsidRPr="00382DF1" w:rsidRDefault="00B020FA" w:rsidP="00B020FA">
      <w:pPr>
        <w:jc w:val="both"/>
        <w:rPr>
          <w:lang w:val="en-US"/>
        </w:rPr>
      </w:pPr>
      <w:r w:rsidRPr="00382DF1">
        <w:rPr>
          <w:i/>
          <w:iCs/>
          <w:lang w:val="en-US"/>
        </w:rPr>
        <w:t>Tierärztliche Praxis Kleintiere Heimtiere</w:t>
      </w:r>
      <w:r w:rsidRPr="00382DF1">
        <w:rPr>
          <w:lang w:val="en-US"/>
        </w:rPr>
        <w:t xml:space="preserve">. (2018). </w:t>
      </w:r>
      <w:r w:rsidRPr="00382DF1">
        <w:rPr>
          <w:i/>
          <w:iCs/>
          <w:lang w:val="en-US"/>
        </w:rPr>
        <w:t xml:space="preserve">Tierärztliche Praxis Ausgabe K: Kleintiere/Heimtiere, </w:t>
      </w:r>
      <w:r w:rsidRPr="00382DF1">
        <w:rPr>
          <w:lang w:val="en-US"/>
        </w:rPr>
        <w:t>46(5), 315–322.</w:t>
      </w:r>
    </w:p>
    <w:p w14:paraId="03FF08F7" w14:textId="77777777" w:rsidR="00B020FA" w:rsidRPr="00382DF1" w:rsidRDefault="00B020FA" w:rsidP="00B020FA">
      <w:pPr>
        <w:jc w:val="both"/>
        <w:rPr>
          <w:lang w:val="en-US"/>
        </w:rPr>
      </w:pPr>
    </w:p>
    <w:p w14:paraId="42005F97" w14:textId="77777777" w:rsidR="00B020FA" w:rsidRPr="00382DF1" w:rsidRDefault="00B020FA" w:rsidP="00B020FA">
      <w:pPr>
        <w:jc w:val="both"/>
        <w:rPr>
          <w:lang w:val="en-US"/>
        </w:rPr>
      </w:pPr>
    </w:p>
    <w:p w14:paraId="32FF1992" w14:textId="77777777" w:rsidR="00B020FA" w:rsidRPr="00382DF1" w:rsidRDefault="00B020FA" w:rsidP="00B020FA">
      <w:pPr>
        <w:jc w:val="both"/>
        <w:rPr>
          <w:lang w:val="en-US"/>
        </w:rPr>
      </w:pPr>
    </w:p>
    <w:p w14:paraId="25EE137D" w14:textId="77777777" w:rsidR="00B020FA" w:rsidRPr="00382DF1" w:rsidRDefault="00B020FA" w:rsidP="00B020FA">
      <w:pPr>
        <w:jc w:val="both"/>
        <w:rPr>
          <w:lang w:val="en-US"/>
        </w:rPr>
      </w:pPr>
    </w:p>
    <w:p w14:paraId="5C3490DB" w14:textId="77777777" w:rsidR="00B020FA" w:rsidRPr="00382DF1" w:rsidRDefault="00B020FA" w:rsidP="00B020FA">
      <w:pPr>
        <w:jc w:val="both"/>
        <w:rPr>
          <w:lang w:val="en-US"/>
        </w:rPr>
      </w:pPr>
    </w:p>
    <w:p w14:paraId="66C3FD0D" w14:textId="77777777" w:rsidR="00B020FA" w:rsidRPr="00382DF1" w:rsidRDefault="00B020FA" w:rsidP="00B020FA">
      <w:pPr>
        <w:jc w:val="both"/>
        <w:rPr>
          <w:lang w:val="en-US"/>
        </w:rPr>
      </w:pPr>
    </w:p>
    <w:p w14:paraId="491B8877" w14:textId="77777777" w:rsidR="00B020FA" w:rsidRPr="00382DF1" w:rsidRDefault="00B020FA" w:rsidP="00B020FA">
      <w:pPr>
        <w:jc w:val="both"/>
        <w:rPr>
          <w:lang w:val="en-US"/>
        </w:rPr>
      </w:pPr>
    </w:p>
    <w:p w14:paraId="331E3744" w14:textId="77777777" w:rsidR="00B020FA" w:rsidRPr="00382DF1" w:rsidRDefault="00B020FA" w:rsidP="00B020FA">
      <w:pPr>
        <w:jc w:val="both"/>
        <w:rPr>
          <w:lang w:val="en-US"/>
        </w:rPr>
      </w:pPr>
    </w:p>
    <w:p w14:paraId="5822793C" w14:textId="77777777" w:rsidR="00B020FA" w:rsidRPr="00382DF1" w:rsidRDefault="00B020FA" w:rsidP="00B020FA">
      <w:pPr>
        <w:jc w:val="both"/>
        <w:rPr>
          <w:lang w:val="en-US"/>
        </w:rPr>
      </w:pPr>
    </w:p>
    <w:p w14:paraId="2174EC13" w14:textId="77777777" w:rsidR="00B020FA" w:rsidRPr="00382DF1" w:rsidRDefault="00B020FA" w:rsidP="00B020FA">
      <w:pPr>
        <w:jc w:val="both"/>
        <w:rPr>
          <w:lang w:val="en-US"/>
        </w:rPr>
      </w:pPr>
    </w:p>
    <w:p w14:paraId="6A27FC2F" w14:textId="77777777" w:rsidR="00B020FA" w:rsidRPr="00382DF1" w:rsidRDefault="00B020FA" w:rsidP="00B020FA">
      <w:pPr>
        <w:jc w:val="both"/>
        <w:rPr>
          <w:lang w:val="en-US"/>
        </w:rPr>
      </w:pPr>
    </w:p>
    <w:p w14:paraId="4A02B80A" w14:textId="77777777" w:rsidR="00B020FA" w:rsidRPr="00382DF1" w:rsidRDefault="00B020FA" w:rsidP="00B020FA">
      <w:pPr>
        <w:jc w:val="both"/>
        <w:rPr>
          <w:lang w:val="en-US"/>
        </w:rPr>
      </w:pPr>
    </w:p>
    <w:p w14:paraId="75B6C9F0" w14:textId="77777777" w:rsidR="00B020FA" w:rsidRPr="00382DF1" w:rsidRDefault="00B020FA" w:rsidP="00B020FA">
      <w:pPr>
        <w:jc w:val="both"/>
        <w:rPr>
          <w:lang w:val="en-US"/>
        </w:rPr>
      </w:pPr>
    </w:p>
    <w:p w14:paraId="14E02C71" w14:textId="77777777" w:rsidR="00B020FA" w:rsidRPr="00382DF1" w:rsidRDefault="00B020FA" w:rsidP="00B020FA">
      <w:pPr>
        <w:jc w:val="both"/>
        <w:rPr>
          <w:lang w:val="en-US"/>
        </w:rPr>
      </w:pPr>
    </w:p>
    <w:p w14:paraId="15DF4228" w14:textId="77777777" w:rsidR="00B020FA" w:rsidRPr="00382DF1" w:rsidRDefault="00B020FA" w:rsidP="00B020FA">
      <w:pPr>
        <w:jc w:val="both"/>
        <w:rPr>
          <w:lang w:val="en-US"/>
        </w:rPr>
      </w:pPr>
    </w:p>
    <w:p w14:paraId="75A49642" w14:textId="77777777" w:rsidR="00B020FA" w:rsidRPr="00382DF1" w:rsidRDefault="00B020FA" w:rsidP="00B020FA">
      <w:pPr>
        <w:jc w:val="both"/>
        <w:rPr>
          <w:lang w:val="en-US"/>
        </w:rPr>
      </w:pPr>
    </w:p>
    <w:p w14:paraId="209F2E34" w14:textId="77777777" w:rsidR="00B020FA" w:rsidRPr="00382DF1" w:rsidRDefault="00B020FA" w:rsidP="00B020FA">
      <w:pPr>
        <w:jc w:val="both"/>
        <w:rPr>
          <w:lang w:val="en-US"/>
        </w:rPr>
      </w:pPr>
    </w:p>
    <w:p w14:paraId="753C71C0" w14:textId="77777777" w:rsidR="00B020FA" w:rsidRPr="00382DF1" w:rsidRDefault="00B020FA" w:rsidP="00B020FA">
      <w:pPr>
        <w:jc w:val="both"/>
        <w:rPr>
          <w:lang w:val="en-US"/>
        </w:rPr>
      </w:pPr>
    </w:p>
    <w:p w14:paraId="26165CA1" w14:textId="77777777" w:rsidR="00B020FA" w:rsidRPr="00382DF1" w:rsidRDefault="00B020FA" w:rsidP="00B020FA">
      <w:pPr>
        <w:jc w:val="both"/>
        <w:rPr>
          <w:lang w:val="en-US"/>
        </w:rPr>
      </w:pPr>
    </w:p>
    <w:p w14:paraId="00D9A4CE" w14:textId="77777777" w:rsidR="00B020FA" w:rsidRPr="00382DF1" w:rsidRDefault="00B020FA" w:rsidP="00B020FA">
      <w:pPr>
        <w:jc w:val="both"/>
        <w:rPr>
          <w:lang w:val="en-US"/>
        </w:rPr>
      </w:pPr>
    </w:p>
    <w:p w14:paraId="27497455" w14:textId="77777777" w:rsidR="00B020FA" w:rsidRPr="00382DF1" w:rsidRDefault="00B020FA" w:rsidP="00B020FA">
      <w:pPr>
        <w:jc w:val="both"/>
        <w:rPr>
          <w:lang w:val="en-US"/>
        </w:rPr>
      </w:pPr>
    </w:p>
    <w:p w14:paraId="5B08A48E" w14:textId="77777777" w:rsidR="00B020FA" w:rsidRPr="00382DF1" w:rsidRDefault="00B020FA" w:rsidP="00B020FA">
      <w:pPr>
        <w:jc w:val="both"/>
        <w:rPr>
          <w:lang w:val="en-US"/>
        </w:rPr>
      </w:pPr>
    </w:p>
    <w:p w14:paraId="3F991902" w14:textId="77777777" w:rsidR="00B020FA" w:rsidRPr="00382DF1" w:rsidRDefault="00B020FA" w:rsidP="00B020FA">
      <w:pPr>
        <w:jc w:val="both"/>
        <w:rPr>
          <w:lang w:val="en-US"/>
        </w:rPr>
      </w:pPr>
    </w:p>
    <w:p w14:paraId="0202E6A9" w14:textId="77777777" w:rsidR="00B020FA" w:rsidRPr="00382DF1" w:rsidRDefault="00B020FA" w:rsidP="00B020FA">
      <w:pPr>
        <w:jc w:val="both"/>
        <w:rPr>
          <w:lang w:val="en-US"/>
        </w:rPr>
      </w:pPr>
    </w:p>
    <w:p w14:paraId="6DD78D9E" w14:textId="77777777" w:rsidR="00B020FA" w:rsidRPr="00382DF1" w:rsidRDefault="00B020FA" w:rsidP="00B020FA">
      <w:pPr>
        <w:jc w:val="both"/>
        <w:rPr>
          <w:lang w:val="en-US"/>
        </w:rPr>
      </w:pPr>
    </w:p>
    <w:p w14:paraId="1AF9F530" w14:textId="77777777" w:rsidR="00B020FA" w:rsidRPr="00382DF1" w:rsidRDefault="00B020FA" w:rsidP="00B020FA">
      <w:pPr>
        <w:jc w:val="both"/>
        <w:rPr>
          <w:lang w:val="en-US"/>
        </w:rPr>
      </w:pPr>
      <w:r w:rsidRPr="00382DF1">
        <w:rPr>
          <w:b/>
          <w:bCs/>
          <w:lang w:val="en-US"/>
        </w:rPr>
        <w:lastRenderedPageBreak/>
        <w:t>A Cat-and-Mouse Game: The Staggering Discovery of Rustrela Virus</w:t>
      </w:r>
    </w:p>
    <w:p w14:paraId="023FF1E8" w14:textId="77777777" w:rsidR="00B020FA" w:rsidRPr="00B020FA" w:rsidRDefault="00B020FA" w:rsidP="00B020FA">
      <w:pPr>
        <w:jc w:val="both"/>
      </w:pPr>
      <w:r w:rsidRPr="00B020FA">
        <w:t>Βλάχου-Πορτάρη Εμμανουέλα</w:t>
      </w:r>
      <w:r w:rsidRPr="00B020FA">
        <w:rPr>
          <w:vertAlign w:val="superscript"/>
        </w:rPr>
        <w:t>1</w:t>
      </w:r>
      <w:r w:rsidRPr="00B020FA">
        <w:t>, Βαλιάκος Γιώργος</w:t>
      </w:r>
      <w:r w:rsidRPr="00B020FA">
        <w:rPr>
          <w:vertAlign w:val="superscript"/>
        </w:rPr>
        <w:t>2</w:t>
      </w:r>
    </w:p>
    <w:p w14:paraId="6A2FFEFC" w14:textId="77777777" w:rsidR="00B020FA" w:rsidRPr="00B020FA" w:rsidRDefault="00B020FA">
      <w:pPr>
        <w:numPr>
          <w:ilvl w:val="0"/>
          <w:numId w:val="45"/>
        </w:numPr>
        <w:jc w:val="both"/>
      </w:pPr>
      <w:r w:rsidRPr="00B020FA">
        <w:t>Προπτυχιακή Φοιτήτρια, Τμήμα Κτηνιατρικής ΠΘ</w:t>
      </w:r>
    </w:p>
    <w:p w14:paraId="4E56021C" w14:textId="77777777" w:rsidR="00B020FA" w:rsidRPr="00B020FA" w:rsidRDefault="00B020FA">
      <w:pPr>
        <w:numPr>
          <w:ilvl w:val="0"/>
          <w:numId w:val="45"/>
        </w:numPr>
        <w:jc w:val="both"/>
      </w:pPr>
      <w:r w:rsidRPr="00B020FA">
        <w:t>Αναπληρωτής Καθηγητής, Εργαστήριο Μικροβιολογίας και Παρασιτολογίας, Τμήμα Κτηνιατρικής, Πανεπιστήμιο Θεσσαλίας </w:t>
      </w:r>
    </w:p>
    <w:p w14:paraId="549BC09D" w14:textId="77777777" w:rsidR="00B020FA" w:rsidRPr="00B020FA" w:rsidRDefault="00B020FA" w:rsidP="00B020FA">
      <w:pPr>
        <w:jc w:val="both"/>
      </w:pPr>
    </w:p>
    <w:p w14:paraId="76393C12" w14:textId="77777777" w:rsidR="00B020FA" w:rsidRPr="00B020FA" w:rsidRDefault="00B020FA" w:rsidP="00B020FA">
      <w:pPr>
        <w:jc w:val="both"/>
      </w:pPr>
      <w:r w:rsidRPr="00B020FA">
        <w:rPr>
          <w:b/>
          <w:bCs/>
        </w:rPr>
        <w:t>Περίληψη</w:t>
      </w:r>
    </w:p>
    <w:p w14:paraId="0CC2741B" w14:textId="77777777" w:rsidR="00B020FA" w:rsidRPr="00B020FA" w:rsidRDefault="00B020FA" w:rsidP="00B020FA">
      <w:pPr>
        <w:jc w:val="both"/>
      </w:pPr>
      <w:r w:rsidRPr="00B020FA">
        <w:t xml:space="preserve"> Η πολιοεγκεφαλομυελίτιδα της γάτας (Feline Staggering Disease, FSD) περιγράφηκε για πρώτη φορά το 1974 στη Σουηδία, όταν ορισμένες γάτες εμφάνισαν αιφνίδια νευρολογικά συμπτώματα, εκ των οποίων κυρίως αταξική βάδιση και αδυναμία σύμπτυξης των ονύχων. Η ιστοπαθολογική εξέταση του εγκεφάλου και του νωτιαίου μυελού κατέδειξε λεμφοϊστιοκυτταρική, μη πυώδη μηνιγγοεγκεφαλομυελίτιδα (Kronevi et al., 1974). Εντούτοις, η αιτιολογία αυτής παρέμενε άγνωστη. Τη δεκαετία του 1990 υποτέθηκε πως επρόκειτο για ιογενή νόσο (Lundgren, 1992) και η FSD εν τέλει αποδόθηκε στον ιό BoDV-1 (Borna disease virus 1) (Lundgren &amp; Ludwig, 1993; Lundgren et al., 1995), της οικογένειας </w:t>
      </w:r>
      <w:r w:rsidRPr="00B020FA">
        <w:rPr>
          <w:i/>
          <w:iCs/>
        </w:rPr>
        <w:t>Bornaviridae</w:t>
      </w:r>
      <w:r w:rsidRPr="00B020FA">
        <w:t xml:space="preserve">. Πρόκειται για νευροτρόπο ιό με ευρύ φάσμα ξενιστών (Rubbenstroth et al., 2021; Vollmuth et al., 2025). Παρά ταύτα, η αιτιολογική συσχέτιση μεταξύ του BoDV-1 και της FSD δεν είχε αποδειχθεί. Το 2023, μια αναδρομική μελέτη αμφισβήτησε την προηγούμενη υπόθεση, θέτοντας τον πρόσφατα ανακαλυφθέντα ιό </w:t>
      </w:r>
      <w:r w:rsidRPr="00B020FA">
        <w:rPr>
          <w:i/>
          <w:iCs/>
        </w:rPr>
        <w:t>Rubivirus strelense</w:t>
      </w:r>
      <w:r w:rsidRPr="00B020FA">
        <w:t xml:space="preserve"> (Rustrela virus) της οικογένειας </w:t>
      </w:r>
      <w:r w:rsidRPr="00B020FA">
        <w:rPr>
          <w:i/>
          <w:iCs/>
        </w:rPr>
        <w:t>Matonaviridae</w:t>
      </w:r>
      <w:r w:rsidRPr="00B020FA">
        <w:t xml:space="preserve"> ως τον αιτιολογικό παράγοντα(Bennett et al., 2020; Matiasek et al., 2023; Thilén et al., 2024). Στην εν λόγω παρουσίαση θα  αναλυθούν τα χαρακτηριστικά, ο πιθανός μηχανισμός μετάδοσης και η ζωονοτική σημασία του Rustrela virus και  θα συζητηθούν πιθανά μέτρα πρόληψης και θεραπείας μέσω μίας προσέγγισης συγκριτικής ιολογίας.</w:t>
      </w:r>
    </w:p>
    <w:p w14:paraId="1AECE323" w14:textId="77777777" w:rsidR="00B020FA" w:rsidRPr="00B020FA" w:rsidRDefault="00B020FA" w:rsidP="00B020FA">
      <w:pPr>
        <w:jc w:val="both"/>
      </w:pPr>
      <w:r w:rsidRPr="00B020FA">
        <w:rPr>
          <w:b/>
          <w:bCs/>
        </w:rPr>
        <w:t> </w:t>
      </w:r>
    </w:p>
    <w:p w14:paraId="0CD27974" w14:textId="77777777" w:rsidR="00B020FA" w:rsidRPr="00B020FA" w:rsidRDefault="00B020FA" w:rsidP="00B020FA">
      <w:pPr>
        <w:jc w:val="both"/>
      </w:pPr>
      <w:r w:rsidRPr="00B020FA">
        <w:rPr>
          <w:b/>
          <w:bCs/>
        </w:rPr>
        <w:t>Βιβλιογραφία</w:t>
      </w:r>
    </w:p>
    <w:p w14:paraId="28F1139F" w14:textId="0160CCE8" w:rsidR="00B020FA" w:rsidRPr="00B020FA" w:rsidRDefault="00B020FA" w:rsidP="00B020FA">
      <w:pPr>
        <w:jc w:val="both"/>
      </w:pPr>
      <w:r w:rsidRPr="00B020FA">
        <w:t xml:space="preserve">Bennett, A. J., Paskey, A. C., Ebinger, A., Pfaff, F., Priemer, G., Höper, D., Breithaupt, A., Heuser, E., Ulrich, R. G., Kuhn, J. H., Bishop-Lilly, K. A., Beer, M., &amp; Goldberg, T. L. (2020). </w:t>
      </w:r>
      <w:r w:rsidRPr="00B020FA">
        <w:rPr>
          <w:i/>
          <w:iCs/>
        </w:rPr>
        <w:t>Relatives of rubella virus in diverse mammals. Nature</w:t>
      </w:r>
      <w:r w:rsidRPr="00B020FA">
        <w:t xml:space="preserve">, </w:t>
      </w:r>
      <w:r w:rsidRPr="00B020FA">
        <w:rPr>
          <w:i/>
          <w:iCs/>
        </w:rPr>
        <w:t>586</w:t>
      </w:r>
      <w:r w:rsidRPr="00B020FA">
        <w:t>(7829), 424–428.</w:t>
      </w:r>
      <w:hyperlink r:id="rId68" w:history="1">
        <w:r w:rsidRPr="00B020FA">
          <w:rPr>
            <w:rStyle w:val="-"/>
          </w:rPr>
          <w:t> </w:t>
        </w:r>
      </w:hyperlink>
    </w:p>
    <w:p w14:paraId="35658147" w14:textId="79A17FF9" w:rsidR="00B020FA" w:rsidRPr="00B020FA" w:rsidRDefault="00B020FA" w:rsidP="00B020FA">
      <w:pPr>
        <w:jc w:val="both"/>
      </w:pPr>
      <w:r w:rsidRPr="00B020FA">
        <w:t>Kronevi, T., Nordstrom, M., Moreno, W., &amp; Nilsson, P. O. (1974).</w:t>
      </w:r>
      <w:r w:rsidRPr="00B020FA">
        <w:rPr>
          <w:i/>
          <w:iCs/>
        </w:rPr>
        <w:t xml:space="preserve"> Feline ataxia due to nonsuppurative meningoencephalomyelitis of unknown aetiology.</w:t>
      </w:r>
      <w:r w:rsidRPr="00B020FA">
        <w:t xml:space="preserve"> </w:t>
      </w:r>
      <w:r w:rsidRPr="00B020FA">
        <w:rPr>
          <w:i/>
          <w:iCs/>
        </w:rPr>
        <w:t>Nordisk Veterinaermedicin</w:t>
      </w:r>
      <w:r w:rsidRPr="00B020FA">
        <w:t xml:space="preserve">, </w:t>
      </w:r>
      <w:r w:rsidRPr="00B020FA">
        <w:rPr>
          <w:i/>
          <w:iCs/>
        </w:rPr>
        <w:t>26</w:t>
      </w:r>
      <w:r w:rsidRPr="00B020FA">
        <w:t>(12), 720–725.</w:t>
      </w:r>
    </w:p>
    <w:p w14:paraId="081A0DD5" w14:textId="43B76D4B" w:rsidR="00B020FA" w:rsidRPr="00B020FA" w:rsidRDefault="00B020FA" w:rsidP="00B020FA">
      <w:pPr>
        <w:jc w:val="both"/>
      </w:pPr>
      <w:r w:rsidRPr="00B020FA">
        <w:t xml:space="preserve">Lundgren, A. L., &amp; Ludwig, H. (1993). </w:t>
      </w:r>
      <w:r w:rsidRPr="00B020FA">
        <w:rPr>
          <w:i/>
          <w:iCs/>
        </w:rPr>
        <w:t>Clinically diseased cats with non-suppurative meningoencephalomyelitis have Borna disease virus-specific antibodies.</w:t>
      </w:r>
      <w:r w:rsidRPr="00B020FA">
        <w:t xml:space="preserve"> </w:t>
      </w:r>
      <w:r w:rsidRPr="00B020FA">
        <w:rPr>
          <w:i/>
          <w:iCs/>
        </w:rPr>
        <w:t>Acta Veterinaria Scandinavica</w:t>
      </w:r>
      <w:r w:rsidRPr="00B020FA">
        <w:t xml:space="preserve">, </w:t>
      </w:r>
      <w:r w:rsidRPr="00B020FA">
        <w:rPr>
          <w:i/>
          <w:iCs/>
        </w:rPr>
        <w:t>34</w:t>
      </w:r>
      <w:r w:rsidRPr="00B020FA">
        <w:t>(1), 101–103. </w:t>
      </w:r>
    </w:p>
    <w:p w14:paraId="66B30968" w14:textId="6EE8A298" w:rsidR="00B020FA" w:rsidRPr="00B020FA" w:rsidRDefault="00B020FA" w:rsidP="00B020FA">
      <w:pPr>
        <w:jc w:val="both"/>
      </w:pPr>
      <w:r w:rsidRPr="00B020FA">
        <w:t xml:space="preserve">Lundgren, A.-L. (1992). </w:t>
      </w:r>
      <w:r w:rsidRPr="00B020FA">
        <w:rPr>
          <w:i/>
          <w:iCs/>
        </w:rPr>
        <w:t>Feline non-suppurative meningoencephalomyelitis. A clinical and pathological study</w:t>
      </w:r>
      <w:r w:rsidRPr="00B020FA">
        <w:t xml:space="preserve">. </w:t>
      </w:r>
      <w:r w:rsidRPr="00B020FA">
        <w:rPr>
          <w:i/>
          <w:iCs/>
        </w:rPr>
        <w:t>Journal of Comparative Pathology</w:t>
      </w:r>
      <w:r w:rsidRPr="00B020FA">
        <w:t xml:space="preserve">, </w:t>
      </w:r>
      <w:r w:rsidRPr="00B020FA">
        <w:rPr>
          <w:i/>
          <w:iCs/>
        </w:rPr>
        <w:t>107</w:t>
      </w:r>
      <w:r w:rsidRPr="00B020FA">
        <w:t>(4), 411–425.</w:t>
      </w:r>
      <w:hyperlink r:id="rId69" w:history="1">
        <w:r w:rsidRPr="00B020FA">
          <w:rPr>
            <w:rStyle w:val="-"/>
          </w:rPr>
          <w:t> </w:t>
        </w:r>
      </w:hyperlink>
    </w:p>
    <w:p w14:paraId="1C5D2FF8" w14:textId="77777777" w:rsidR="00B020FA" w:rsidRDefault="00B020FA" w:rsidP="00B020FA">
      <w:pPr>
        <w:jc w:val="both"/>
      </w:pPr>
      <w:r w:rsidRPr="00B020FA">
        <w:t xml:space="preserve">Lundgren, A.-L., Lindberg, R., Ludwig, H., &amp; Gosztonyi, G. (1995). Immunoreactivity of the central nervous system in cats with a Borna disease-like meningoencephalomyelitis (staggering disease). </w:t>
      </w:r>
      <w:r w:rsidRPr="00B020FA">
        <w:rPr>
          <w:i/>
          <w:iCs/>
        </w:rPr>
        <w:t>Acta Neuropathologica</w:t>
      </w:r>
      <w:r w:rsidRPr="00B020FA">
        <w:t xml:space="preserve">, </w:t>
      </w:r>
      <w:r w:rsidRPr="00B020FA">
        <w:rPr>
          <w:i/>
          <w:iCs/>
        </w:rPr>
        <w:t>90</w:t>
      </w:r>
      <w:r w:rsidRPr="00B020FA">
        <w:t>(2), 184–193.</w:t>
      </w:r>
      <w:hyperlink r:id="rId70" w:history="1">
        <w:r w:rsidRPr="00B020FA">
          <w:rPr>
            <w:rStyle w:val="-"/>
          </w:rPr>
          <w:t> </w:t>
        </w:r>
      </w:hyperlink>
    </w:p>
    <w:p w14:paraId="1C9C1290" w14:textId="3E060061" w:rsidR="00B020FA" w:rsidRPr="00B020FA" w:rsidRDefault="00B020FA" w:rsidP="00B020FA">
      <w:pPr>
        <w:jc w:val="both"/>
      </w:pPr>
      <w:r w:rsidRPr="00B020FA">
        <w:lastRenderedPageBreak/>
        <w:t>Lundgren, A.-L., Zimmermann, W., Bode, L., Czech, G., Gosztonyi, G., Lindberg, R., &amp; Ludwig, H. (1995). S</w:t>
      </w:r>
      <w:r w:rsidRPr="00B020FA">
        <w:rPr>
          <w:i/>
          <w:iCs/>
        </w:rPr>
        <w:t>taggering disease in cats: Isolation and characterization of the feline Borna disease virus.</w:t>
      </w:r>
      <w:r w:rsidRPr="00B020FA">
        <w:t xml:space="preserve"> </w:t>
      </w:r>
      <w:r w:rsidRPr="00B020FA">
        <w:rPr>
          <w:i/>
          <w:iCs/>
        </w:rPr>
        <w:t>Journal of General Virology</w:t>
      </w:r>
      <w:r w:rsidRPr="00B020FA">
        <w:t xml:space="preserve">, </w:t>
      </w:r>
      <w:r w:rsidRPr="00B020FA">
        <w:rPr>
          <w:i/>
          <w:iCs/>
        </w:rPr>
        <w:t>76</w:t>
      </w:r>
      <w:r w:rsidRPr="00B020FA">
        <w:t>(9), 2215–2222. </w:t>
      </w:r>
    </w:p>
    <w:p w14:paraId="2AA10832" w14:textId="0749676D" w:rsidR="00B020FA" w:rsidRPr="00B020FA" w:rsidRDefault="00B020FA" w:rsidP="00B020FA">
      <w:pPr>
        <w:jc w:val="both"/>
      </w:pPr>
      <w:r w:rsidRPr="00B020FA">
        <w:t xml:space="preserve">Matiasek, K., Pfaff, F., Weissenböck, H., Wylezich, C., Kolodziejek, J., Tengstrand, S., Ecke, F., Nippert, S., Starcky, P., Litz, B., Nessler, J., Wohlsein, P., Baumbach, C., Mundhenk, L., Aebischer, A., Reiche, S., Weidinger, P., Olofsson, K. M., Rohdin, C.,  Rubbenstroth, D. (2023). </w:t>
      </w:r>
      <w:r w:rsidRPr="00B020FA">
        <w:rPr>
          <w:i/>
          <w:iCs/>
        </w:rPr>
        <w:t>Mystery of fatal ‘staggering disease’ unravelled: Novel rustrela virus causes severe meningoencephalomyelitis in domestic cats. Nature Communications</w:t>
      </w:r>
      <w:r w:rsidRPr="00B020FA">
        <w:t xml:space="preserve">, </w:t>
      </w:r>
      <w:r w:rsidRPr="00B020FA">
        <w:rPr>
          <w:i/>
          <w:iCs/>
        </w:rPr>
        <w:t>14</w:t>
      </w:r>
      <w:r w:rsidRPr="00B020FA">
        <w:t>(1), 624. </w:t>
      </w:r>
    </w:p>
    <w:p w14:paraId="468B1E0F" w14:textId="26118070" w:rsidR="00B020FA" w:rsidRPr="00B020FA" w:rsidRDefault="00B020FA" w:rsidP="00B020FA">
      <w:pPr>
        <w:jc w:val="both"/>
      </w:pPr>
      <w:r w:rsidRPr="00B020FA">
        <w:t>Rubbenstroth, D., Briese, T., Dürrwald, R., Horie (</w:t>
      </w:r>
      <w:r w:rsidRPr="00B020FA">
        <w:rPr>
          <w:rFonts w:ascii="MS Gothic" w:eastAsia="MS Gothic" w:hAnsi="MS Gothic" w:cs="MS Gothic" w:hint="eastAsia"/>
        </w:rPr>
        <w:t>堀江真行</w:t>
      </w:r>
      <w:r w:rsidRPr="00B020FA">
        <w:t>), M., Hyndman, T. H., Kuhn, J. H., Nowotny, N., Payne, S., Stenglein, M. D., Tomonaga (</w:t>
      </w:r>
      <w:r w:rsidRPr="00B020FA">
        <w:rPr>
          <w:rFonts w:ascii="MS Gothic" w:eastAsia="MS Gothic" w:hAnsi="MS Gothic" w:cs="MS Gothic" w:hint="eastAsia"/>
        </w:rPr>
        <w:t>朝長啓造</w:t>
      </w:r>
      <w:r w:rsidRPr="00B020FA">
        <w:t>), K., &amp; ICTV Report Consortium. (2021).</w:t>
      </w:r>
      <w:r w:rsidRPr="00B020FA">
        <w:rPr>
          <w:i/>
          <w:iCs/>
        </w:rPr>
        <w:t xml:space="preserve"> ICTV Virus Taxonomy Profile: Bornaviridae</w:t>
      </w:r>
      <w:r w:rsidRPr="00B020FA">
        <w:t xml:space="preserve">. </w:t>
      </w:r>
      <w:r w:rsidRPr="00B020FA">
        <w:rPr>
          <w:i/>
          <w:iCs/>
        </w:rPr>
        <w:t>Journal of General Virology</w:t>
      </w:r>
      <w:r w:rsidRPr="00B020FA">
        <w:t xml:space="preserve">, </w:t>
      </w:r>
      <w:r w:rsidRPr="00B020FA">
        <w:rPr>
          <w:i/>
          <w:iCs/>
        </w:rPr>
        <w:t>102</w:t>
      </w:r>
      <w:r w:rsidRPr="00B020FA">
        <w:t>(7).</w:t>
      </w:r>
    </w:p>
    <w:p w14:paraId="25322802" w14:textId="0879193D" w:rsidR="00B020FA" w:rsidRPr="00B020FA" w:rsidRDefault="00B020FA" w:rsidP="00B020FA">
      <w:pPr>
        <w:jc w:val="both"/>
      </w:pPr>
      <w:r w:rsidRPr="00B020FA">
        <w:t xml:space="preserve">Thilén, E., Rubbenstroth, D., Tengstrand, S., Pfaff, F., Wensman, J. J., &amp; Ley, C. (2024). </w:t>
      </w:r>
      <w:r w:rsidRPr="00B020FA">
        <w:rPr>
          <w:i/>
          <w:iCs/>
        </w:rPr>
        <w:t>Evidence of rustrela virus-associated feline staggering disease in Sweden since the 1970s. Acta Veterinaria Scandinavica</w:t>
      </w:r>
      <w:r w:rsidRPr="00B020FA">
        <w:t xml:space="preserve">, </w:t>
      </w:r>
      <w:r w:rsidRPr="00B020FA">
        <w:rPr>
          <w:i/>
          <w:iCs/>
        </w:rPr>
        <w:t>66</w:t>
      </w:r>
      <w:r w:rsidRPr="00B020FA">
        <w:t>(1), 59. </w:t>
      </w:r>
    </w:p>
    <w:p w14:paraId="1035A008" w14:textId="77777777" w:rsidR="00B020FA" w:rsidRPr="00233C2F" w:rsidRDefault="00B020FA" w:rsidP="00B020FA">
      <w:pPr>
        <w:jc w:val="both"/>
      </w:pPr>
      <w:r w:rsidRPr="00B020FA">
        <w:t xml:space="preserve">Vollmuth, Y., Jungbäck, N., Grochowski, P., Mögele, T., Stark, L., Zarrabi, N. S., Schlegel, J., Schaller, T., Märkl, B., Matiasek, K., &amp; Liesche-Starnecker, F. (2025). </w:t>
      </w:r>
      <w:r w:rsidRPr="00B020FA">
        <w:rPr>
          <w:i/>
          <w:iCs/>
        </w:rPr>
        <w:t>Mapping Bornavirus encephalitis—A comparative study of viral spread and immune response in human and animal dead-end hosts.</w:t>
      </w:r>
      <w:r w:rsidRPr="00B020FA">
        <w:t xml:space="preserve"> </w:t>
      </w:r>
      <w:r w:rsidRPr="00B020FA">
        <w:rPr>
          <w:i/>
          <w:iCs/>
        </w:rPr>
        <w:t>PLOS</w:t>
      </w:r>
      <w:r w:rsidRPr="00233C2F">
        <w:rPr>
          <w:i/>
          <w:iCs/>
        </w:rPr>
        <w:t xml:space="preserve"> </w:t>
      </w:r>
      <w:r w:rsidRPr="00B020FA">
        <w:rPr>
          <w:i/>
          <w:iCs/>
        </w:rPr>
        <w:t>Pathogens</w:t>
      </w:r>
      <w:r w:rsidRPr="00233C2F">
        <w:t xml:space="preserve">, </w:t>
      </w:r>
      <w:r w:rsidRPr="00233C2F">
        <w:rPr>
          <w:i/>
          <w:iCs/>
        </w:rPr>
        <w:t>21</w:t>
      </w:r>
      <w:r w:rsidRPr="00233C2F">
        <w:t xml:space="preserve">(8), </w:t>
      </w:r>
      <w:r w:rsidRPr="00B020FA">
        <w:t>e</w:t>
      </w:r>
      <w:r w:rsidRPr="00233C2F">
        <w:t>1013400.</w:t>
      </w:r>
      <w:hyperlink r:id="rId71" w:history="1">
        <w:r w:rsidRPr="00B020FA">
          <w:rPr>
            <w:rStyle w:val="-"/>
          </w:rPr>
          <w:t> </w:t>
        </w:r>
      </w:hyperlink>
    </w:p>
    <w:p w14:paraId="74491B6F" w14:textId="77777777" w:rsidR="00B020FA" w:rsidRPr="00233C2F" w:rsidRDefault="00B020FA" w:rsidP="00B020FA">
      <w:pPr>
        <w:jc w:val="both"/>
      </w:pPr>
      <w:r w:rsidRPr="00B020FA">
        <w:rPr>
          <w:b/>
          <w:bCs/>
        </w:rPr>
        <w:t> </w:t>
      </w:r>
    </w:p>
    <w:p w14:paraId="7D518C95" w14:textId="53D28718" w:rsidR="00B020FA" w:rsidRPr="00233C2F" w:rsidRDefault="00844433" w:rsidP="00844433">
      <w:pPr>
        <w:jc w:val="both"/>
      </w:pPr>
      <w:r w:rsidRPr="00233C2F">
        <w:br/>
      </w:r>
      <w:r w:rsidRPr="00233C2F">
        <w:br/>
      </w:r>
      <w:r w:rsidRPr="00233C2F">
        <w:br/>
      </w:r>
      <w:r w:rsidRPr="00233C2F">
        <w:br/>
      </w:r>
      <w:r w:rsidRPr="00233C2F">
        <w:br/>
      </w:r>
      <w:r w:rsidRPr="00233C2F">
        <w:br/>
      </w:r>
      <w:r w:rsidRPr="00233C2F">
        <w:br/>
      </w:r>
      <w:r w:rsidRPr="00233C2F">
        <w:br/>
      </w:r>
      <w:r w:rsidRPr="00233C2F">
        <w:br/>
      </w:r>
    </w:p>
    <w:p w14:paraId="4E957E28" w14:textId="77777777" w:rsidR="00B020FA" w:rsidRPr="00233C2F" w:rsidRDefault="00B020FA">
      <w:r w:rsidRPr="00233C2F">
        <w:br w:type="page"/>
      </w:r>
    </w:p>
    <w:p w14:paraId="6401796C" w14:textId="5F226FAC" w:rsidR="00B020FA" w:rsidRPr="00233C2F" w:rsidRDefault="00B020FA" w:rsidP="00B020FA">
      <w:pPr>
        <w:jc w:val="both"/>
      </w:pPr>
      <w:r w:rsidRPr="00B020FA">
        <w:rPr>
          <w:b/>
          <w:bCs/>
        </w:rPr>
        <w:lastRenderedPageBreak/>
        <w:t>Το Γονίδιο της Ευζωίας και η Θέση του Κτηνιάτρου σ’ έναν Κόσμο που Αλλάζει</w:t>
      </w:r>
    </w:p>
    <w:p w14:paraId="279BFF46" w14:textId="77777777" w:rsidR="00B020FA" w:rsidRPr="00B020FA" w:rsidRDefault="00B020FA" w:rsidP="00B020FA">
      <w:pPr>
        <w:jc w:val="both"/>
      </w:pPr>
      <w:r w:rsidRPr="00B020FA">
        <w:t>Μάστορας Ν. Πέτρος</w:t>
      </w:r>
      <w:r w:rsidRPr="00B020FA">
        <w:rPr>
          <w:vertAlign w:val="superscript"/>
        </w:rPr>
        <w:t>1</w:t>
      </w:r>
      <w:r w:rsidRPr="00B020FA">
        <w:t>, Βαλεργάκης Ε. Γεώργιος</w:t>
      </w:r>
      <w:r w:rsidRPr="00B020FA">
        <w:rPr>
          <w:vertAlign w:val="superscript"/>
        </w:rPr>
        <w:t>2</w:t>
      </w:r>
    </w:p>
    <w:p w14:paraId="269CEE82" w14:textId="77777777" w:rsidR="00B020FA" w:rsidRPr="00B020FA" w:rsidRDefault="00B020FA">
      <w:pPr>
        <w:numPr>
          <w:ilvl w:val="0"/>
          <w:numId w:val="46"/>
        </w:numPr>
        <w:jc w:val="both"/>
      </w:pPr>
      <w:r w:rsidRPr="00B020FA">
        <w:t>Προπτυχιακός Φοιτητής, Τμήμα Κτηνιατρικής Σχολής Επιστημών Υγείας, Αριστοτελείου Πανεπιστημίου Θεσσαλονίκης</w:t>
      </w:r>
    </w:p>
    <w:p w14:paraId="6D76AF0A" w14:textId="77777777" w:rsidR="00B020FA" w:rsidRPr="00B020FA" w:rsidRDefault="00B020FA">
      <w:pPr>
        <w:numPr>
          <w:ilvl w:val="0"/>
          <w:numId w:val="46"/>
        </w:numPr>
        <w:jc w:val="both"/>
      </w:pPr>
      <w:r w:rsidRPr="00B020FA">
        <w:t>Καθηγητής, Εργαστήριο Ζωικής Παραγωγής &amp; Προστασίας του Περιβάλλοντος, Τμήμα Κτηνιατρικής, Σχολή Επιστημών Υγείας, Αριστοτέλειο Πανεπιστήμιο Θεσσαλονίκης</w:t>
      </w:r>
    </w:p>
    <w:p w14:paraId="7D260D36" w14:textId="77777777" w:rsidR="00B020FA" w:rsidRPr="00B020FA" w:rsidRDefault="00B020FA" w:rsidP="00B020FA">
      <w:pPr>
        <w:jc w:val="both"/>
      </w:pPr>
    </w:p>
    <w:p w14:paraId="37D5D71D" w14:textId="77777777" w:rsidR="00B020FA" w:rsidRPr="00B020FA" w:rsidRDefault="00B020FA" w:rsidP="00B020FA">
      <w:pPr>
        <w:jc w:val="both"/>
      </w:pPr>
      <w:r w:rsidRPr="00B020FA">
        <w:rPr>
          <w:b/>
          <w:bCs/>
        </w:rPr>
        <w:t>Περίληψη</w:t>
      </w:r>
    </w:p>
    <w:p w14:paraId="21AA4F2D" w14:textId="77777777" w:rsidR="00B020FA" w:rsidRPr="00B020FA" w:rsidRDefault="00B020FA" w:rsidP="00B020FA">
      <w:pPr>
        <w:jc w:val="both"/>
      </w:pPr>
      <w:r w:rsidRPr="00B020FA">
        <w:t>Οι απαιτήσεις των καταναλωτών, η ανάγκη αύξησης της παραγωγικότητας και η διασφάλιση της ευζωίας των ζώων, οδηγεί στην εξέλιξη τεχνολογιών που στοχεύουν στη μείωση της συχνότητας εμφάνισης παθολογικών καταστάσεων και τη μακροβιότητα των παραγωγικών ζώων και ως εκ τούτου στην μείωση του κόστους παραγωγής. Σκοπός της παρούσας βιβλιογραφικής έρευνας είναι η παρουσίαση και ανάδειξη των νέων, γενετικών μεθόδων πρόληψης ασθενειών και διαφύλαξης της υγείας και ευζωίας των γαλακτοπαραγωγών αγελάδων και μόσχων. Η συγκέντρωση μεγάλου αριθμού παρατηρήσεων του φαινότυπου, επέτρεψε τα τελευταία χρόνια, σε συνδυασμό με τη ανάλυση του γονιδιώματός των ζώων, την ανακάλυψη γενετικών τόπων (loci) που σχετίζονται με χαρακτηριστικά χαμηλής κληρονομησιμότητας όπως η ανοσολογική απόκριση και η  ανθεκτικότητα σε νοσήματα όπως η μαστίτιδα, η μετατόπιση ηνύστρου, η υπασβεστιαιμία, η μητρίτιδα, η χωλότητα κ.α. καθιστώντας δυνατή την επιλογή των ζώων, από πολύ νεαρή ηλικία, με τη χρήση γονιδιωματικού ελέγχου. Η δημιουργία σύνθετων δεικτών επιλογής, όπως ο Dairy Wellness Profit $ (DWP$) ο οποίος συνδυάζει την παραγωγικότητα, τη γονιμότητα, την μακροζωία με τα παραπάνω χαρακτηριστικά δίνει εξαιρετικές προοπτικές βελτίωσης των δεικτών υγείας και ευζωίας των γαλακτοπαραγωγών αγελάδων και μόσχων, ταυτόχρονα με τη βελτίωση της οικονομικότητας των εκτροφών.</w:t>
      </w:r>
    </w:p>
    <w:p w14:paraId="1DAC2A72" w14:textId="77777777" w:rsidR="00B020FA" w:rsidRPr="00B020FA" w:rsidRDefault="00B020FA" w:rsidP="00B020FA">
      <w:pPr>
        <w:jc w:val="both"/>
      </w:pPr>
    </w:p>
    <w:p w14:paraId="70E51A9F" w14:textId="77777777" w:rsidR="00B020FA" w:rsidRPr="00B020FA" w:rsidRDefault="00B020FA" w:rsidP="00B020FA">
      <w:pPr>
        <w:jc w:val="both"/>
      </w:pPr>
      <w:r w:rsidRPr="00B020FA">
        <w:rPr>
          <w:b/>
          <w:bCs/>
        </w:rPr>
        <w:t>Βιβλιογραφία</w:t>
      </w:r>
    </w:p>
    <w:p w14:paraId="203B4358" w14:textId="77777777" w:rsidR="00B020FA" w:rsidRPr="00B020FA" w:rsidRDefault="00B020FA" w:rsidP="00B020FA">
      <w:pPr>
        <w:jc w:val="both"/>
      </w:pPr>
      <w:r w:rsidRPr="00B020FA">
        <w:t xml:space="preserve">Calus M.P.L., Berry D.P., Banos G., Y. de Haas &amp; Veerkamp R.F. (2013). </w:t>
      </w:r>
      <w:r w:rsidRPr="00B020FA">
        <w:rPr>
          <w:i/>
          <w:iCs/>
        </w:rPr>
        <w:t>Genomic selection: the option for new robustness traits?</w:t>
      </w:r>
      <w:r w:rsidRPr="00B020FA">
        <w:t xml:space="preserve"> Advances in Animal Biosciences pp 618–625.</w:t>
      </w:r>
    </w:p>
    <w:p w14:paraId="1C934AEE" w14:textId="77777777" w:rsidR="00B020FA" w:rsidRPr="00B020FA" w:rsidRDefault="00B020FA" w:rsidP="00B020FA">
      <w:pPr>
        <w:jc w:val="both"/>
      </w:pPr>
      <w:r w:rsidRPr="00B020FA">
        <w:t xml:space="preserve">De Haas, Y., Veerkamp, R. F., &amp; Ducro, B. J. (2011). </w:t>
      </w:r>
      <w:r w:rsidRPr="00B020FA">
        <w:rPr>
          <w:i/>
          <w:iCs/>
        </w:rPr>
        <w:t>Genetic parameters of pathogen-specific mastitis resistance and the role of immune response.</w:t>
      </w:r>
      <w:r w:rsidRPr="00B020FA">
        <w:t xml:space="preserve"> Journal of Dairy Science. </w:t>
      </w:r>
    </w:p>
    <w:p w14:paraId="59AE5CA2" w14:textId="77777777" w:rsidR="00B020FA" w:rsidRPr="00B020FA" w:rsidRDefault="00B020FA" w:rsidP="00B020FA">
      <w:pPr>
        <w:jc w:val="both"/>
      </w:pPr>
      <w:r w:rsidRPr="00B020FA">
        <w:t xml:space="preserve">Denholm S., McNeilly T., Banos G., Coffey M., Russell G., Bagnall A., Mitchell M. &amp; Wall E. (2017). </w:t>
      </w:r>
      <w:r w:rsidRPr="00B020FA">
        <w:rPr>
          <w:i/>
          <w:iCs/>
        </w:rPr>
        <w:t>Estimating genetic and phenotypic parameters of cellular immune-associated traits in dairy cows.</w:t>
      </w:r>
      <w:r w:rsidRPr="00B020FA">
        <w:t xml:space="preserve"> American Dairy Science Association.</w:t>
      </w:r>
    </w:p>
    <w:p w14:paraId="11249A55" w14:textId="77777777" w:rsidR="00B020FA" w:rsidRPr="00B020FA" w:rsidRDefault="00B020FA" w:rsidP="00B020FA">
      <w:pPr>
        <w:jc w:val="both"/>
      </w:pPr>
      <w:r w:rsidRPr="00B020FA">
        <w:t xml:space="preserve">Fessenden B., Weigel D., Osterstock J., Galligan D. &amp; Fernando Di Croce (2020). </w:t>
      </w:r>
      <w:r w:rsidRPr="00B020FA">
        <w:rPr>
          <w:i/>
          <w:iCs/>
        </w:rPr>
        <w:t>Validation of genomic predictions for a lifetime merit selection index for the US dairy industry.</w:t>
      </w:r>
      <w:r w:rsidRPr="00B020FA">
        <w:t xml:space="preserve"> American Dairy Science Association.</w:t>
      </w:r>
    </w:p>
    <w:p w14:paraId="44415C6F" w14:textId="77777777" w:rsidR="00B020FA" w:rsidRPr="00B020FA" w:rsidRDefault="00B020FA" w:rsidP="00B020FA">
      <w:pPr>
        <w:jc w:val="both"/>
      </w:pPr>
      <w:r w:rsidRPr="00B020FA">
        <w:t xml:space="preserve">Fessenden, B., Weigel, K. A., &amp; Shook, G. E. (2020). </w:t>
      </w:r>
      <w:r w:rsidRPr="00B020FA">
        <w:rPr>
          <w:i/>
          <w:iCs/>
        </w:rPr>
        <w:t>Genetic selection for improved dairy cow health and profitability using the Dairy Wellness Profit Index (DWP$).</w:t>
      </w:r>
      <w:r w:rsidRPr="00B020FA">
        <w:t xml:space="preserve"> Journal of Dairy Science.</w:t>
      </w:r>
    </w:p>
    <w:p w14:paraId="1A83F8F3" w14:textId="77777777" w:rsidR="00B020FA" w:rsidRPr="00B020FA" w:rsidRDefault="00B020FA" w:rsidP="00B020FA">
      <w:pPr>
        <w:jc w:val="both"/>
      </w:pPr>
      <w:r w:rsidRPr="00B020FA">
        <w:t xml:space="preserve">Gonzalez-Peña D., Vukasinovic N., Brooker J.J., Przybyla C.A. &amp; DeNise S.K. (2019). </w:t>
      </w:r>
      <w:r w:rsidRPr="00B020FA">
        <w:rPr>
          <w:i/>
          <w:iCs/>
        </w:rPr>
        <w:t>Genomic evaluation for calf wellness traits in Holstein cattle.</w:t>
      </w:r>
      <w:r w:rsidRPr="00B020FA">
        <w:t xml:space="preserve"> American Dairy Science Association. </w:t>
      </w:r>
    </w:p>
    <w:p w14:paraId="53F247F6" w14:textId="77777777" w:rsidR="00B020FA" w:rsidRPr="00B020FA" w:rsidRDefault="00B020FA" w:rsidP="00B020FA">
      <w:pPr>
        <w:jc w:val="both"/>
      </w:pPr>
      <w:r w:rsidRPr="00B020FA">
        <w:lastRenderedPageBreak/>
        <w:t xml:space="preserve">Grala T.M., Kuhn-Sherlock B., Crookenden M.A., Walker G.C., Roche J.R., Price M.D., Burke C.R. &amp; Meier S. (2022). </w:t>
      </w:r>
      <w:r w:rsidRPr="00B020FA">
        <w:rPr>
          <w:i/>
          <w:iCs/>
        </w:rPr>
        <w:t>Adaptive immune response ranking is associated with reproductive phenotypes in grazing dairy cows divergent in genetic merit for fertility traits.</w:t>
      </w:r>
      <w:r w:rsidRPr="00B020FA">
        <w:t xml:space="preserve"> American Dairy Science Association, New Zealand. </w:t>
      </w:r>
    </w:p>
    <w:p w14:paraId="10BF7F5D" w14:textId="77777777" w:rsidR="00B020FA" w:rsidRPr="00B020FA" w:rsidRDefault="00B020FA" w:rsidP="00B020FA">
      <w:pPr>
        <w:jc w:val="both"/>
      </w:pPr>
      <w:r w:rsidRPr="00B020FA">
        <w:t xml:space="preserve">Heringstad, B., Egger-Danner, C., Charfeddine, N., Pryce, J. E., Stock, K. F., Kofler J. &amp; Cole, J. B. (2018). </w:t>
      </w:r>
      <w:r w:rsidRPr="00B020FA">
        <w:rPr>
          <w:i/>
          <w:iCs/>
        </w:rPr>
        <w:t>Invited review: Genetics and claw health in dairy cattle.</w:t>
      </w:r>
      <w:r w:rsidRPr="00B020FA">
        <w:t xml:space="preserve"> Journal of Dairy Science.</w:t>
      </w:r>
    </w:p>
    <w:p w14:paraId="1D85C1D8" w14:textId="77777777" w:rsidR="00B020FA" w:rsidRPr="00B020FA" w:rsidRDefault="00B020FA" w:rsidP="00B020FA">
      <w:pPr>
        <w:jc w:val="both"/>
      </w:pPr>
      <w:r w:rsidRPr="00B020FA">
        <w:t xml:space="preserve">König S. &amp; May K. (2018). </w:t>
      </w:r>
      <w:r w:rsidRPr="00B020FA">
        <w:rPr>
          <w:i/>
          <w:iCs/>
        </w:rPr>
        <w:t>Invited review: Phenotyping strategies and quantitative-genetic background of resistance, tolerance and resilience associated traits in dairy cattle.</w:t>
      </w:r>
      <w:r w:rsidRPr="00B020FA">
        <w:t xml:space="preserve"> The Animal Consortium pp 897-908.</w:t>
      </w:r>
    </w:p>
    <w:p w14:paraId="2F6A31A5" w14:textId="77777777" w:rsidR="00B020FA" w:rsidRPr="00B020FA" w:rsidRDefault="00B020FA" w:rsidP="00B020FA">
      <w:pPr>
        <w:jc w:val="both"/>
      </w:pPr>
      <w:r w:rsidRPr="00B020FA">
        <w:t xml:space="preserve">Parker Gaddis, K. L., Megonigal, J. H., Clay, J. S., &amp; Wolfe, C. W. (2018). </w:t>
      </w:r>
      <w:r w:rsidRPr="00B020FA">
        <w:rPr>
          <w:i/>
          <w:iCs/>
        </w:rPr>
        <w:t>Genome-wide association study for ketosis, mastitis, and other health traits in US Holstein cattle.</w:t>
      </w:r>
      <w:r w:rsidRPr="00B020FA">
        <w:t xml:space="preserve"> Journal of Dairy Science.</w:t>
      </w:r>
    </w:p>
    <w:p w14:paraId="17FF46EF" w14:textId="77777777" w:rsidR="00B020FA" w:rsidRPr="00B020FA" w:rsidRDefault="00B020FA" w:rsidP="00B020FA">
      <w:pPr>
        <w:jc w:val="both"/>
      </w:pPr>
      <w:r w:rsidRPr="00B020FA">
        <w:t xml:space="preserve">Thompson-Crispi Κ.Α., Hine Β., Quinton Μ., Miglior F. &amp;Mallard B.A. (2012). </w:t>
      </w:r>
      <w:r w:rsidRPr="00B020FA">
        <w:rPr>
          <w:i/>
          <w:iCs/>
        </w:rPr>
        <w:t>Short communication: Association of disease incidence and adaptive immune response in Holstein dairy cows.</w:t>
      </w:r>
      <w:r w:rsidRPr="00B020FA">
        <w:t xml:space="preserve"> American Dairy Science Association.</w:t>
      </w:r>
    </w:p>
    <w:p w14:paraId="3750F6F2" w14:textId="77777777" w:rsidR="00B020FA" w:rsidRPr="00B020FA" w:rsidRDefault="00B020FA" w:rsidP="00B020FA">
      <w:pPr>
        <w:jc w:val="both"/>
      </w:pPr>
      <w:r w:rsidRPr="00B020FA">
        <w:t xml:space="preserve">Thompson-Crispi Κ.Α., Miglior F. &amp;Mallard B.A. (2013). </w:t>
      </w:r>
      <w:r w:rsidRPr="00B020FA">
        <w:rPr>
          <w:i/>
          <w:iCs/>
        </w:rPr>
        <w:t>Genetic parameters for natural antibodies and associations with specific antibody and mastitis in Canadian Holsteins.</w:t>
      </w:r>
      <w:r w:rsidRPr="00B020FA">
        <w:t xml:space="preserve"> American Dairy Science Association.</w:t>
      </w:r>
    </w:p>
    <w:p w14:paraId="381E7DA1" w14:textId="77777777" w:rsidR="00B020FA" w:rsidRPr="00B020FA" w:rsidRDefault="00B020FA" w:rsidP="00B020FA">
      <w:pPr>
        <w:jc w:val="both"/>
      </w:pPr>
      <w:r w:rsidRPr="00B020FA">
        <w:t xml:space="preserve">Thompson-Crispi Κ.Α., Sewalem A., Miglior F. &amp;Mallard B.A. (2012). </w:t>
      </w:r>
      <w:r w:rsidRPr="00B020FA">
        <w:rPr>
          <w:i/>
          <w:iCs/>
        </w:rPr>
        <w:t>Genetic parameters of adaptive immune response traits in Canadian Holsteins.</w:t>
      </w:r>
      <w:r w:rsidRPr="00B020FA">
        <w:t xml:space="preserve"> American Dairy Science Association.</w:t>
      </w:r>
    </w:p>
    <w:p w14:paraId="04C6498E" w14:textId="77777777" w:rsidR="00B020FA" w:rsidRPr="00B020FA" w:rsidRDefault="00B020FA" w:rsidP="00B020FA">
      <w:pPr>
        <w:jc w:val="both"/>
      </w:pPr>
      <w:r w:rsidRPr="00B020FA">
        <w:t xml:space="preserve">VanRaden, P. M., Tooker, M. E., O’Connell, J. R., Cole, J. B., &amp; Bickhart, D. M. (2017). </w:t>
      </w:r>
      <w:r w:rsidRPr="00B020FA">
        <w:rPr>
          <w:i/>
          <w:iCs/>
        </w:rPr>
        <w:t>Selecting for economically important traits in dairy cattle using genomic predictions.</w:t>
      </w:r>
      <w:r w:rsidRPr="00B020FA">
        <w:t xml:space="preserve"> Journal of Dairy Science.</w:t>
      </w:r>
    </w:p>
    <w:p w14:paraId="46008BAD" w14:textId="77777777" w:rsidR="00B020FA" w:rsidRPr="00B020FA" w:rsidRDefault="00B020FA" w:rsidP="00B020FA">
      <w:pPr>
        <w:jc w:val="both"/>
      </w:pPr>
      <w:r w:rsidRPr="00B020FA">
        <w:t xml:space="preserve">Zoetis. (2018). </w:t>
      </w:r>
      <w:r w:rsidRPr="00B020FA">
        <w:rPr>
          <w:i/>
          <w:iCs/>
        </w:rPr>
        <w:t>CLARIFIDE® Plus: Genomic testing for dairy cattle.</w:t>
      </w:r>
      <w:r w:rsidRPr="00B020FA">
        <w:t xml:space="preserve"> Zoetis Animal Genetics.</w:t>
      </w:r>
    </w:p>
    <w:p w14:paraId="1DFB4371" w14:textId="77777777" w:rsidR="00B020FA" w:rsidRPr="00B020FA" w:rsidRDefault="00B020FA" w:rsidP="00B020FA">
      <w:pPr>
        <w:jc w:val="both"/>
      </w:pPr>
      <w:r w:rsidRPr="00B020FA">
        <w:t xml:space="preserve">Zoetis. (2018). </w:t>
      </w:r>
      <w:r w:rsidRPr="00B020FA">
        <w:rPr>
          <w:i/>
          <w:iCs/>
        </w:rPr>
        <w:t>Dairy Wellness Profit Index (DWP$): Technical overview and economic interpretation.</w:t>
      </w:r>
      <w:r w:rsidRPr="00B020FA">
        <w:t xml:space="preserve"> Zoetis Animal Genetics.</w:t>
      </w:r>
    </w:p>
    <w:p w14:paraId="4B57067D" w14:textId="77777777" w:rsidR="00B020FA" w:rsidRPr="00B020FA" w:rsidRDefault="00B020FA" w:rsidP="00B020FA">
      <w:pPr>
        <w:jc w:val="both"/>
      </w:pPr>
      <w:r w:rsidRPr="00B020FA">
        <w:t xml:space="preserve">Zoetis. </w:t>
      </w:r>
      <w:r w:rsidRPr="00B020FA">
        <w:rPr>
          <w:i/>
          <w:iCs/>
        </w:rPr>
        <w:t>CLARIFIDE® Plus: Wellness traits and genetic predictions for disease risk.</w:t>
      </w:r>
      <w:r w:rsidRPr="00B020FA">
        <w:t> </w:t>
      </w:r>
    </w:p>
    <w:p w14:paraId="26196395" w14:textId="77777777" w:rsidR="00B020FA" w:rsidRDefault="00B020FA" w:rsidP="00B020FA">
      <w:pPr>
        <w:jc w:val="both"/>
      </w:pPr>
      <w:r w:rsidRPr="00B020FA">
        <w:br/>
      </w:r>
      <w:r w:rsidRPr="00B020FA">
        <w:br/>
      </w:r>
    </w:p>
    <w:p w14:paraId="2F380E9F" w14:textId="77777777" w:rsidR="00B020FA" w:rsidRDefault="00B020FA" w:rsidP="00B020FA">
      <w:pPr>
        <w:jc w:val="both"/>
      </w:pPr>
    </w:p>
    <w:p w14:paraId="4BDD71E6" w14:textId="77777777" w:rsidR="00B020FA" w:rsidRDefault="00B020FA" w:rsidP="00B020FA">
      <w:pPr>
        <w:jc w:val="both"/>
      </w:pPr>
    </w:p>
    <w:p w14:paraId="5F074A11" w14:textId="77777777" w:rsidR="00B020FA" w:rsidRDefault="00B020FA" w:rsidP="00B020FA">
      <w:pPr>
        <w:jc w:val="both"/>
      </w:pPr>
    </w:p>
    <w:p w14:paraId="6FBF751E" w14:textId="77777777" w:rsidR="00B020FA" w:rsidRDefault="00B020FA" w:rsidP="00B020FA">
      <w:pPr>
        <w:jc w:val="both"/>
      </w:pPr>
    </w:p>
    <w:p w14:paraId="6B5B72CB" w14:textId="77777777" w:rsidR="00B020FA" w:rsidRDefault="00B020FA" w:rsidP="00B020FA">
      <w:pPr>
        <w:jc w:val="both"/>
      </w:pPr>
    </w:p>
    <w:p w14:paraId="45099CE5" w14:textId="77777777" w:rsidR="00B020FA" w:rsidRDefault="00B020FA" w:rsidP="00B020FA">
      <w:pPr>
        <w:jc w:val="both"/>
      </w:pPr>
    </w:p>
    <w:p w14:paraId="2989DF44" w14:textId="77777777" w:rsidR="00B020FA" w:rsidRDefault="00B020FA" w:rsidP="00B020FA">
      <w:pPr>
        <w:jc w:val="both"/>
      </w:pPr>
    </w:p>
    <w:p w14:paraId="64A0CB57" w14:textId="1CD4C4AD" w:rsidR="00B020FA" w:rsidRPr="00B020FA" w:rsidRDefault="00B020FA" w:rsidP="00B020FA">
      <w:pPr>
        <w:jc w:val="both"/>
      </w:pPr>
      <w:r w:rsidRPr="00B020FA">
        <w:br/>
      </w:r>
    </w:p>
    <w:p w14:paraId="07A5B1F5" w14:textId="77777777" w:rsidR="00B020FA" w:rsidRPr="00B020FA" w:rsidRDefault="00B020FA" w:rsidP="00B020FA">
      <w:pPr>
        <w:jc w:val="both"/>
      </w:pPr>
      <w:r w:rsidRPr="00B020FA">
        <w:rPr>
          <w:b/>
          <w:bCs/>
        </w:rPr>
        <w:lastRenderedPageBreak/>
        <w:t>Αποχωρισμός Αγελάδας – Μόσχου και Ευζωΐα σε Γαλακτοπαραγωγές Εκτροφές</w:t>
      </w:r>
    </w:p>
    <w:p w14:paraId="7AA8C650" w14:textId="77777777" w:rsidR="00B020FA" w:rsidRPr="00B020FA" w:rsidRDefault="00B020FA" w:rsidP="00B020FA">
      <w:pPr>
        <w:jc w:val="both"/>
      </w:pPr>
      <w:r w:rsidRPr="00B020FA">
        <w:t>Μόκας Κυριαζής</w:t>
      </w:r>
      <w:r w:rsidRPr="00B020FA">
        <w:rPr>
          <w:vertAlign w:val="superscript"/>
        </w:rPr>
        <w:t>1</w:t>
      </w:r>
      <w:r w:rsidRPr="00B020FA">
        <w:t>, Γρηγοριάδου Ελευθερία</w:t>
      </w:r>
      <w:r w:rsidRPr="00B020FA">
        <w:rPr>
          <w:vertAlign w:val="superscript"/>
        </w:rPr>
        <w:t>1</w:t>
      </w:r>
      <w:r w:rsidRPr="00B020FA">
        <w:t>, Βαλεργάκης Ε. Γεώργιος</w:t>
      </w:r>
      <w:r w:rsidRPr="00B020FA">
        <w:rPr>
          <w:vertAlign w:val="superscript"/>
        </w:rPr>
        <w:t>2</w:t>
      </w:r>
    </w:p>
    <w:p w14:paraId="37CCE1C0" w14:textId="77777777" w:rsidR="00B020FA" w:rsidRPr="00B020FA" w:rsidRDefault="00B020FA">
      <w:pPr>
        <w:numPr>
          <w:ilvl w:val="0"/>
          <w:numId w:val="47"/>
        </w:numPr>
        <w:jc w:val="both"/>
      </w:pPr>
      <w:r w:rsidRPr="00B020FA">
        <w:t>Προπτυχιακός/-ή Φοιτητής/-τρια, Τμήμα Κτηνιατρικής, Σχολή Επιστημών Υγείας, Αριστοτέλειο Πανεπιστήμιο Θεσσαλονίκης</w:t>
      </w:r>
    </w:p>
    <w:p w14:paraId="49FD51CD" w14:textId="77777777" w:rsidR="00B020FA" w:rsidRPr="00B020FA" w:rsidRDefault="00B020FA">
      <w:pPr>
        <w:numPr>
          <w:ilvl w:val="0"/>
          <w:numId w:val="47"/>
        </w:numPr>
        <w:jc w:val="both"/>
      </w:pPr>
      <w:r w:rsidRPr="00B020FA">
        <w:t>Καθηγητής, Εργαστήριο Ζωικής Παραγωγής &amp; Προστασίας του Περιβάλλοντος, Τμήμα Κτηνιατρικής, Σχολή Επιστημών Υγείας, Αριστοτέλειο Πανεπιστήμιο Θεσσαλονίκης</w:t>
      </w:r>
    </w:p>
    <w:p w14:paraId="21E2ED15" w14:textId="77777777" w:rsidR="00B020FA" w:rsidRPr="00B020FA" w:rsidRDefault="00B020FA" w:rsidP="00B020FA">
      <w:pPr>
        <w:ind w:left="720"/>
        <w:jc w:val="both"/>
      </w:pPr>
    </w:p>
    <w:p w14:paraId="1637F127" w14:textId="77777777" w:rsidR="00B020FA" w:rsidRPr="00B020FA" w:rsidRDefault="00B020FA" w:rsidP="00B020FA">
      <w:pPr>
        <w:jc w:val="both"/>
      </w:pPr>
      <w:r w:rsidRPr="00B020FA">
        <w:rPr>
          <w:b/>
          <w:bCs/>
        </w:rPr>
        <w:t>Περίληψη</w:t>
      </w:r>
    </w:p>
    <w:p w14:paraId="7B2B2A2C" w14:textId="77777777" w:rsidR="00B020FA" w:rsidRPr="00B020FA" w:rsidRDefault="00B020FA" w:rsidP="00B020FA">
      <w:pPr>
        <w:jc w:val="both"/>
      </w:pPr>
      <w:r w:rsidRPr="00B020FA">
        <w:t>Ο διαχωρισμός των μοσχαριών σε εκτροφές γαλακτοπαραγωγής από τις μητέρες τους αμέσως μετά τον τοκετό (εντός 24 ωρών) είναι σύνηθης πρακτική. Ως επιχείρημα για τον άμεσο αποχωρισμό χρησιμοποιούνται οι μειωμένες ενδείξεις συμπεριφορικών διαταραχών, τόσο για την μητέρα όσο και για το μοσχάρι της. Επιπλέον συστήνεται για την προάσπιση της υγείας και της ευζωΐας των ζώων. Στην εποχή μας η εν λόγω πρακτική είναι μη αποδεκτή για μια μερίδα καταναλωτών. Προκειμένου οι εκτροφές να συμβαδίσουν με τις απαιτήσεις των καταναλωτών για καλύτερη ευζωΐα των ζώων δημιουργήθηκαν διάφορα πρότυπα που παρατείνουν την επαφή μεταξύ αγελάδας και μοσχαριού. Με αυτόν τον τρόπο εκδηλώνεται ο μεταξύ τους φυσικός δεσμός. Παρόλα αυτά όσο παραπάνω διαρκεί η επαφή τους τόσο δυσκολότερος είναι ο αποχωρισμός τους καθώς οι συμπεριφορές των ζώων διαταράσσονται περισσότερο όσο ενισχύεται ο δεσμός τους. Πολλές φορές για τον αποχωρισμό τους τοποθετούνται στο μοσχάρι ‘ρινικοί δακτύλιοι’ (nose flap), μία πρακτική όχι και τόσο αποδεκτή από τους καταναλωτές. Τα ηθικά και τα θέματα ευζωΐας που προκύπτουν γύρω από τον αποχωρισμό αγελάδας μοσχαριού είναι πολυπαραγοντικά. Για τον λόγο αυτό χρειάζεται καλύτερη ενημέρωση των καταναλωτών. Ο ρόλος του κτηνιάτρου στην σύγχρονη εποχή δεν είναι μόνο η διαφύλαξη της υγείας των ζώων αλλά και της ευζωίας τους.</w:t>
      </w:r>
    </w:p>
    <w:p w14:paraId="41FDE55A" w14:textId="77777777" w:rsidR="00B020FA" w:rsidRPr="00B020FA" w:rsidRDefault="00B020FA" w:rsidP="00B020FA">
      <w:pPr>
        <w:jc w:val="both"/>
      </w:pPr>
    </w:p>
    <w:p w14:paraId="445481D7" w14:textId="77777777" w:rsidR="00B020FA" w:rsidRPr="00B020FA" w:rsidRDefault="00B020FA" w:rsidP="00B020FA">
      <w:pPr>
        <w:jc w:val="both"/>
      </w:pPr>
      <w:r w:rsidRPr="00B020FA">
        <w:rPr>
          <w:b/>
          <w:bCs/>
        </w:rPr>
        <w:t>Βιβλιογραφία</w:t>
      </w:r>
    </w:p>
    <w:p w14:paraId="7905EE44" w14:textId="77777777" w:rsidR="00B020FA" w:rsidRPr="00B020FA" w:rsidRDefault="00B020FA" w:rsidP="00B020FA">
      <w:pPr>
        <w:jc w:val="both"/>
      </w:pPr>
      <w:r w:rsidRPr="00B020FA">
        <w:t xml:space="preserve">Alvåsen, K., Haskell, M. J., Ivemeyer, S., Eriksson, H., Bicknell, K., Fall, N., &amp; Ahmed, H. (2024). </w:t>
      </w:r>
      <w:r w:rsidRPr="00B020FA">
        <w:rPr>
          <w:i/>
          <w:iCs/>
        </w:rPr>
        <w:t>Assessing short-term economic consequences of cow-calf contact systems in dairy production using a stochastic partial budgeting approach.</w:t>
      </w:r>
      <w:r w:rsidRPr="00B020FA">
        <w:t xml:space="preserve"> Frontiers in Animal Science, 4, Article 1197327. </w:t>
      </w:r>
    </w:p>
    <w:p w14:paraId="7392ACBF" w14:textId="77777777" w:rsidR="00B020FA" w:rsidRPr="00B020FA" w:rsidRDefault="00B020FA" w:rsidP="00B020FA">
      <w:pPr>
        <w:jc w:val="both"/>
      </w:pPr>
      <w:r w:rsidRPr="00B020FA">
        <w:t>Asheim, L. J., Johnsen, J. F., Havrevoll, Ø., Mejdell, C. M., &amp; Grøndahl, A. M. (2016). T</w:t>
      </w:r>
      <w:r w:rsidRPr="00B020FA">
        <w:rPr>
          <w:i/>
          <w:iCs/>
        </w:rPr>
        <w:t>he economic effects of suckling and milk feeding to calves in dual purpose dairy and beef farming.</w:t>
      </w:r>
      <w:r w:rsidRPr="00B020FA">
        <w:t xml:space="preserve"> Organic Agriculture, 6, 303–311.</w:t>
      </w:r>
    </w:p>
    <w:p w14:paraId="5CFA19F0" w14:textId="77777777" w:rsidR="00B020FA" w:rsidRPr="00B020FA" w:rsidRDefault="00B020FA" w:rsidP="00B020FA">
      <w:pPr>
        <w:jc w:val="both"/>
      </w:pPr>
      <w:r w:rsidRPr="00B020FA">
        <w:t xml:space="preserve">Barth, K. (2020). </w:t>
      </w:r>
      <w:r w:rsidRPr="00B020FA">
        <w:rPr>
          <w:i/>
          <w:iCs/>
        </w:rPr>
        <w:t>Effects of suckling on milk yield and milk composition of dairy cows in cow–calf contact systems.</w:t>
      </w:r>
      <w:r w:rsidRPr="00B020FA">
        <w:t xml:space="preserve"> Journal of Dairy Research, 87(S1), 133–137. </w:t>
      </w:r>
    </w:p>
    <w:p w14:paraId="01C20474" w14:textId="77777777" w:rsidR="00B020FA" w:rsidRPr="00B020FA" w:rsidRDefault="00B020FA" w:rsidP="00B020FA">
      <w:pPr>
        <w:jc w:val="both"/>
      </w:pPr>
      <w:r w:rsidRPr="00B020FA">
        <w:t xml:space="preserve">Beaver, A., Meagher, R. K., von Keyserlingk, M. A. G., &amp; Weary, D. M. (2019). </w:t>
      </w:r>
      <w:r w:rsidRPr="00B020FA">
        <w:rPr>
          <w:i/>
          <w:iCs/>
        </w:rPr>
        <w:t>Invited review: A systematic review of the effects of early separation on dairy cow and calf health.</w:t>
      </w:r>
      <w:r w:rsidRPr="00B020FA">
        <w:t xml:space="preserve"> Journal of Dairy Science, 102(7), 5784–5810. </w:t>
      </w:r>
    </w:p>
    <w:p w14:paraId="0B3177B6" w14:textId="77777777" w:rsidR="00B020FA" w:rsidRPr="00B020FA" w:rsidRDefault="00B020FA" w:rsidP="00B020FA">
      <w:pPr>
        <w:jc w:val="both"/>
      </w:pPr>
      <w:r w:rsidRPr="00B020FA">
        <w:t xml:space="preserve">Bertelsen, M., &amp; Vaarst, M. (2023). </w:t>
      </w:r>
      <w:r w:rsidRPr="00B020FA">
        <w:rPr>
          <w:i/>
          <w:iCs/>
        </w:rPr>
        <w:t xml:space="preserve">Shaping cow-calf contact systems: Farmers’ motivations and considerations behind a range of different cow-calf contact systems. </w:t>
      </w:r>
      <w:r w:rsidRPr="00B020FA">
        <w:t>Journal of Dairy Science, 106(4), 2855–2868. </w:t>
      </w:r>
    </w:p>
    <w:p w14:paraId="03CA42FC" w14:textId="77777777" w:rsidR="00B020FA" w:rsidRPr="00B020FA" w:rsidRDefault="00B020FA" w:rsidP="00B020FA">
      <w:pPr>
        <w:jc w:val="both"/>
      </w:pPr>
      <w:r w:rsidRPr="00B020FA">
        <w:lastRenderedPageBreak/>
        <w:t xml:space="preserve">Duve, L. R., &amp; Jensen, M. B. (2012). </w:t>
      </w:r>
      <w:r w:rsidRPr="00B020FA">
        <w:rPr>
          <w:i/>
          <w:iCs/>
        </w:rPr>
        <w:t>Social behavior of young dairy calves housed with limited or full social contact with a peer.</w:t>
      </w:r>
      <w:r w:rsidRPr="00B020FA">
        <w:t xml:space="preserve"> Journal of Dairy Science, 95(10), 5936–5945. </w:t>
      </w:r>
    </w:p>
    <w:p w14:paraId="01787B0F" w14:textId="77777777" w:rsidR="00B020FA" w:rsidRPr="00B020FA" w:rsidRDefault="00B020FA" w:rsidP="00B020FA">
      <w:pPr>
        <w:jc w:val="both"/>
      </w:pPr>
      <w:r w:rsidRPr="00B020FA">
        <w:t xml:space="preserve">Eriksson, H., Fall, N., Ivemeyer, S., Knierim, U., Simantke, C., Fuerst-Waltl, B., Winckler, C., Weissensteiner, R., Pomiès, D., Martin, B., Michaud, A., Priolo, A., Caccamo, M., Sakowski, T., Stachelek, M., Spengler Neff, A., Bieber, A., Schneider, C., &amp; Alvåsen, K. (2022). </w:t>
      </w:r>
      <w:r w:rsidRPr="00B020FA">
        <w:rPr>
          <w:i/>
          <w:iCs/>
        </w:rPr>
        <w:t>Strategies for keeping dairy cows and calves together – a cross-sectional survey study.</w:t>
      </w:r>
      <w:r w:rsidRPr="00B020FA">
        <w:t xml:space="preserve"> Animal, 16(10), Article 100645. </w:t>
      </w:r>
    </w:p>
    <w:p w14:paraId="0615978B" w14:textId="77777777" w:rsidR="00B020FA" w:rsidRPr="00B020FA" w:rsidRDefault="00B020FA" w:rsidP="00B020FA">
      <w:pPr>
        <w:jc w:val="both"/>
      </w:pPr>
      <w:r w:rsidRPr="00B020FA">
        <w:t xml:space="preserve">Flower, F. C., &amp; Weary, D. M. (2001). </w:t>
      </w:r>
      <w:r w:rsidRPr="00B020FA">
        <w:rPr>
          <w:i/>
          <w:iCs/>
        </w:rPr>
        <w:t>Effects of early separation on the dairy cow and calf: 2. Separation at 1 day and 2 weeks after birth.</w:t>
      </w:r>
      <w:r w:rsidRPr="00B020FA">
        <w:t xml:space="preserve"> Applied Animal Behaviour Science, 70(4), 275–284. </w:t>
      </w:r>
    </w:p>
    <w:p w14:paraId="056358B4" w14:textId="77777777" w:rsidR="00B020FA" w:rsidRPr="00B020FA" w:rsidRDefault="00B020FA" w:rsidP="00B020FA">
      <w:pPr>
        <w:jc w:val="both"/>
      </w:pPr>
      <w:r w:rsidRPr="00B020FA">
        <w:t xml:space="preserve">Hopster, H., O’Connell, J. M., &amp; Blokhuis, H. J. (1995). </w:t>
      </w:r>
      <w:r w:rsidRPr="00B020FA">
        <w:rPr>
          <w:i/>
          <w:iCs/>
        </w:rPr>
        <w:t>Acute effects of cow-calf separation on heart rate, plasma cortisol and behaviour in multiparous dairy cows.</w:t>
      </w:r>
      <w:r w:rsidRPr="00B020FA">
        <w:t xml:space="preserve"> Applied Animal Behaviour Science, 44(1), 1–8. </w:t>
      </w:r>
    </w:p>
    <w:p w14:paraId="4F4E9D5C" w14:textId="77777777" w:rsidR="00B020FA" w:rsidRPr="00B020FA" w:rsidRDefault="00B020FA" w:rsidP="00B020FA">
      <w:pPr>
        <w:jc w:val="both"/>
      </w:pPr>
      <w:r w:rsidRPr="00B020FA">
        <w:t xml:space="preserve">Jensen, M. B. (2018). </w:t>
      </w:r>
      <w:r w:rsidRPr="00B020FA">
        <w:rPr>
          <w:i/>
          <w:iCs/>
        </w:rPr>
        <w:t>The role of social behavior in cattle welfare.</w:t>
      </w:r>
      <w:r w:rsidRPr="00B020FA">
        <w:t xml:space="preserve"> In C. B. Tucker (Ed.), Advances in cattle welfare (pp. 123–155). Woodhead Publishing. </w:t>
      </w:r>
    </w:p>
    <w:p w14:paraId="15F7AD48" w14:textId="77777777" w:rsidR="00B020FA" w:rsidRPr="00B020FA" w:rsidRDefault="00B020FA" w:rsidP="00B020FA">
      <w:pPr>
        <w:jc w:val="both"/>
      </w:pPr>
      <w:r w:rsidRPr="00B020FA">
        <w:t xml:space="preserve">Jensen, M. B., &amp; Proudfoot, K. (2023). </w:t>
      </w:r>
      <w:r w:rsidRPr="00B020FA">
        <w:rPr>
          <w:i/>
          <w:iCs/>
        </w:rPr>
        <w:t>Welfare at calving and of the growing animals.</w:t>
      </w:r>
      <w:r w:rsidRPr="00B020FA">
        <w:t xml:space="preserve"> In M. Haskell (Ed.), Cattle welfare in dairy and beef systems: A new approach to global issues (pp. 265–296). Springer Nature Switzerland AG. </w:t>
      </w:r>
    </w:p>
    <w:p w14:paraId="59BF543C" w14:textId="77777777" w:rsidR="00B020FA" w:rsidRPr="00B020FA" w:rsidRDefault="00B020FA" w:rsidP="00B020FA">
      <w:pPr>
        <w:jc w:val="both"/>
      </w:pPr>
      <w:r w:rsidRPr="00B020FA">
        <w:t xml:space="preserve">Krohn, C. C. (2001). </w:t>
      </w:r>
      <w:r w:rsidRPr="00B020FA">
        <w:rPr>
          <w:i/>
          <w:iCs/>
        </w:rPr>
        <w:t>Effects of different suckling systems on milk production, udder health, reproduction, calf growth and some behavioural aspects in high producing dairy cows — a review.</w:t>
      </w:r>
      <w:r w:rsidRPr="00B020FA">
        <w:t xml:space="preserve"> Applied Animal Behaviour Science, 72(3), 271–280. </w:t>
      </w:r>
    </w:p>
    <w:p w14:paraId="1C0F5AAA" w14:textId="77777777" w:rsidR="00B020FA" w:rsidRPr="00B020FA" w:rsidRDefault="00B020FA" w:rsidP="00B020FA">
      <w:pPr>
        <w:jc w:val="both"/>
      </w:pPr>
      <w:r w:rsidRPr="00B020FA">
        <w:t xml:space="preserve">Meagher, R. K., Beaver, A., Weary, D. M., &amp; von Keyserlingk, M. A. G. (2019). </w:t>
      </w:r>
      <w:r w:rsidRPr="00B020FA">
        <w:rPr>
          <w:i/>
          <w:iCs/>
        </w:rPr>
        <w:t>Invited review: A systematic review of the effects of prolonged cow-calf contact on behavior, welfare, and productivity.</w:t>
      </w:r>
      <w:r w:rsidRPr="00B020FA">
        <w:t xml:space="preserve"> </w:t>
      </w:r>
      <w:r w:rsidRPr="00B020FA">
        <w:rPr>
          <w:i/>
          <w:iCs/>
        </w:rPr>
        <w:t>Journal of Dairy Science</w:t>
      </w:r>
      <w:r w:rsidRPr="00B020FA">
        <w:t xml:space="preserve">, </w:t>
      </w:r>
      <w:r w:rsidRPr="00B020FA">
        <w:rPr>
          <w:i/>
          <w:iCs/>
        </w:rPr>
        <w:t>102</w:t>
      </w:r>
      <w:r w:rsidRPr="00B020FA">
        <w:t>(7), 5765–5783. </w:t>
      </w:r>
    </w:p>
    <w:p w14:paraId="1415EF92" w14:textId="77777777" w:rsidR="00B020FA" w:rsidRPr="00B020FA" w:rsidRDefault="00B020FA" w:rsidP="00B020FA">
      <w:pPr>
        <w:jc w:val="both"/>
      </w:pPr>
      <w:r w:rsidRPr="00B020FA">
        <w:t xml:space="preserve">Mutua, E. K., &amp; Haskell, M. J. (2022). </w:t>
      </w:r>
      <w:r w:rsidRPr="00B020FA">
        <w:rPr>
          <w:i/>
          <w:iCs/>
        </w:rPr>
        <w:t>Factors contributing to milk yield variation among cows in a cow–calf contact system in early lactation.</w:t>
      </w:r>
      <w:r w:rsidRPr="00B020FA">
        <w:t xml:space="preserve"> JDS Communications, 3(1), 55–58. </w:t>
      </w:r>
    </w:p>
    <w:p w14:paraId="28947647" w14:textId="77777777" w:rsidR="00B020FA" w:rsidRPr="00B020FA" w:rsidRDefault="00B020FA" w:rsidP="00B020FA">
      <w:pPr>
        <w:jc w:val="both"/>
      </w:pPr>
      <w:r w:rsidRPr="00B020FA">
        <w:t xml:space="preserve">Neave, H. W., Jensen, E. H., Solarino, A., &amp; Jensen, M. B. (2024). </w:t>
      </w:r>
      <w:r w:rsidRPr="00B020FA">
        <w:rPr>
          <w:i/>
          <w:iCs/>
        </w:rPr>
        <w:t>Exploring factors influencing machine milk yield of dairy cows in cow-calf contact systems: Cow behavior, animal characteristics, and milking management.</w:t>
      </w:r>
      <w:r w:rsidRPr="00B020FA">
        <w:t xml:space="preserve"> JDS Communications, 5(5), 495–499. </w:t>
      </w:r>
    </w:p>
    <w:p w14:paraId="628A4B25" w14:textId="77777777" w:rsidR="00B020FA" w:rsidRPr="00B020FA" w:rsidRDefault="00B020FA" w:rsidP="00B020FA">
      <w:pPr>
        <w:jc w:val="both"/>
      </w:pPr>
      <w:r w:rsidRPr="00B020FA">
        <w:t xml:space="preserve">Nicolao, A., Veissier, I., Bouchon, M., Π., Sturaro, E., Martin, B., &amp; Pomiès, D. (2022). </w:t>
      </w:r>
      <w:r w:rsidRPr="00B020FA">
        <w:rPr>
          <w:i/>
          <w:iCs/>
        </w:rPr>
        <w:t>Animal performance and stress at weaning when dairy cows suckle their calves for short versus long daily durations.</w:t>
      </w:r>
      <w:r w:rsidRPr="00B020FA">
        <w:t xml:space="preserve"> Animal, 16(6), Article 100537. </w:t>
      </w:r>
    </w:p>
    <w:p w14:paraId="6E71C3F9" w14:textId="77777777" w:rsidR="00B020FA" w:rsidRPr="00B020FA" w:rsidRDefault="00B020FA" w:rsidP="00B020FA">
      <w:pPr>
        <w:jc w:val="both"/>
      </w:pPr>
      <w:r w:rsidRPr="00B020FA">
        <w:t xml:space="preserve">Placzek, M., Christoph-Schulz, I., &amp; Barth, K. (2021). </w:t>
      </w:r>
      <w:r w:rsidRPr="00B020FA">
        <w:rPr>
          <w:i/>
          <w:iCs/>
        </w:rPr>
        <w:t>Public attitude towards cow-calf separation and other common practices of calf rearing in dairy farming—a review</w:t>
      </w:r>
      <w:r w:rsidRPr="00B020FA">
        <w:t>. Organic Agriculture, 11, 1–13. </w:t>
      </w:r>
    </w:p>
    <w:p w14:paraId="1D781920" w14:textId="77777777" w:rsidR="00B020FA" w:rsidRPr="00B020FA" w:rsidRDefault="00B020FA" w:rsidP="00B020FA">
      <w:pPr>
        <w:jc w:val="both"/>
      </w:pPr>
      <w:r w:rsidRPr="00B020FA">
        <w:t xml:space="preserve">Štehulová, I., Lidfors, L., &amp; Špinka, M. (2008). </w:t>
      </w:r>
      <w:r w:rsidRPr="00B020FA">
        <w:rPr>
          <w:i/>
          <w:iCs/>
        </w:rPr>
        <w:t>Response of dairy cows and calves to early separation: Effect of calf age and visual and auditory contact after separation.</w:t>
      </w:r>
      <w:r w:rsidRPr="00B020FA">
        <w:t xml:space="preserve"> Applied Animal Behaviour Science, 111(3-4), 217–227. </w:t>
      </w:r>
    </w:p>
    <w:p w14:paraId="2368A93C" w14:textId="77777777" w:rsidR="00B020FA" w:rsidRPr="00B020FA" w:rsidRDefault="00B020FA" w:rsidP="00B020FA">
      <w:pPr>
        <w:jc w:val="both"/>
      </w:pPr>
      <w:r w:rsidRPr="00B020FA">
        <w:t xml:space="preserve">Van Zyl, C. L., Eriksson, H. K., Bokkers, E. A. M., Kemp, B., van Knegsel, A. T. M., &amp; Agenäs, S. (2025). </w:t>
      </w:r>
      <w:r w:rsidRPr="00B020FA">
        <w:rPr>
          <w:i/>
          <w:iCs/>
        </w:rPr>
        <w:t>Consequences of weaning and separation for feed intake and milking characteristics of dairy cows in a cow-calf contact system.</w:t>
      </w:r>
      <w:r w:rsidRPr="00B020FA">
        <w:t xml:space="preserve"> Journal of Dairy Science, 108(3), 2820–2838. </w:t>
      </w:r>
    </w:p>
    <w:p w14:paraId="013116A7" w14:textId="77777777" w:rsidR="00B020FA" w:rsidRPr="00B020FA" w:rsidRDefault="00B020FA" w:rsidP="00B020FA">
      <w:pPr>
        <w:jc w:val="both"/>
      </w:pPr>
      <w:r w:rsidRPr="00B020FA">
        <w:lastRenderedPageBreak/>
        <w:t xml:space="preserve">Weary, D. M., &amp; Chua, B. (2000). </w:t>
      </w:r>
      <w:r w:rsidRPr="00B020FA">
        <w:rPr>
          <w:i/>
          <w:iCs/>
        </w:rPr>
        <w:t>Effects of early separation on the dairy cow and calf: 1. Separation at 6 h, 1 day and 4 days after birth.</w:t>
      </w:r>
      <w:r w:rsidRPr="00B020FA">
        <w:t xml:space="preserve"> Applied Animal Behaviour Science, 69(3), 177–188. </w:t>
      </w:r>
    </w:p>
    <w:p w14:paraId="41E2DF55" w14:textId="77777777" w:rsidR="00B020FA" w:rsidRDefault="00B020FA" w:rsidP="00B020FA">
      <w:pPr>
        <w:jc w:val="both"/>
      </w:pP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p>
    <w:p w14:paraId="5BC0CAE7" w14:textId="77777777" w:rsidR="00B020FA" w:rsidRDefault="00B020FA" w:rsidP="00B020FA">
      <w:pPr>
        <w:jc w:val="both"/>
      </w:pPr>
    </w:p>
    <w:p w14:paraId="1BB5631C" w14:textId="77777777" w:rsidR="00B020FA" w:rsidRDefault="00B020FA" w:rsidP="00B020FA">
      <w:pPr>
        <w:jc w:val="both"/>
      </w:pPr>
    </w:p>
    <w:p w14:paraId="7C46ECC6" w14:textId="77777777" w:rsidR="00B020FA" w:rsidRDefault="00B020FA" w:rsidP="00B020FA">
      <w:pPr>
        <w:jc w:val="both"/>
      </w:pPr>
    </w:p>
    <w:p w14:paraId="514DE5F6" w14:textId="77777777" w:rsidR="00B020FA" w:rsidRDefault="00B020FA" w:rsidP="00B020FA">
      <w:pPr>
        <w:jc w:val="both"/>
      </w:pPr>
    </w:p>
    <w:p w14:paraId="0F4EB907" w14:textId="77777777" w:rsidR="00B020FA" w:rsidRDefault="00B020FA" w:rsidP="00B020FA">
      <w:pPr>
        <w:jc w:val="both"/>
      </w:pPr>
    </w:p>
    <w:p w14:paraId="22330689" w14:textId="77777777" w:rsidR="00B020FA" w:rsidRDefault="00B020FA" w:rsidP="00B020FA">
      <w:pPr>
        <w:jc w:val="both"/>
      </w:pPr>
    </w:p>
    <w:p w14:paraId="68145D44" w14:textId="77777777" w:rsidR="00B020FA" w:rsidRDefault="00B020FA" w:rsidP="00B020FA">
      <w:pPr>
        <w:jc w:val="both"/>
      </w:pPr>
    </w:p>
    <w:p w14:paraId="0695F424" w14:textId="77777777" w:rsidR="00B020FA" w:rsidRDefault="00B020FA" w:rsidP="00B020FA">
      <w:pPr>
        <w:jc w:val="both"/>
      </w:pPr>
    </w:p>
    <w:p w14:paraId="0AF1FE9C" w14:textId="77777777" w:rsidR="00B020FA" w:rsidRDefault="00B020FA" w:rsidP="00B020FA">
      <w:pPr>
        <w:jc w:val="both"/>
      </w:pPr>
    </w:p>
    <w:p w14:paraId="14EB72A2" w14:textId="77777777" w:rsidR="00B020FA" w:rsidRDefault="00B020FA" w:rsidP="00B020FA">
      <w:pPr>
        <w:jc w:val="both"/>
      </w:pPr>
    </w:p>
    <w:p w14:paraId="46429E4E" w14:textId="77777777" w:rsidR="00B020FA" w:rsidRDefault="00B020FA" w:rsidP="00B020FA">
      <w:pPr>
        <w:jc w:val="both"/>
      </w:pPr>
    </w:p>
    <w:p w14:paraId="52669061" w14:textId="77777777" w:rsidR="00B020FA" w:rsidRDefault="00B020FA" w:rsidP="00B020FA">
      <w:pPr>
        <w:jc w:val="both"/>
      </w:pPr>
    </w:p>
    <w:p w14:paraId="618B80EA" w14:textId="77777777" w:rsidR="00B020FA" w:rsidRDefault="00B020FA" w:rsidP="00B020FA">
      <w:pPr>
        <w:jc w:val="both"/>
      </w:pPr>
    </w:p>
    <w:p w14:paraId="31551F16" w14:textId="77777777" w:rsidR="00B020FA" w:rsidRDefault="00B020FA" w:rsidP="00B020FA">
      <w:pPr>
        <w:jc w:val="both"/>
      </w:pPr>
    </w:p>
    <w:p w14:paraId="062FF3DF" w14:textId="77777777" w:rsidR="00B020FA" w:rsidRDefault="00B020FA" w:rsidP="00B020FA">
      <w:pPr>
        <w:jc w:val="both"/>
      </w:pPr>
    </w:p>
    <w:p w14:paraId="61A9465B" w14:textId="77777777" w:rsidR="00B020FA" w:rsidRDefault="00B020FA" w:rsidP="00B020FA">
      <w:pPr>
        <w:jc w:val="both"/>
      </w:pPr>
    </w:p>
    <w:p w14:paraId="47C891CE" w14:textId="77777777" w:rsidR="00B020FA" w:rsidRDefault="00B020FA" w:rsidP="00B020FA">
      <w:pPr>
        <w:jc w:val="both"/>
      </w:pPr>
    </w:p>
    <w:p w14:paraId="533EAC74" w14:textId="35FD0C2B" w:rsidR="00B020FA" w:rsidRPr="00B020FA" w:rsidRDefault="00B020FA" w:rsidP="00B020FA">
      <w:pPr>
        <w:jc w:val="both"/>
      </w:pPr>
      <w:r w:rsidRPr="00B020FA">
        <w:br/>
      </w:r>
      <w:r w:rsidRPr="00B020FA">
        <w:br/>
      </w:r>
    </w:p>
    <w:p w14:paraId="266AC94B" w14:textId="77777777" w:rsidR="00B020FA" w:rsidRPr="00B020FA" w:rsidRDefault="00B020FA" w:rsidP="00B020FA">
      <w:pPr>
        <w:jc w:val="both"/>
      </w:pPr>
      <w:r w:rsidRPr="00B020FA">
        <w:rPr>
          <w:b/>
          <w:bCs/>
        </w:rPr>
        <w:lastRenderedPageBreak/>
        <w:t>Βιταμίνη Α και Βοοειδή: Μία Σχέση «Τυφλής» Αγάπης</w:t>
      </w:r>
    </w:p>
    <w:p w14:paraId="69B8F771" w14:textId="77777777" w:rsidR="00B020FA" w:rsidRPr="00B020FA" w:rsidRDefault="00B020FA" w:rsidP="00B020FA">
      <w:pPr>
        <w:jc w:val="both"/>
      </w:pPr>
      <w:r w:rsidRPr="00B020FA">
        <w:t>Ελένη Ζωή Νταραγιάννη Σταμάτη</w:t>
      </w:r>
      <w:r w:rsidRPr="00B020FA">
        <w:rPr>
          <w:vertAlign w:val="superscript"/>
        </w:rPr>
        <w:t xml:space="preserve">1 </w:t>
      </w:r>
      <w:r w:rsidRPr="00B020FA">
        <w:t>, Αναστασία Τσιγκοτζίδου</w:t>
      </w:r>
      <w:r w:rsidRPr="00B020FA">
        <w:rPr>
          <w:vertAlign w:val="superscript"/>
        </w:rPr>
        <w:t>2</w:t>
      </w:r>
    </w:p>
    <w:p w14:paraId="77F9A8E7" w14:textId="77777777" w:rsidR="00B020FA" w:rsidRPr="00B020FA" w:rsidRDefault="00B020FA">
      <w:pPr>
        <w:numPr>
          <w:ilvl w:val="0"/>
          <w:numId w:val="48"/>
        </w:numPr>
        <w:jc w:val="both"/>
      </w:pPr>
      <w:r w:rsidRPr="00B020FA">
        <w:t>Προπτυχιακή φοιτήτρια, Τμήμα Κτηνιατρικής, Σχολή Επιστημών Υγείας, Αριστοτέλειο Πανεπιστήμιο Θεσσαλονίκης</w:t>
      </w:r>
    </w:p>
    <w:p w14:paraId="3FD1939D" w14:textId="77777777" w:rsidR="00B020FA" w:rsidRPr="00B020FA" w:rsidRDefault="00B020FA">
      <w:pPr>
        <w:numPr>
          <w:ilvl w:val="0"/>
          <w:numId w:val="48"/>
        </w:numPr>
        <w:jc w:val="both"/>
      </w:pPr>
      <w:r w:rsidRPr="00B020FA">
        <w:t>Καθηγήτρια, Τμήμα Κτηνιατρικής, Σχολή Επιστημών Υγείας, Αριστοτέλειο Πανεπιστήμιο Θεσσαλονίκης </w:t>
      </w:r>
    </w:p>
    <w:p w14:paraId="178E9C20" w14:textId="77777777" w:rsidR="00B020FA" w:rsidRPr="00B020FA" w:rsidRDefault="00B020FA" w:rsidP="00B020FA">
      <w:pPr>
        <w:ind w:left="720"/>
        <w:jc w:val="both"/>
      </w:pPr>
    </w:p>
    <w:p w14:paraId="6618C4E0" w14:textId="77777777" w:rsidR="00B020FA" w:rsidRPr="00B020FA" w:rsidRDefault="00B020FA" w:rsidP="00B020FA">
      <w:pPr>
        <w:jc w:val="both"/>
      </w:pPr>
      <w:r w:rsidRPr="00B020FA">
        <w:rPr>
          <w:b/>
          <w:bCs/>
        </w:rPr>
        <w:t>Περίληψη</w:t>
      </w:r>
    </w:p>
    <w:p w14:paraId="5F45B338" w14:textId="77777777" w:rsidR="00B020FA" w:rsidRPr="00233C2F" w:rsidRDefault="00B020FA" w:rsidP="00B020FA">
      <w:pPr>
        <w:jc w:val="both"/>
      </w:pPr>
      <w:r w:rsidRPr="00B020FA">
        <w:t>Από τα πρώτα στάδια της εμβρυογένεσης, πληθώρα πολύπλοκων και άρτια συνδεδεμένων μηχανισμών οδηγούν σταδιακά στο σχηματισμό όλων των συστημάτων και των ιστών του οργανισμού. Σε αυτές τις διεργασίες συμμετέχουν ορμόνες και αυξητικοί παράγοντες που καθορίζουν την έκφραση γονιδίων μορφογένεσης. Μία εξίσου πολύ σημαντική ουσία που συμμετέχει είναι η Βιταμίνη Α και τα παράγωγά της. Σε αναπτυσσόμενους οργανισμούς είναι απαραίτητη για την σωστή λειτουργία της όρασης, την ακεραιότητα όλων των επιθηλίων, την αναπαραγωγή και την ανάπτυξη. Ωστόσο, ακόμα και στα πρώιμα στάδια της κυοφορίας φαίνεται να είναι αναγκαία, προάγοντας την ανάπτυξη του νευρικού συστήματος - συγκεκριμένα του ρομβοειδούς εγκεφάλου και του οφθαλμού - και καθορίζοντας τη φυσιολογική μετανάστευση των κυττάρων της νευρικής ακρολοφίας. Οι συνέπειες της έλλειψης βιταμίνης Α είναι ίδιες τόσο στον άνθρωπο όσο και στα βοοειδή, αλλά και σε άλλα θηλαστικά. Τα νεογέννητα ζώων που κυοφορούν και δεν προσλαμβάνουν επαρκή ποσότητα βιταμίνης Α εμφανίζουν διαμαρτίες διάπλασης του νευρικού συστήματος, προβλήματα όρασης και παθολογικές αλλοιώσεις σε πολλά συστήματα όπως το κυκλοφορικό, το ουρογεννητικό και το ανοσοποιητικό. Είναι συνεπώς απαραίτητη η βαθύτερη κατανόηση της συμμετοχής των βιταμινών και άλλων ουσιών στα διάφορα στάδια της εμβρυογένεσης, για να εξασφαλίσουμε την υγιή έκβαση της αναπαραγωγής των εκτρεφόμενων ζώων.</w:t>
      </w:r>
    </w:p>
    <w:p w14:paraId="34B25E65" w14:textId="77777777" w:rsidR="00B020FA" w:rsidRPr="00233C2F" w:rsidRDefault="00B020FA" w:rsidP="00B020FA">
      <w:pPr>
        <w:jc w:val="both"/>
      </w:pPr>
    </w:p>
    <w:p w14:paraId="0FF95020" w14:textId="77777777" w:rsidR="00B020FA" w:rsidRPr="00B020FA" w:rsidRDefault="00B020FA" w:rsidP="00B020FA">
      <w:pPr>
        <w:jc w:val="both"/>
      </w:pPr>
      <w:r w:rsidRPr="00B020FA">
        <w:rPr>
          <w:b/>
          <w:bCs/>
        </w:rPr>
        <w:t>Βιβλιογραφία</w:t>
      </w:r>
    </w:p>
    <w:p w14:paraId="6A839ADD" w14:textId="77777777" w:rsidR="00B020FA" w:rsidRPr="00B020FA" w:rsidRDefault="00B020FA" w:rsidP="00B020FA">
      <w:pPr>
        <w:jc w:val="both"/>
      </w:pPr>
      <w:r w:rsidRPr="00B020FA">
        <w:t xml:space="preserve">Bandara, S., &amp; von Lintig, J. (2025). Vitamin A supply in the eye and establishment of the visual cycle. </w:t>
      </w:r>
      <w:r w:rsidRPr="00B020FA">
        <w:rPr>
          <w:i/>
          <w:iCs/>
        </w:rPr>
        <w:t>Current Topics in Developmental Biology</w:t>
      </w:r>
      <w:r w:rsidRPr="00B020FA">
        <w:t>, 161, 319–348.</w:t>
      </w:r>
    </w:p>
    <w:p w14:paraId="55D8F5D0" w14:textId="77777777" w:rsidR="00B020FA" w:rsidRPr="00B020FA" w:rsidRDefault="00B020FA" w:rsidP="00B020FA">
      <w:pPr>
        <w:jc w:val="both"/>
      </w:pPr>
      <w:r w:rsidRPr="00B020FA">
        <w:t xml:space="preserve">Bates, C. J. (1983). Vitamin A in pregnancy and lactation. </w:t>
      </w:r>
      <w:r w:rsidRPr="00B020FA">
        <w:rPr>
          <w:i/>
          <w:iCs/>
        </w:rPr>
        <w:t>Proceedings of the Nutrition Society</w:t>
      </w:r>
      <w:r w:rsidRPr="00B020FA">
        <w:t>, 42(1), 65–79.</w:t>
      </w:r>
    </w:p>
    <w:p w14:paraId="7F5B0B1E" w14:textId="77777777" w:rsidR="00B020FA" w:rsidRPr="00B020FA" w:rsidRDefault="00B020FA" w:rsidP="00B020FA">
      <w:pPr>
        <w:jc w:val="both"/>
      </w:pPr>
      <w:r w:rsidRPr="00B020FA">
        <w:t xml:space="preserve">Cagnotti, G., Giordano, C., Di Muro, G., Ferrini, S., Giudice, C., Borriello, G., &amp; D’Angelo, A. (2025). Neuro-ophthalmologic findings of hypovitaminosis A in beef cattle: A retrospective study. </w:t>
      </w:r>
      <w:r w:rsidRPr="00B020FA">
        <w:rPr>
          <w:i/>
          <w:iCs/>
        </w:rPr>
        <w:t>Veterinary Quarterly</w:t>
      </w:r>
      <w:r w:rsidRPr="00B020FA">
        <w:t>, 45(1), Article 2546825.</w:t>
      </w:r>
    </w:p>
    <w:p w14:paraId="62C686F1" w14:textId="77777777" w:rsidR="00B020FA" w:rsidRPr="00B020FA" w:rsidRDefault="00B020FA" w:rsidP="00B020FA">
      <w:pPr>
        <w:jc w:val="both"/>
      </w:pPr>
      <w:r w:rsidRPr="00B020FA">
        <w:t xml:space="preserve">Calhoun, M. C., Hurt, H. D., Eaton, H. D., Rousseau, J. E., Jr., &amp; Hall, R. C., Jr. (1967). Rates of formation and absorption of cerebrospinal fluid in bovine hypovitaminosis A. </w:t>
      </w:r>
      <w:r w:rsidRPr="00B020FA">
        <w:rPr>
          <w:i/>
          <w:iCs/>
        </w:rPr>
        <w:t>Journal of Dairy Science</w:t>
      </w:r>
      <w:r w:rsidRPr="00B020FA">
        <w:t>, 50(9), 1489–1494.</w:t>
      </w:r>
    </w:p>
    <w:p w14:paraId="7533ADEE" w14:textId="77777777" w:rsidR="00B020FA" w:rsidRPr="00B020FA" w:rsidRDefault="00B020FA" w:rsidP="00B020FA">
      <w:pPr>
        <w:jc w:val="both"/>
      </w:pPr>
      <w:r w:rsidRPr="00B020FA">
        <w:t xml:space="preserve">Clagett-Dame, M., &amp; DeLuca, H. F. (2002). The role of vitamin A in mammalian reproduction and embryonic development. </w:t>
      </w:r>
      <w:r w:rsidRPr="00B020FA">
        <w:rPr>
          <w:i/>
          <w:iCs/>
        </w:rPr>
        <w:t>Annual Review of Nutrition</w:t>
      </w:r>
      <w:r w:rsidRPr="00B020FA">
        <w:t>, 22, 347–381.</w:t>
      </w:r>
    </w:p>
    <w:p w14:paraId="5AA47041" w14:textId="77777777" w:rsidR="00B020FA" w:rsidRPr="00B020FA" w:rsidRDefault="00B020FA" w:rsidP="00B020FA">
      <w:pPr>
        <w:jc w:val="both"/>
      </w:pPr>
      <w:r w:rsidRPr="00B020FA">
        <w:lastRenderedPageBreak/>
        <w:t xml:space="preserve">Dewell, G. (2014). </w:t>
      </w:r>
      <w:r w:rsidRPr="00B020FA">
        <w:rPr>
          <w:i/>
          <w:iCs/>
        </w:rPr>
        <w:t>Vitamin A deficiency in beef calves</w:t>
      </w:r>
      <w:r w:rsidRPr="00B020FA">
        <w:t xml:space="preserve"> (PMR 1014). Iowa State University Extension and Outreach.</w:t>
      </w:r>
    </w:p>
    <w:p w14:paraId="717363EC" w14:textId="77777777" w:rsidR="00B020FA" w:rsidRPr="00B020FA" w:rsidRDefault="00B020FA" w:rsidP="00B020FA">
      <w:pPr>
        <w:jc w:val="both"/>
      </w:pPr>
      <w:r w:rsidRPr="00B020FA">
        <w:t xml:space="preserve">Ikeda, S., Kitagawa, M., Imai, H., &amp; Yamada, M. (2005). The roles of vitamin A for cytoplasmic maturation of bovine oocytes. </w:t>
      </w:r>
      <w:r w:rsidRPr="00B020FA">
        <w:rPr>
          <w:i/>
          <w:iCs/>
        </w:rPr>
        <w:t>Journal of Reproduction and Development</w:t>
      </w:r>
      <w:r w:rsidRPr="00B020FA">
        <w:t>, 51(1), 23–35.</w:t>
      </w:r>
    </w:p>
    <w:p w14:paraId="72CD4DAA" w14:textId="77777777" w:rsidR="00B020FA" w:rsidRPr="00B020FA" w:rsidRDefault="00B020FA" w:rsidP="00B020FA">
      <w:pPr>
        <w:jc w:val="both"/>
      </w:pPr>
      <w:r w:rsidRPr="00B020FA">
        <w:t xml:space="preserve">Ishaq, M. U., Kunwar, D., Qadeer, A., Komel, A., Safi, A., Malik, A., Malik, L., &amp; Akbar, A. (2024). Effect of vitamin A on maternal, fetal, and neonatal outcomes: An overview of deficiency, excessive intake, and intake recommendations. </w:t>
      </w:r>
      <w:r w:rsidRPr="00B020FA">
        <w:rPr>
          <w:i/>
          <w:iCs/>
        </w:rPr>
        <w:t>Nutrition in Clinical Practice</w:t>
      </w:r>
      <w:r w:rsidRPr="00B020FA">
        <w:t>, 39(2), 373–384.</w:t>
      </w:r>
    </w:p>
    <w:p w14:paraId="4929798E" w14:textId="77777777" w:rsidR="00B020FA" w:rsidRPr="00B020FA" w:rsidRDefault="00B020FA" w:rsidP="00B020FA">
      <w:pPr>
        <w:jc w:val="both"/>
      </w:pPr>
      <w:r w:rsidRPr="00B020FA">
        <w:t xml:space="preserve">Kang, S., Park, C., &amp; Seo, K. (2017). Ocular abnormalities associated with hypovitaminosis A in Hanwoo calves: A report of two cases. </w:t>
      </w:r>
      <w:r w:rsidRPr="00B020FA">
        <w:rPr>
          <w:i/>
          <w:iCs/>
        </w:rPr>
        <w:t>Journal of Veterinary Medical Science</w:t>
      </w:r>
      <w:r w:rsidRPr="00B020FA">
        <w:t>, 79(10), 1753–1756.</w:t>
      </w:r>
    </w:p>
    <w:p w14:paraId="57290DBB" w14:textId="77777777" w:rsidR="00B020FA" w:rsidRPr="00B020FA" w:rsidRDefault="00B020FA" w:rsidP="00B020FA">
      <w:pPr>
        <w:jc w:val="both"/>
      </w:pPr>
      <w:r w:rsidRPr="00B020FA">
        <w:t xml:space="preserve">Maia, S. B., Rolland Souza, A. S., Costa Caminha, M. d. F., Lins da Silva, S., Callou Cruz, R. de S. B. L., Carvalho dos Santos, C., &amp; Batista Filho, M. (2019). Vitamin A and pregnancy: A narrative review. </w:t>
      </w:r>
      <w:r w:rsidRPr="00B020FA">
        <w:rPr>
          <w:i/>
          <w:iCs/>
        </w:rPr>
        <w:t>Nutrients</w:t>
      </w:r>
      <w:r w:rsidRPr="00B020FA">
        <w:t>, 11(3), 681.</w:t>
      </w:r>
    </w:p>
    <w:p w14:paraId="5D00B445" w14:textId="77777777" w:rsidR="00B020FA" w:rsidRPr="00B020FA" w:rsidRDefault="00B020FA" w:rsidP="00B020FA">
      <w:pPr>
        <w:jc w:val="both"/>
      </w:pPr>
      <w:r w:rsidRPr="00B020FA">
        <w:t xml:space="preserve">Millen, J. W., &amp; Dickson, A. D. (1957). The effect of vitamin A upon the cerebrospinal-fluid pressures of young rabbits suffering from hydrocephalus due to maternal hypovitaminosis A. </w:t>
      </w:r>
      <w:r w:rsidRPr="00B020FA">
        <w:rPr>
          <w:i/>
          <w:iCs/>
        </w:rPr>
        <w:t>British Journal of Nutrition</w:t>
      </w:r>
      <w:r w:rsidRPr="00B020FA">
        <w:t>, 11(4), 440–446.</w:t>
      </w:r>
    </w:p>
    <w:p w14:paraId="7F10A623" w14:textId="77777777" w:rsidR="00B020FA" w:rsidRPr="00B020FA" w:rsidRDefault="00B020FA" w:rsidP="00B020FA">
      <w:pPr>
        <w:jc w:val="both"/>
      </w:pPr>
      <w:r w:rsidRPr="00B020FA">
        <w:t xml:space="preserve">Millemann, Y., Benoit-Valiergue, H., Bonnin, J.-P., Fontaine, J.-J., &amp; Maillard, R. (2007). Ocular and cardiac malformations associated with maternal hypovitaminosis A in cattle. </w:t>
      </w:r>
      <w:r w:rsidRPr="00B020FA">
        <w:rPr>
          <w:i/>
          <w:iCs/>
        </w:rPr>
        <w:t>Veterinary Record</w:t>
      </w:r>
      <w:r w:rsidRPr="00B020FA">
        <w:t>, 160(13), 441–443.</w:t>
      </w:r>
    </w:p>
    <w:p w14:paraId="3CC27C35" w14:textId="77777777" w:rsidR="00B020FA" w:rsidRPr="00B020FA" w:rsidRDefault="00B020FA" w:rsidP="00B020FA">
      <w:pPr>
        <w:jc w:val="both"/>
      </w:pPr>
      <w:r w:rsidRPr="00B020FA">
        <w:t xml:space="preserve">Nozière, P., Graulet, B., Lucas, A., Martin, B., Grolier, P., &amp; Doreau, M. (2006). Carotenoids for ruminants: From forages to dairy products. </w:t>
      </w:r>
      <w:r w:rsidRPr="00B020FA">
        <w:rPr>
          <w:i/>
          <w:iCs/>
        </w:rPr>
        <w:t>Animal Feed Science and Technology</w:t>
      </w:r>
      <w:r w:rsidRPr="00B020FA">
        <w:t>, 131, 418–450.</w:t>
      </w:r>
    </w:p>
    <w:p w14:paraId="0C23E1E3" w14:textId="77777777" w:rsidR="00B020FA" w:rsidRPr="00B020FA" w:rsidRDefault="00B020FA" w:rsidP="00B020FA">
      <w:pPr>
        <w:jc w:val="both"/>
      </w:pPr>
      <w:r w:rsidRPr="00B020FA">
        <w:t xml:space="preserve">Reijntjes, S., Blentic, A., Gale, E., &amp; Maden, M. (2005). The control of morphogen signalling: Regulation of the synthesis and catabolism of retinoic acid in the developing embryo. </w:t>
      </w:r>
      <w:r w:rsidRPr="00B020FA">
        <w:rPr>
          <w:i/>
          <w:iCs/>
        </w:rPr>
        <w:t>Developmental Biology</w:t>
      </w:r>
      <w:r w:rsidRPr="00B020FA">
        <w:t>, 285(1), 224–237.</w:t>
      </w:r>
    </w:p>
    <w:p w14:paraId="579D72C4" w14:textId="77777777" w:rsidR="00B020FA" w:rsidRPr="00B020FA" w:rsidRDefault="00B020FA" w:rsidP="00B020FA">
      <w:pPr>
        <w:jc w:val="both"/>
      </w:pPr>
      <w:r w:rsidRPr="00B020FA">
        <w:t xml:space="preserve">Ross, S. A., McCaffery, P. J., Drager, U. C., &amp; De Luca, L. M. (2000). Retinoids in embryonal development. </w:t>
      </w:r>
      <w:r w:rsidRPr="00B020FA">
        <w:rPr>
          <w:i/>
          <w:iCs/>
        </w:rPr>
        <w:t>Physiological Reviews</w:t>
      </w:r>
      <w:r w:rsidRPr="00B020FA">
        <w:t>, 80(4), 1021–1054.</w:t>
      </w:r>
    </w:p>
    <w:p w14:paraId="4E48B6F9" w14:textId="77777777" w:rsidR="00B020FA" w:rsidRPr="00B020FA" w:rsidRDefault="00B020FA" w:rsidP="00B020FA">
      <w:pPr>
        <w:jc w:val="both"/>
      </w:pPr>
      <w:r w:rsidRPr="00B020FA">
        <w:t xml:space="preserve">Sosa, E., Morrell, E. L., Llada, I., Odriozola, E. R., &amp; Cantón, G. J. (2023). Congenital hypovitaminosis A in dairy cattle: A case report. </w:t>
      </w:r>
      <w:r w:rsidRPr="00B020FA">
        <w:rPr>
          <w:i/>
          <w:iCs/>
        </w:rPr>
        <w:t>Veterinary Record Case Reports</w:t>
      </w:r>
      <w:r w:rsidRPr="00B020FA">
        <w:t>, 12(1), e744.</w:t>
      </w:r>
    </w:p>
    <w:p w14:paraId="56A04C44" w14:textId="77777777" w:rsidR="00B020FA" w:rsidRPr="00B020FA" w:rsidRDefault="00B020FA" w:rsidP="00B020FA">
      <w:pPr>
        <w:jc w:val="both"/>
      </w:pPr>
      <w:r w:rsidRPr="00B020FA">
        <w:t xml:space="preserve">Vander Lugt, J. J., &amp; Prozesky, L. (1989). The pathology of blindness in new-born calves caused by hypovitaminosis A. </w:t>
      </w:r>
      <w:r w:rsidRPr="00B020FA">
        <w:rPr>
          <w:i/>
          <w:iCs/>
        </w:rPr>
        <w:t>Onderstepoort Journal of Veterinary Research</w:t>
      </w:r>
      <w:r w:rsidRPr="00B020FA">
        <w:t>, 56(2), 99–109.</w:t>
      </w:r>
    </w:p>
    <w:p w14:paraId="5E9AB66D" w14:textId="77777777" w:rsidR="00B020FA" w:rsidRPr="00B020FA" w:rsidRDefault="00B020FA" w:rsidP="00B020FA">
      <w:pPr>
        <w:jc w:val="both"/>
      </w:pPr>
      <w:r w:rsidRPr="00B020FA">
        <w:t xml:space="preserve">White, J. C., Narayanaswamy Shankar, V., Highland, M., Epstein, M. L., DeLuca, H. F., &amp; Clagett-Dame, M. (1998). Defects in embryonic hindbrain development and fetal resorption resulting from vitamin A deficiency in the rat are prevented by feeding pharmacological levels of all-trans-retinoic acid. </w:t>
      </w:r>
      <w:r w:rsidRPr="00B020FA">
        <w:rPr>
          <w:i/>
          <w:iCs/>
        </w:rPr>
        <w:t>Proceedings of the National Academy of Sciences of the United States of America</w:t>
      </w:r>
      <w:r w:rsidRPr="00B020FA">
        <w:t>, 95(23), 13459–13464.</w:t>
      </w:r>
    </w:p>
    <w:p w14:paraId="705558C0" w14:textId="77777777" w:rsidR="00B020FA" w:rsidRPr="00233C2F" w:rsidRDefault="00B020FA" w:rsidP="00B020FA">
      <w:pPr>
        <w:jc w:val="both"/>
      </w:pPr>
      <w:r w:rsidRPr="00B020FA">
        <w:t xml:space="preserve">Zile, M. H. (2001). Function of vitamin A in vertebrate embryonic development. </w:t>
      </w:r>
      <w:r w:rsidRPr="00B020FA">
        <w:rPr>
          <w:i/>
          <w:iCs/>
        </w:rPr>
        <w:t>The</w:t>
      </w:r>
      <w:r w:rsidRPr="00233C2F">
        <w:rPr>
          <w:i/>
          <w:iCs/>
        </w:rPr>
        <w:t xml:space="preserve"> </w:t>
      </w:r>
      <w:r w:rsidRPr="00B020FA">
        <w:rPr>
          <w:i/>
          <w:iCs/>
        </w:rPr>
        <w:t>Journal</w:t>
      </w:r>
      <w:r w:rsidRPr="00233C2F">
        <w:rPr>
          <w:i/>
          <w:iCs/>
        </w:rPr>
        <w:t xml:space="preserve"> </w:t>
      </w:r>
      <w:r w:rsidRPr="00B020FA">
        <w:rPr>
          <w:i/>
          <w:iCs/>
        </w:rPr>
        <w:t>of</w:t>
      </w:r>
      <w:r w:rsidRPr="00233C2F">
        <w:rPr>
          <w:i/>
          <w:iCs/>
        </w:rPr>
        <w:t xml:space="preserve"> </w:t>
      </w:r>
      <w:r w:rsidRPr="00B020FA">
        <w:rPr>
          <w:i/>
          <w:iCs/>
        </w:rPr>
        <w:t>Nutrition</w:t>
      </w:r>
      <w:r w:rsidRPr="00233C2F">
        <w:t>, 131(3), 705–708.</w:t>
      </w:r>
    </w:p>
    <w:p w14:paraId="4C5C5621" w14:textId="77777777" w:rsidR="00B020FA" w:rsidRPr="00233C2F" w:rsidRDefault="00B020FA" w:rsidP="00B020FA">
      <w:pPr>
        <w:jc w:val="both"/>
      </w:pPr>
    </w:p>
    <w:p w14:paraId="61AE3A10" w14:textId="77777777" w:rsidR="00B020FA" w:rsidRPr="00233C2F" w:rsidRDefault="00B020FA" w:rsidP="00B020FA">
      <w:pPr>
        <w:jc w:val="both"/>
      </w:pPr>
    </w:p>
    <w:p w14:paraId="153A9FD6" w14:textId="77777777" w:rsidR="00B020FA" w:rsidRPr="00233C2F" w:rsidRDefault="00B020FA" w:rsidP="00B020FA">
      <w:pPr>
        <w:jc w:val="both"/>
      </w:pPr>
    </w:p>
    <w:p w14:paraId="05127F61" w14:textId="77777777" w:rsidR="00B020FA" w:rsidRPr="00B020FA" w:rsidRDefault="00B020FA" w:rsidP="00B020FA">
      <w:pPr>
        <w:jc w:val="both"/>
      </w:pPr>
      <w:r w:rsidRPr="00B020FA">
        <w:rPr>
          <w:b/>
          <w:bCs/>
        </w:rPr>
        <w:lastRenderedPageBreak/>
        <w:t>Διόγκωση στην Περιοχή του Καρπού και του Ταρσού στα Βοοειδή: Είναι Πάντα Αρθρίτιδα;</w:t>
      </w:r>
    </w:p>
    <w:p w14:paraId="31AD6D47" w14:textId="77777777" w:rsidR="00B020FA" w:rsidRPr="00B020FA" w:rsidRDefault="00B020FA" w:rsidP="00B020FA">
      <w:pPr>
        <w:jc w:val="both"/>
      </w:pPr>
      <w:r w:rsidRPr="00B020FA">
        <w:t>Πάλη Ελένη</w:t>
      </w:r>
      <w:r w:rsidRPr="00B020FA">
        <w:rPr>
          <w:vertAlign w:val="superscript"/>
        </w:rPr>
        <w:t>1</w:t>
      </w:r>
      <w:r w:rsidRPr="00B020FA">
        <w:t>, Πρόιος Ιωάννης</w:t>
      </w:r>
      <w:r w:rsidRPr="00B020FA">
        <w:rPr>
          <w:vertAlign w:val="superscript"/>
        </w:rPr>
        <w:t>2</w:t>
      </w:r>
    </w:p>
    <w:p w14:paraId="654609BE" w14:textId="77777777" w:rsidR="00B020FA" w:rsidRPr="00B020FA" w:rsidRDefault="00B020FA">
      <w:pPr>
        <w:numPr>
          <w:ilvl w:val="0"/>
          <w:numId w:val="49"/>
        </w:numPr>
        <w:jc w:val="both"/>
      </w:pPr>
      <w:r w:rsidRPr="00B020FA">
        <w:t>Προπτυχιακή Φοιτήτρια, Τμήμα Κτηνιατρικής, Σχολή Επιστημών Υγείας, Αριστοτέλειο Πανεπιστήμιο Θεσσαλονίκης</w:t>
      </w:r>
    </w:p>
    <w:p w14:paraId="4AF0ACC4" w14:textId="77777777" w:rsidR="00B020FA" w:rsidRPr="00B020FA" w:rsidRDefault="00B020FA">
      <w:pPr>
        <w:numPr>
          <w:ilvl w:val="0"/>
          <w:numId w:val="49"/>
        </w:numPr>
        <w:jc w:val="both"/>
      </w:pPr>
      <w:r w:rsidRPr="00B020FA">
        <w:t>Επίκουρος Καθηγητής, Χειρουργική Παραγωγικών Ζώων, Τμήμα Κτηνιατρικής, Σχολή Επιστημών Υγείας, Αριστοτέλειο Πανεπιστήμιο Θεσσαλονίκης</w:t>
      </w:r>
    </w:p>
    <w:p w14:paraId="0E20C6E1" w14:textId="77777777" w:rsidR="00B020FA" w:rsidRPr="00B020FA" w:rsidRDefault="00B020FA" w:rsidP="00B020FA">
      <w:pPr>
        <w:jc w:val="both"/>
      </w:pPr>
    </w:p>
    <w:p w14:paraId="1A7A59E4" w14:textId="77777777" w:rsidR="00B020FA" w:rsidRPr="00B020FA" w:rsidRDefault="00B020FA" w:rsidP="00B020FA">
      <w:pPr>
        <w:jc w:val="both"/>
      </w:pPr>
      <w:r w:rsidRPr="00B020FA">
        <w:rPr>
          <w:b/>
          <w:bCs/>
        </w:rPr>
        <w:t>Περίληψη</w:t>
      </w:r>
    </w:p>
    <w:p w14:paraId="62D7437D" w14:textId="77777777" w:rsidR="00B020FA" w:rsidRPr="00B020FA" w:rsidRDefault="00B020FA" w:rsidP="00B020FA">
      <w:pPr>
        <w:jc w:val="both"/>
      </w:pPr>
      <w:r w:rsidRPr="00B020FA">
        <w:t>Δερματικές αλλοιώσεις στην περιοχή του καρπού και του ταρσού παρατηρούνται συχνά στα βοοειδή. Η επαναλαμβανόμενη καταπόνηση αυτών των ανατομικών περιοχών μπορεί να οδηγήσει λόγω μηχανικής πίεσης και τριβής ακόμα και  σε υπέρμετρη διόγκωση . Ένα τέτοιο κλινικό εύρημα δεν πρέπει να εκληφθεί αυτόματα ως αρθρίτιδα. Αντίθετα, πρέπει να λαμβάνονται υπόψη και άλλες παθήσεις, όπως το ύγρωμα. Η δημιουργία του υγρώματος συνδέεται με τη χρόνια φλεγμονή του αντίστοιχου (επίκτητου) ορογόνου θυλάκου και  συσσώρευση ορώδους ή πυώδους περιεχομένου, οδηγώντας σε χαρακτηριστική διόγκωση, κυρίως στο πρόσθιο τμήμα του καρπού ή στην έξω πλάγια πλευρά του ταρσού. </w:t>
      </w:r>
    </w:p>
    <w:p w14:paraId="7744ED12" w14:textId="77777777" w:rsidR="00B020FA" w:rsidRPr="00B020FA" w:rsidRDefault="00B020FA" w:rsidP="00B020FA">
      <w:pPr>
        <w:jc w:val="both"/>
      </w:pPr>
      <w:r w:rsidRPr="00B020FA">
        <w:t>Η διάγνωση του υγρώματος βασίζεται κυρίως στην κλινική αξιολόγηση (επισκόπηση, ψηλάφηση και εκτίμηση της χωλότητας). Λόγω της εντόπισής του σε συγκεκριμένη ανατομική θέση, της ανώδυνης ψηλάφησης και της απουσίας χωλότητας, διαφοροποιείται από άλλες παθήσεις. </w:t>
      </w:r>
    </w:p>
    <w:p w14:paraId="2A47C380" w14:textId="77777777" w:rsidR="00B020FA" w:rsidRPr="00B020FA" w:rsidRDefault="00B020FA" w:rsidP="00B020FA">
      <w:pPr>
        <w:jc w:val="both"/>
      </w:pPr>
      <w:r w:rsidRPr="00B020FA">
        <w:t>Η αντιμετώπιση είναι χειρουργική και προτείνεται σε μεμονωμένα περιστατικά ανάλογα με την βαρύτητα των ευρημάτων και αφού έχουν επισημανθεί οι πιθανές επιπλοκές στον παραγωγό. </w:t>
      </w:r>
    </w:p>
    <w:p w14:paraId="1E23D800" w14:textId="77777777" w:rsidR="00B020FA" w:rsidRPr="00B020FA" w:rsidRDefault="00B020FA" w:rsidP="00B020FA">
      <w:pPr>
        <w:jc w:val="both"/>
      </w:pPr>
      <w:r w:rsidRPr="00B020FA">
        <w:t>Η θεραπευτική προσέγγιση περιλαμβάνει είτε τη διάνοιξη του υγρώματος με παροχέτευση του περιεχομένου του είτε τη χειρουργική αφαίρεση του διογκωμένου ορογόνου θυλάκου. Η εξ ολοκλήρου (in toto) αφαίρεση ακολουθείται από σύγκλειση του δέρματος. Εναλλακτικά, μπορεί να αφαιρεθεί το υπερκείμενο αλλοιωμένο δέρμα, οπότε η επούλωση πραγματοποιείται κατά δεύτερο σκοπό. Ωστόσο καθοριστική είναι  η πρόληψη, η οποία επιτυγχάνεται διατηρώντας κατάλληλες συνθήκες σταβλισμού και παρακολουθώντας τα ζώα, μέσω του τακτικής αξιολόγησης (scoring) των αλλοιώσεων του καρπού και του ταρσού.</w:t>
      </w:r>
    </w:p>
    <w:p w14:paraId="60222AF3" w14:textId="77777777" w:rsidR="00B020FA" w:rsidRPr="00B020FA" w:rsidRDefault="00B020FA" w:rsidP="00B020FA">
      <w:pPr>
        <w:jc w:val="both"/>
      </w:pPr>
    </w:p>
    <w:p w14:paraId="19D699E6" w14:textId="77777777" w:rsidR="00B020FA" w:rsidRPr="00B020FA" w:rsidRDefault="00B020FA" w:rsidP="00B020FA">
      <w:pPr>
        <w:jc w:val="both"/>
      </w:pPr>
      <w:r w:rsidRPr="00B020FA">
        <w:rPr>
          <w:b/>
          <w:bCs/>
        </w:rPr>
        <w:t>Βιβλιογραφία</w:t>
      </w:r>
    </w:p>
    <w:p w14:paraId="58DADC6D" w14:textId="77777777" w:rsidR="00B020FA" w:rsidRPr="00B020FA" w:rsidRDefault="00B020FA" w:rsidP="00B020FA">
      <w:pPr>
        <w:jc w:val="both"/>
      </w:pPr>
      <w:r w:rsidRPr="00B020FA">
        <w:t xml:space="preserve">Budras, K.-D., &amp; Wünsche, A. (2002). </w:t>
      </w:r>
      <w:r w:rsidRPr="00B020FA">
        <w:rPr>
          <w:i/>
          <w:iCs/>
        </w:rPr>
        <w:t>Atlas der Anatomie des Rindes.</w:t>
      </w:r>
      <w:r w:rsidRPr="00B020FA">
        <w:t xml:space="preserve"> Schlütersche.</w:t>
      </w:r>
    </w:p>
    <w:p w14:paraId="5F473390" w14:textId="77777777" w:rsidR="00B020FA" w:rsidRPr="00B020FA" w:rsidRDefault="00B020FA" w:rsidP="00B020FA">
      <w:pPr>
        <w:jc w:val="both"/>
      </w:pPr>
      <w:r w:rsidRPr="00B020FA">
        <w:t xml:space="preserve">Dirksen, G. (2006). </w:t>
      </w:r>
      <w:r w:rsidRPr="00B020FA">
        <w:rPr>
          <w:i/>
          <w:iCs/>
        </w:rPr>
        <w:t>Krankheiten der Bewegungsorgane.</w:t>
      </w:r>
      <w:r w:rsidRPr="00B020FA">
        <w:t xml:space="preserve"> In G. Dirksen, H.-D. Gründer, &amp; M. Stöber (Eds.), Innere Medizin und Chirurgie des Rindes (pp. 753–1025). Parey.</w:t>
      </w:r>
    </w:p>
    <w:p w14:paraId="4991FFB7" w14:textId="77777777" w:rsidR="00B020FA" w:rsidRPr="00B020FA" w:rsidRDefault="00B020FA" w:rsidP="00B020FA">
      <w:pPr>
        <w:jc w:val="both"/>
      </w:pPr>
      <w:r w:rsidRPr="00B020FA">
        <w:t xml:space="preserve">Greenough, P. R. (2007). </w:t>
      </w:r>
      <w:r w:rsidRPr="00B020FA">
        <w:rPr>
          <w:i/>
          <w:iCs/>
        </w:rPr>
        <w:t>Disorders affecting the upper limb.</w:t>
      </w:r>
      <w:r w:rsidRPr="00B020FA">
        <w:t xml:space="preserve"> In C. Bergsten, A. Brizzi, &amp; C. Mülling (Eds.), Bovine laminitis and lameness: A hands-on approach (pp. 278–294). Saunders Elsevier.</w:t>
      </w:r>
    </w:p>
    <w:p w14:paraId="010BF89C" w14:textId="77777777" w:rsidR="00B020FA" w:rsidRPr="00B020FA" w:rsidRDefault="00B020FA" w:rsidP="00B020FA">
      <w:pPr>
        <w:jc w:val="both"/>
      </w:pPr>
      <w:r w:rsidRPr="00B020FA">
        <w:t xml:space="preserve"> Kester, E., Holzhauer, M., &amp; Frankena, K. (2014). </w:t>
      </w:r>
      <w:r w:rsidRPr="00B020FA">
        <w:rPr>
          <w:i/>
          <w:iCs/>
        </w:rPr>
        <w:t>A descriptive review of the prevalence and risk factors of hock lesions in dairy cows.</w:t>
      </w:r>
      <w:r w:rsidRPr="00B020FA">
        <w:t xml:space="preserve"> The Veterinary Journal, 202(2), 222–228.</w:t>
      </w:r>
    </w:p>
    <w:p w14:paraId="434D2614" w14:textId="77777777" w:rsidR="00B020FA" w:rsidRPr="00B020FA" w:rsidRDefault="00B020FA" w:rsidP="00B020FA">
      <w:pPr>
        <w:jc w:val="both"/>
      </w:pPr>
      <w:r w:rsidRPr="00B020FA">
        <w:t xml:space="preserve">Nuss, K., &amp; Weidmann, E. (2013). </w:t>
      </w:r>
      <w:r w:rsidRPr="00B020FA">
        <w:rPr>
          <w:i/>
          <w:iCs/>
        </w:rPr>
        <w:t>Sprunggelenkschäden bei Milchkühen–eine Übersicht.</w:t>
      </w:r>
      <w:r w:rsidRPr="00B020FA">
        <w:t xml:space="preserve"> Tierärztliche Praxis Ausgabe G: Großtiere/Nutztiere, 41(04), 234–244.</w:t>
      </w:r>
    </w:p>
    <w:p w14:paraId="01BAA9F5" w14:textId="77777777" w:rsidR="00B020FA" w:rsidRPr="00233C2F" w:rsidRDefault="00B020FA" w:rsidP="00B020FA">
      <w:pPr>
        <w:jc w:val="both"/>
      </w:pPr>
      <w:r w:rsidRPr="00B020FA">
        <w:lastRenderedPageBreak/>
        <w:t xml:space="preserve">Patil, A. S., Prarthana, R., Anilkumar, G. K., &amp; Bhageerathi, P. K. (2021). </w:t>
      </w:r>
      <w:r w:rsidRPr="00B020FA">
        <w:rPr>
          <w:i/>
          <w:iCs/>
        </w:rPr>
        <w:t>Surgical management of carpal hygroma in cattle: A retrospective study of 85 cases (2014–2020).</w:t>
      </w:r>
      <w:r w:rsidRPr="00B020FA">
        <w:t xml:space="preserve"> Journal</w:t>
      </w:r>
      <w:r w:rsidRPr="00233C2F">
        <w:t xml:space="preserve"> </w:t>
      </w:r>
      <w:r w:rsidRPr="00B020FA">
        <w:t>of</w:t>
      </w:r>
      <w:r w:rsidRPr="00233C2F">
        <w:t xml:space="preserve"> </w:t>
      </w:r>
      <w:r w:rsidRPr="00B020FA">
        <w:t>Experimental</w:t>
      </w:r>
      <w:r w:rsidRPr="00233C2F">
        <w:t xml:space="preserve"> </w:t>
      </w:r>
      <w:r w:rsidRPr="00B020FA">
        <w:t>Zoology</w:t>
      </w:r>
      <w:r w:rsidRPr="00233C2F">
        <w:t xml:space="preserve"> </w:t>
      </w:r>
      <w:r w:rsidRPr="00B020FA">
        <w:t>India</w:t>
      </w:r>
      <w:r w:rsidRPr="00233C2F">
        <w:t>, 24(2).</w:t>
      </w:r>
    </w:p>
    <w:p w14:paraId="670C096D" w14:textId="73F653E6" w:rsidR="00B020FA" w:rsidRPr="00233C2F" w:rsidRDefault="00B020FA">
      <w:r w:rsidRPr="00233C2F">
        <w:br w:type="page"/>
      </w:r>
    </w:p>
    <w:p w14:paraId="2F275C22" w14:textId="77777777" w:rsidR="00B020FA" w:rsidRPr="00B020FA" w:rsidRDefault="00B020FA" w:rsidP="00B020FA">
      <w:pPr>
        <w:jc w:val="both"/>
      </w:pPr>
      <w:r w:rsidRPr="00B020FA">
        <w:rPr>
          <w:b/>
          <w:bCs/>
        </w:rPr>
        <w:lastRenderedPageBreak/>
        <w:t>Διερεύνηση της φόρτισης δαπέδου και της διαθεσιμότητας πόρων σε εμπορικές εκτροφές μικρών μηρυκαστικών στην Ελλάδα</w:t>
      </w:r>
    </w:p>
    <w:p w14:paraId="14066337" w14:textId="2279467A" w:rsidR="00B020FA" w:rsidRPr="00B020FA" w:rsidRDefault="00B020FA" w:rsidP="00B020FA">
      <w:pPr>
        <w:jc w:val="both"/>
      </w:pPr>
      <w:r w:rsidRPr="00B020FA">
        <w:t>Μπονόβα Ελπίδα Ζωή</w:t>
      </w:r>
      <w:r w:rsidRPr="00B020FA">
        <w:rPr>
          <w:vertAlign w:val="superscript"/>
        </w:rPr>
        <w:t>1</w:t>
      </w:r>
      <w:r w:rsidRPr="00B020FA">
        <w:t>, Αρσένος Γεώργιος</w:t>
      </w:r>
      <w:r w:rsidRPr="00B020FA">
        <w:rPr>
          <w:vertAlign w:val="superscript"/>
        </w:rPr>
        <w:t>2</w:t>
      </w:r>
    </w:p>
    <w:p w14:paraId="5418E6CF" w14:textId="77777777" w:rsidR="00B020FA" w:rsidRPr="00B020FA" w:rsidRDefault="00B020FA">
      <w:pPr>
        <w:numPr>
          <w:ilvl w:val="0"/>
          <w:numId w:val="50"/>
        </w:numPr>
        <w:jc w:val="both"/>
      </w:pPr>
      <w:r w:rsidRPr="00B020FA">
        <w:t>Προπτυχιακή φοιτήτρια, Τμήμα Κτηνιατρικής, Σχολή Επιστημών Υγείας, Αριστοτέλειο Πανεπιστήμιο Θεσσαλονίκης</w:t>
      </w:r>
    </w:p>
    <w:p w14:paraId="5A5B6505" w14:textId="77777777" w:rsidR="00B020FA" w:rsidRPr="00B020FA" w:rsidRDefault="00B020FA">
      <w:pPr>
        <w:numPr>
          <w:ilvl w:val="0"/>
          <w:numId w:val="50"/>
        </w:numPr>
        <w:jc w:val="both"/>
      </w:pPr>
      <w:r w:rsidRPr="00B020FA">
        <w:t>Καθηγητής, Εργαστήριο Ζωικής Παραγωγής και Προστασίας Περιβάλλοντος, Τμήμα Κτηνιατρικής, Σχολή Επιστημών Υγείας, Αριστοτέλειο Πανεπιστήμιο Θεσσαλονίκης</w:t>
      </w:r>
    </w:p>
    <w:p w14:paraId="7F3F5824" w14:textId="77777777" w:rsidR="00B020FA" w:rsidRPr="00B020FA" w:rsidRDefault="00B020FA" w:rsidP="00B020FA">
      <w:pPr>
        <w:jc w:val="both"/>
      </w:pPr>
      <w:r w:rsidRPr="00B020FA">
        <w:rPr>
          <w:b/>
          <w:bCs/>
        </w:rPr>
        <w:t> </w:t>
      </w:r>
    </w:p>
    <w:p w14:paraId="3C25496D" w14:textId="77777777" w:rsidR="00B020FA" w:rsidRPr="00B020FA" w:rsidRDefault="00B020FA" w:rsidP="00B020FA">
      <w:pPr>
        <w:jc w:val="both"/>
      </w:pPr>
      <w:r w:rsidRPr="00B020FA">
        <w:rPr>
          <w:b/>
          <w:bCs/>
        </w:rPr>
        <w:t>Περίληψη</w:t>
      </w:r>
    </w:p>
    <w:p w14:paraId="7D7EA73F" w14:textId="77777777" w:rsidR="00B020FA" w:rsidRPr="00B020FA" w:rsidRDefault="00B020FA" w:rsidP="00B020FA">
      <w:pPr>
        <w:jc w:val="both"/>
      </w:pPr>
      <w:r w:rsidRPr="00B020FA">
        <w:t>Η φόρτιση δαπέδου, δηλαδή ο διαθέσιμος χώρος ανά ζώο,αποτελεί σημαντικό δείκτη ευζωίας στις εκτροφέςπαραγωγικών ζώων. Η περιορισμένη διαθεσιμότητα δαπέδου εμποδίζει την εκδήλωση φυσιολογικής συμπεριφοράς των ζώων, αυξάνει τον ανταγωνισμό για ζωτικό χώρο και συμβάλλει σε αύξηση της καταπόνησης και της συχνότητας τραυματισμών. Στόχος της έρευνας ήταν ο προσδιορισμός της φόρτισης δαπέδου και του διαθέσιμου χώρου στις ποτίστρες και ταΐστρες για πρόβατα και αίγες σε ημιεντατικές και εντατικές εκτροφές στην Ανατολική Μακεδονία και Θράκη. Συλλέχθηκαν δεδομένα από 18 εκτροφές οι οποίες διέθεταν συνολικά 91 ξεχωριστούς στάβλους για τα ζώα. Καταγράφηκε το ζωικό υλικό και μετρήθηκαν οι διαστάσεις των επιμέρους σταβλικών εγκαταστάσεων. Ο διαθέσιμος χώρος δαπέδου ανά ζώο υπολογίστηκε μετά την αφαίρεση της επιφάνειας ταϊστρών και ποτιστρών από τη συνολική επιφάνεια δαπέδου.Ο μέσος διαθέσιμος χώρος ανά ζώο ήταν 2,4 ± 1,30 m² για τα αρσενικά (Α), 1,8 ± 0,86 m² για τα ενήλικα θηλυκά (Θ) και 1,5 ± 1,00 m² για τα ζυγούρια και τα βετούλια (ΖΒ). Με βάση τη διαθέσιμη βιβλιογραφία και τους ισχύοντες κανονισμούς (EFSA 2014; ≥2,0–2,5 m²/ενήλικο ζώο), διαπιστώθηκε ότι το 66,6%, 68,7% και 38,0% των χώρων, αντίστοιχα, δεν πληρούσαν τα προτεινόμενα όρια, με μέσο έλλειμμα επιφάνειας 0,59, 0,63 και 0,23 m²/ζώο (Α, Θ και ΖΒ, αντίστοιχα). Το μέσο μήκος ποτίστρας ανά ζώο ήταν 12,2 ± 6,35 cm, 3,8 ± 4,05 cm και 5,0 ± 3,80 cm, για Α, Θ, και ΖΒ, αντίστοιχα, που είναι σημαντικά μικρότερο από το προτεινόμενο (≥30–45 cm/ζώο). Παράλληλα, διαπιστώθηκε ότι στο 68,1% και 39,5% των σταβλικών εγκαταστάσεων ο διαθέσιμος χώρος για ταυτόχρονη πρόσβαση σε ταΐστρες ήταν ανεπαρκής. Συνολικά, τα ευρήματα υποδηλώνουν σημαντικές ελλείψεις στις συνθήκες διαβίωσης των ζώων, αναδεικνύοντας την ανάγκη βελτίωσης των υφιστάμενων σταβλικών εγκαταστάσεων για διασφάλιση υψηλού επιπέδου ευζωίας.</w:t>
      </w:r>
    </w:p>
    <w:p w14:paraId="7EE3151E" w14:textId="77777777" w:rsidR="00B020FA" w:rsidRPr="00B020FA" w:rsidRDefault="00B020FA" w:rsidP="00B020FA">
      <w:pPr>
        <w:jc w:val="both"/>
      </w:pPr>
    </w:p>
    <w:p w14:paraId="68AE1C34" w14:textId="77777777" w:rsidR="00B020FA" w:rsidRPr="00B020FA" w:rsidRDefault="00B020FA" w:rsidP="00B020FA">
      <w:pPr>
        <w:jc w:val="both"/>
      </w:pPr>
      <w:r w:rsidRPr="00B020FA">
        <w:rPr>
          <w:b/>
          <w:bCs/>
        </w:rPr>
        <w:t>Βιβλιογραφία </w:t>
      </w:r>
    </w:p>
    <w:p w14:paraId="7A7CDDEA" w14:textId="77777777" w:rsidR="00B020FA" w:rsidRPr="00B020FA" w:rsidRDefault="00B020FA" w:rsidP="00B020FA">
      <w:pPr>
        <w:jc w:val="both"/>
      </w:pPr>
      <w:r w:rsidRPr="00B020FA">
        <w:t>Dwyer, C., Ruiz, R., Beltran de Heredia, I., Canali, E., Barbieri, S., &amp; Zanella, A. (2015). AWIN welfare assessment protocol for sheep.</w:t>
      </w:r>
    </w:p>
    <w:p w14:paraId="235A50D9" w14:textId="77777777" w:rsidR="00B020FA" w:rsidRPr="00B020FA" w:rsidRDefault="00B020FA" w:rsidP="00B020FA">
      <w:pPr>
        <w:jc w:val="both"/>
      </w:pPr>
      <w:r w:rsidRPr="00B020FA">
        <w:t>EFSA Panel on Animal Health and Welfare (AHAW). (2014). Scientific opinion on the welfare risks related to the farming of sheep for wool, meat and milk production. EFSA Journal, 12(12), 3933.</w:t>
      </w:r>
    </w:p>
    <w:p w14:paraId="5ADC4B9A" w14:textId="77777777" w:rsidR="00B020FA" w:rsidRPr="00B020FA" w:rsidRDefault="00B020FA" w:rsidP="00B020FA">
      <w:pPr>
        <w:jc w:val="both"/>
      </w:pPr>
      <w:r w:rsidRPr="00B020FA">
        <w:t xml:space="preserve">El Sabry, M. I., Motsei, L. E., Abdel-Mageed, I. I., &amp; Almasri, O. (2023). Space allowance impacts behavior, productivity, reproductivity and immunity of sheep—a review. </w:t>
      </w:r>
      <w:r w:rsidRPr="00B020FA">
        <w:rPr>
          <w:i/>
          <w:iCs/>
        </w:rPr>
        <w:t>Tropical Animal Health and Production</w:t>
      </w:r>
      <w:r w:rsidRPr="00B020FA">
        <w:t xml:space="preserve">, </w:t>
      </w:r>
      <w:r w:rsidRPr="00B020FA">
        <w:rPr>
          <w:i/>
          <w:iCs/>
        </w:rPr>
        <w:t>55</w:t>
      </w:r>
      <w:r w:rsidRPr="00B020FA">
        <w:t>(3), 207.</w:t>
      </w:r>
    </w:p>
    <w:p w14:paraId="504D4AAE" w14:textId="77777777" w:rsidR="00B020FA" w:rsidRPr="00B020FA" w:rsidRDefault="00B020FA" w:rsidP="00B020FA">
      <w:pPr>
        <w:jc w:val="both"/>
      </w:pPr>
      <w:r w:rsidRPr="00B020FA">
        <w:lastRenderedPageBreak/>
        <w:t xml:space="preserve">Mayes, B. T., Tait, L. A., Cowley, F. C., Morton, J. M., Doyle, B. P., Arslan, M. A., &amp; Taylor, P. S. (2022). Stocking density, restricted trough space, and implications for sheep behaviour and biological functioning. </w:t>
      </w:r>
      <w:r w:rsidRPr="00B020FA">
        <w:rPr>
          <w:i/>
          <w:iCs/>
        </w:rPr>
        <w:t>Frontiers in veterinary science</w:t>
      </w:r>
      <w:r w:rsidRPr="00B020FA">
        <w:t xml:space="preserve">, </w:t>
      </w:r>
      <w:r w:rsidRPr="00B020FA">
        <w:rPr>
          <w:i/>
          <w:iCs/>
        </w:rPr>
        <w:t>9</w:t>
      </w:r>
      <w:r w:rsidRPr="00B020FA">
        <w:t>, 965635.</w:t>
      </w:r>
    </w:p>
    <w:p w14:paraId="4036D917" w14:textId="77777777" w:rsidR="00B020FA" w:rsidRPr="00B020FA" w:rsidRDefault="00B020FA" w:rsidP="00B020FA">
      <w:pPr>
        <w:jc w:val="both"/>
      </w:pPr>
      <w:r w:rsidRPr="00B020FA">
        <w:t xml:space="preserve">Sevi, A., Massa, S., ANNICCHIARICO, G., DELL'AQUILA, S. A. L. V. A. T. O. R. E., &amp; Muscio, A. (1999). Effect of stocking density on ewes' milk yield, udder health and microenvironment. </w:t>
      </w:r>
      <w:r w:rsidRPr="00B020FA">
        <w:rPr>
          <w:i/>
          <w:iCs/>
        </w:rPr>
        <w:t>Journal of Dairy Research</w:t>
      </w:r>
      <w:r w:rsidRPr="00B020FA">
        <w:t xml:space="preserve">, </w:t>
      </w:r>
      <w:r w:rsidRPr="00B020FA">
        <w:rPr>
          <w:i/>
          <w:iCs/>
        </w:rPr>
        <w:t>66</w:t>
      </w:r>
      <w:r w:rsidRPr="00B020FA">
        <w:t>(4), 489-499.</w:t>
      </w:r>
    </w:p>
    <w:p w14:paraId="13332611" w14:textId="77777777" w:rsidR="00B020FA" w:rsidRPr="00233C2F" w:rsidRDefault="00B020FA" w:rsidP="00B020FA">
      <w:pPr>
        <w:jc w:val="both"/>
      </w:pPr>
    </w:p>
    <w:p w14:paraId="62BFA6D7" w14:textId="77777777" w:rsidR="00B020FA" w:rsidRPr="00233C2F" w:rsidRDefault="00B020FA" w:rsidP="00B020FA">
      <w:pPr>
        <w:jc w:val="both"/>
      </w:pPr>
    </w:p>
    <w:p w14:paraId="0D485FA1" w14:textId="77777777" w:rsidR="00B020FA" w:rsidRPr="00233C2F" w:rsidRDefault="00B020FA" w:rsidP="00B020FA">
      <w:pPr>
        <w:jc w:val="both"/>
      </w:pPr>
    </w:p>
    <w:p w14:paraId="2D558255" w14:textId="77777777" w:rsidR="00B020FA" w:rsidRPr="00233C2F" w:rsidRDefault="00B020FA" w:rsidP="00B020FA">
      <w:pPr>
        <w:jc w:val="both"/>
      </w:pPr>
    </w:p>
    <w:p w14:paraId="75BB4130" w14:textId="77777777" w:rsidR="00B020FA" w:rsidRPr="00233C2F" w:rsidRDefault="00B020FA" w:rsidP="00B020FA">
      <w:pPr>
        <w:jc w:val="both"/>
      </w:pPr>
    </w:p>
    <w:p w14:paraId="1BFB5B66" w14:textId="77777777" w:rsidR="00B020FA" w:rsidRPr="00233C2F" w:rsidRDefault="00B020FA" w:rsidP="00B020FA">
      <w:pPr>
        <w:jc w:val="both"/>
      </w:pPr>
    </w:p>
    <w:p w14:paraId="0FE61C69" w14:textId="77777777" w:rsidR="00B020FA" w:rsidRPr="00233C2F" w:rsidRDefault="00B020FA" w:rsidP="00B020FA">
      <w:pPr>
        <w:jc w:val="both"/>
      </w:pPr>
    </w:p>
    <w:p w14:paraId="71A3B967" w14:textId="77777777" w:rsidR="00B020FA" w:rsidRPr="00233C2F" w:rsidRDefault="00B020FA" w:rsidP="00B020FA">
      <w:pPr>
        <w:jc w:val="both"/>
      </w:pPr>
    </w:p>
    <w:p w14:paraId="4A6AF83C" w14:textId="77777777" w:rsidR="00B020FA" w:rsidRPr="00233C2F" w:rsidRDefault="00B020FA" w:rsidP="00B020FA">
      <w:pPr>
        <w:jc w:val="both"/>
      </w:pPr>
    </w:p>
    <w:p w14:paraId="1DFC3E6F" w14:textId="77777777" w:rsidR="00B020FA" w:rsidRPr="00233C2F" w:rsidRDefault="00B020FA" w:rsidP="00B020FA">
      <w:pPr>
        <w:jc w:val="both"/>
      </w:pPr>
    </w:p>
    <w:p w14:paraId="589CDE1D" w14:textId="77777777" w:rsidR="00B020FA" w:rsidRPr="00233C2F" w:rsidRDefault="00B020FA" w:rsidP="00B020FA">
      <w:pPr>
        <w:jc w:val="both"/>
      </w:pPr>
    </w:p>
    <w:p w14:paraId="05F008DB" w14:textId="77777777" w:rsidR="00B020FA" w:rsidRPr="00233C2F" w:rsidRDefault="00B020FA" w:rsidP="00B020FA">
      <w:pPr>
        <w:jc w:val="both"/>
      </w:pPr>
    </w:p>
    <w:p w14:paraId="15A7ED71" w14:textId="77777777" w:rsidR="00B020FA" w:rsidRPr="00233C2F" w:rsidRDefault="00B020FA" w:rsidP="00B020FA">
      <w:pPr>
        <w:jc w:val="both"/>
      </w:pPr>
    </w:p>
    <w:p w14:paraId="2A77E80F" w14:textId="77777777" w:rsidR="00B020FA" w:rsidRPr="00233C2F" w:rsidRDefault="00B020FA" w:rsidP="00B020FA">
      <w:pPr>
        <w:jc w:val="both"/>
      </w:pPr>
    </w:p>
    <w:p w14:paraId="21C2FC0F" w14:textId="77777777" w:rsidR="00B020FA" w:rsidRPr="00233C2F" w:rsidRDefault="00B020FA" w:rsidP="00B020FA">
      <w:pPr>
        <w:jc w:val="both"/>
      </w:pPr>
    </w:p>
    <w:p w14:paraId="25966EC4" w14:textId="77777777" w:rsidR="00B020FA" w:rsidRPr="00233C2F" w:rsidRDefault="00B020FA" w:rsidP="00B020FA">
      <w:pPr>
        <w:jc w:val="both"/>
      </w:pPr>
    </w:p>
    <w:p w14:paraId="5FE8E4CA" w14:textId="77777777" w:rsidR="00B020FA" w:rsidRPr="00233C2F" w:rsidRDefault="00B020FA" w:rsidP="00B020FA">
      <w:pPr>
        <w:jc w:val="both"/>
      </w:pPr>
    </w:p>
    <w:p w14:paraId="3E7C75DB" w14:textId="77777777" w:rsidR="00B020FA" w:rsidRPr="00233C2F" w:rsidRDefault="00B020FA" w:rsidP="00B020FA">
      <w:pPr>
        <w:jc w:val="both"/>
      </w:pPr>
    </w:p>
    <w:p w14:paraId="0030CB17" w14:textId="77777777" w:rsidR="00B020FA" w:rsidRPr="00233C2F" w:rsidRDefault="00B020FA" w:rsidP="00B020FA">
      <w:pPr>
        <w:jc w:val="both"/>
      </w:pPr>
    </w:p>
    <w:p w14:paraId="788DFBD7" w14:textId="77777777" w:rsidR="00B020FA" w:rsidRPr="00233C2F" w:rsidRDefault="00B020FA" w:rsidP="00B020FA">
      <w:pPr>
        <w:jc w:val="both"/>
      </w:pPr>
    </w:p>
    <w:p w14:paraId="6E296442" w14:textId="77777777" w:rsidR="00B020FA" w:rsidRPr="00233C2F" w:rsidRDefault="00B020FA" w:rsidP="00B020FA">
      <w:pPr>
        <w:jc w:val="both"/>
      </w:pPr>
    </w:p>
    <w:p w14:paraId="7C99879E" w14:textId="77777777" w:rsidR="00B020FA" w:rsidRPr="00233C2F" w:rsidRDefault="00B020FA" w:rsidP="00B020FA">
      <w:pPr>
        <w:jc w:val="both"/>
      </w:pPr>
    </w:p>
    <w:p w14:paraId="4D5834C4" w14:textId="77777777" w:rsidR="00B020FA" w:rsidRPr="00233C2F" w:rsidRDefault="00B020FA" w:rsidP="00B020FA">
      <w:pPr>
        <w:jc w:val="both"/>
      </w:pPr>
    </w:p>
    <w:p w14:paraId="63BF1250" w14:textId="77777777" w:rsidR="00B020FA" w:rsidRPr="00233C2F" w:rsidRDefault="00B020FA" w:rsidP="00B020FA">
      <w:pPr>
        <w:jc w:val="both"/>
      </w:pPr>
    </w:p>
    <w:p w14:paraId="72A72B52" w14:textId="77777777" w:rsidR="00B020FA" w:rsidRPr="00233C2F" w:rsidRDefault="00B020FA" w:rsidP="00B020FA">
      <w:pPr>
        <w:jc w:val="both"/>
      </w:pPr>
    </w:p>
    <w:p w14:paraId="3604EEF4" w14:textId="77777777" w:rsidR="00B020FA" w:rsidRPr="00233C2F" w:rsidRDefault="00B020FA" w:rsidP="00B020FA">
      <w:pPr>
        <w:jc w:val="both"/>
      </w:pPr>
    </w:p>
    <w:p w14:paraId="2C48246E" w14:textId="77777777" w:rsidR="00B020FA" w:rsidRPr="00B020FA" w:rsidRDefault="00B020FA" w:rsidP="00B020FA">
      <w:pPr>
        <w:jc w:val="both"/>
      </w:pPr>
      <w:r w:rsidRPr="00B020FA">
        <w:rPr>
          <w:b/>
          <w:bCs/>
        </w:rPr>
        <w:lastRenderedPageBreak/>
        <w:t>Κλινική Προσέγγιση Νοσημάτων Νευρικού των Ενήλικων Προβάτων</w:t>
      </w:r>
    </w:p>
    <w:p w14:paraId="66AA6A06" w14:textId="77777777" w:rsidR="00B020FA" w:rsidRPr="00B020FA" w:rsidRDefault="00B020FA" w:rsidP="00B020FA">
      <w:pPr>
        <w:jc w:val="both"/>
      </w:pPr>
      <w:r w:rsidRPr="00B020FA">
        <w:t>Νικολαΐδου Σοφία</w:t>
      </w:r>
      <w:r w:rsidRPr="00B020FA">
        <w:rPr>
          <w:vertAlign w:val="superscript"/>
        </w:rPr>
        <w:t>1</w:t>
      </w:r>
      <w:r w:rsidRPr="00B020FA">
        <w:t>, Χατζηαντώνη Χ. Ελένη</w:t>
      </w:r>
      <w:r w:rsidRPr="00B020FA">
        <w:rPr>
          <w:vertAlign w:val="superscript"/>
        </w:rPr>
        <w:t>1</w:t>
      </w:r>
      <w:r w:rsidRPr="00B020FA">
        <w:t>, Κατσούλος Παναγιώτης Δημητρίος</w:t>
      </w:r>
      <w:r w:rsidRPr="00B020FA">
        <w:rPr>
          <w:vertAlign w:val="superscript"/>
        </w:rPr>
        <w:t>2</w:t>
      </w:r>
    </w:p>
    <w:p w14:paraId="32B24EC2" w14:textId="77777777" w:rsidR="00B020FA" w:rsidRPr="00B020FA" w:rsidRDefault="00B020FA">
      <w:pPr>
        <w:numPr>
          <w:ilvl w:val="0"/>
          <w:numId w:val="51"/>
        </w:numPr>
        <w:jc w:val="both"/>
      </w:pPr>
      <w:r w:rsidRPr="00B020FA">
        <w:t>Προπτυχιακή φοιτήτρια, Τμήμα Κτηνιατρικής, Σχολή Επιστημών Υγείας, Αριστοτέλειο Πανεπιστήμιο Θεσσαλονίκης</w:t>
      </w:r>
    </w:p>
    <w:p w14:paraId="7D843580" w14:textId="77777777" w:rsidR="00B020FA" w:rsidRPr="00B020FA" w:rsidRDefault="00B020FA">
      <w:pPr>
        <w:numPr>
          <w:ilvl w:val="0"/>
          <w:numId w:val="51"/>
        </w:numPr>
        <w:jc w:val="both"/>
      </w:pPr>
      <w:r w:rsidRPr="00B020FA">
        <w:t>Αναπληρωτής Καθηγητής, Κλινική Παραγωγικών Ζώων, Τμήμα Κτηνιατρικής, Σχολή Επιστημών Υγείας, Αριστοτέλειο Πανεπιστήμιο Θεσσαλονίκης</w:t>
      </w:r>
    </w:p>
    <w:p w14:paraId="54056536" w14:textId="77777777" w:rsidR="00B020FA" w:rsidRPr="00B020FA" w:rsidRDefault="00B020FA" w:rsidP="00B020FA">
      <w:pPr>
        <w:jc w:val="both"/>
      </w:pPr>
    </w:p>
    <w:p w14:paraId="6E08B03E" w14:textId="77777777" w:rsidR="00B020FA" w:rsidRPr="00B020FA" w:rsidRDefault="00B020FA" w:rsidP="00B020FA">
      <w:pPr>
        <w:jc w:val="both"/>
      </w:pPr>
      <w:r w:rsidRPr="00B020FA">
        <w:rPr>
          <w:b/>
          <w:bCs/>
        </w:rPr>
        <w:t>Περίληψη</w:t>
      </w:r>
    </w:p>
    <w:p w14:paraId="5E5E1C61" w14:textId="77777777" w:rsidR="00B020FA" w:rsidRPr="00B020FA" w:rsidRDefault="00B020FA" w:rsidP="00B020FA">
      <w:pPr>
        <w:jc w:val="both"/>
      </w:pPr>
      <w:r w:rsidRPr="00B020FA">
        <w:t>Τα νοσήματα του νευρικού συστήματος εμφανίζουν μικρό επιπολασμό στους πληθυσμούς των ενήλικων προβάτων. Ωστόσο, η κλινική διάγνωσή τους παραμένει ένα ιδιαίτερα απαιτητικό πεδίο, το οποίο προϋποθέτει την εφαρμογή μιας δομημένης κλινικής προσέγγισης. Σκοπός της παρούσας εργασίας είναι η παρουσίαση ενός ολοκληρωμένου κλινικού αλγορίθμου για τη συστηματική προσέγγιση, τη διαφορική διάγνωση και, όπου είναι δυνατόν, την τελική διάγνωση αυτών των παθήσεων. Ιδιαίτερη έμφαση δίνεται στη μεθοδολογία λήψης εκτενούς ιστορικού και στη διενέργεια ολοκληρωμένης νευρολογικής εξέτασης, στοιχεία που κρίνονται απαραίτητα για τον δραστικό περιορισμό των πιθανών αιτίων. Παράλληλα, αναλύονται οι διαθέσιμες διαγνωστικές μέθοδοι και οι θεραπευτικές επιλογές που εφαρμόζονται στην κλινική πράξη. Η παρουσίαση ολοκληρώνεται με τη διαδραστική ανάλυση κλινικού περιστατικού, δίνοντας την ευκαιρία στο κοινό να δει πώς εφαρμόζεται η προτεινόμενη διαγνωστική μεθοδολογία σε πραγματικές συνθήκες.</w:t>
      </w:r>
    </w:p>
    <w:p w14:paraId="5B7397C5" w14:textId="77777777" w:rsidR="00B020FA" w:rsidRPr="00B020FA" w:rsidRDefault="00B020FA" w:rsidP="00B020FA">
      <w:pPr>
        <w:jc w:val="both"/>
      </w:pPr>
      <w:r w:rsidRPr="00B020FA">
        <w:rPr>
          <w:u w:val="single"/>
        </w:rPr>
        <w:t>Λέξεις κλειδιά:</w:t>
      </w:r>
      <w:r w:rsidRPr="00B020FA">
        <w:t xml:space="preserve"> Ενήλικα πρόβατα, Νευρολογική εξέταση, Κλινικός αλγόριθμος, Διαφορική διάγνωση, Κλινικό περιστατικό, Συστηματική προσέγγιση</w:t>
      </w:r>
    </w:p>
    <w:p w14:paraId="7C9234EF" w14:textId="77777777" w:rsidR="00B020FA" w:rsidRPr="00B020FA" w:rsidRDefault="00B020FA" w:rsidP="00B020FA">
      <w:pPr>
        <w:jc w:val="both"/>
      </w:pPr>
    </w:p>
    <w:p w14:paraId="1005A2E6" w14:textId="77777777" w:rsidR="00B020FA" w:rsidRPr="00B020FA" w:rsidRDefault="00B020FA" w:rsidP="00B020FA">
      <w:pPr>
        <w:jc w:val="both"/>
      </w:pPr>
      <w:r w:rsidRPr="00B020FA">
        <w:rPr>
          <w:b/>
          <w:bCs/>
        </w:rPr>
        <w:t>Βιβλιογραφία</w:t>
      </w:r>
    </w:p>
    <w:p w14:paraId="4346FE96" w14:textId="77777777" w:rsidR="00B020FA" w:rsidRPr="00B020FA" w:rsidRDefault="00B020FA" w:rsidP="00B020FA">
      <w:pPr>
        <w:jc w:val="both"/>
      </w:pPr>
      <w:r w:rsidRPr="00B020FA">
        <w:t xml:space="preserve">Abbott, K. A. (2024). </w:t>
      </w:r>
      <w:r w:rsidRPr="00B020FA">
        <w:rPr>
          <w:i/>
          <w:iCs/>
        </w:rPr>
        <w:t>Diseases with signs of neurological disturbance. In Sheep veterinary practice.</w:t>
      </w:r>
      <w:r w:rsidRPr="00B020FA">
        <w:t xml:space="preserve"> CRC Press.</w:t>
      </w:r>
    </w:p>
    <w:p w14:paraId="15A1A0B4" w14:textId="77777777" w:rsidR="00B020FA" w:rsidRPr="00B020FA" w:rsidRDefault="00B020FA" w:rsidP="00B020FA">
      <w:pPr>
        <w:jc w:val="both"/>
      </w:pPr>
      <w:r w:rsidRPr="00B020FA">
        <w:t xml:space="preserve">Baltrusch, S. (2021). </w:t>
      </w:r>
      <w:r w:rsidRPr="00B020FA">
        <w:rPr>
          <w:i/>
          <w:iCs/>
        </w:rPr>
        <w:t>The role of neurotropic B vitamins in nerve regeneration.</w:t>
      </w:r>
      <w:r w:rsidRPr="00B020FA">
        <w:t xml:space="preserve"> </w:t>
      </w:r>
      <w:r w:rsidRPr="00B020FA">
        <w:rPr>
          <w:i/>
          <w:iCs/>
        </w:rPr>
        <w:t>BioMed Research International, 2021</w:t>
      </w:r>
      <w:r w:rsidRPr="00B020FA">
        <w:t>, 9968228.</w:t>
      </w:r>
    </w:p>
    <w:p w14:paraId="749ED58E" w14:textId="77777777" w:rsidR="00B020FA" w:rsidRPr="00B020FA" w:rsidRDefault="00B020FA" w:rsidP="00B020FA">
      <w:pPr>
        <w:jc w:val="both"/>
      </w:pPr>
      <w:r w:rsidRPr="00B020FA">
        <w:t xml:space="preserve">Boileau, M. J., &amp; Gilliam, J. N. (2017). </w:t>
      </w:r>
      <w:r w:rsidRPr="00B020FA">
        <w:rPr>
          <w:i/>
          <w:iCs/>
        </w:rPr>
        <w:t>Brainstem and cranial nerve disorders of ruminants.</w:t>
      </w:r>
      <w:r w:rsidRPr="00B020FA">
        <w:t xml:space="preserve"> </w:t>
      </w:r>
      <w:r w:rsidRPr="00B020FA">
        <w:rPr>
          <w:i/>
          <w:iCs/>
        </w:rPr>
        <w:t>Veterinary Clinics of North America: Food Animal Practice, 33</w:t>
      </w:r>
      <w:r w:rsidRPr="00B020FA">
        <w:t>(1), 67–99. </w:t>
      </w:r>
    </w:p>
    <w:p w14:paraId="0C73A352" w14:textId="77777777" w:rsidR="00B020FA" w:rsidRPr="00B020FA" w:rsidRDefault="00B020FA" w:rsidP="00B020FA">
      <w:pPr>
        <w:jc w:val="both"/>
      </w:pPr>
      <w:r w:rsidRPr="00B020FA">
        <w:t xml:space="preserve">Giles, L., Orr, J., Viora, L., Gutierrez-Quintana, R., Logue, D., &amp; Guevar, J. (2017). </w:t>
      </w:r>
      <w:r w:rsidRPr="00B020FA">
        <w:rPr>
          <w:i/>
          <w:iCs/>
        </w:rPr>
        <w:t>Ruminant neurological disease: A retrospective cohort study.</w:t>
      </w:r>
      <w:r w:rsidRPr="00B020FA">
        <w:t xml:space="preserve"> </w:t>
      </w:r>
      <w:r w:rsidRPr="00B020FA">
        <w:rPr>
          <w:i/>
          <w:iCs/>
        </w:rPr>
        <w:t>Veterinary Record, 181</w:t>
      </w:r>
      <w:r w:rsidRPr="00B020FA">
        <w:t>(14), 372–373.</w:t>
      </w:r>
    </w:p>
    <w:p w14:paraId="4B4D48A5" w14:textId="77777777" w:rsidR="00B020FA" w:rsidRPr="00B020FA" w:rsidRDefault="00B020FA" w:rsidP="00B020FA">
      <w:pPr>
        <w:jc w:val="both"/>
      </w:pPr>
      <w:r w:rsidRPr="00B020FA">
        <w:t xml:space="preserve">Jeffrey, M., &amp; González, L. (2007). </w:t>
      </w:r>
      <w:r w:rsidRPr="00B020FA">
        <w:rPr>
          <w:i/>
          <w:iCs/>
        </w:rPr>
        <w:t>Scrapie.</w:t>
      </w:r>
      <w:r w:rsidRPr="00B020FA">
        <w:t xml:space="preserve"> In I. D. Aitken (Ed.), </w:t>
      </w:r>
      <w:r w:rsidRPr="00B020FA">
        <w:rPr>
          <w:i/>
          <w:iCs/>
        </w:rPr>
        <w:t>Diseases of sheep</w:t>
      </w:r>
      <w:r w:rsidRPr="00B020FA">
        <w:t xml:space="preserve"> (4th ed., pp. 241–249). Wiley-Blackwell. </w:t>
      </w:r>
    </w:p>
    <w:p w14:paraId="6EE8C332" w14:textId="77777777" w:rsidR="00B020FA" w:rsidRPr="00B020FA" w:rsidRDefault="00B020FA" w:rsidP="00B020FA">
      <w:pPr>
        <w:jc w:val="both"/>
      </w:pPr>
      <w:r w:rsidRPr="00B020FA">
        <w:rPr>
          <w:i/>
          <w:iCs/>
        </w:rPr>
        <w:t>Listeriosis</w:t>
      </w:r>
      <w:r w:rsidRPr="00B020FA">
        <w:t xml:space="preserve">. (n.d.). </w:t>
      </w:r>
      <w:r w:rsidRPr="00B020FA">
        <w:rPr>
          <w:i/>
          <w:iCs/>
        </w:rPr>
        <w:t>Flock &amp; Herd</w:t>
      </w:r>
      <w:r w:rsidRPr="00B020FA">
        <w:t>.</w:t>
      </w:r>
      <w:hyperlink r:id="rId72" w:history="1">
        <w:r w:rsidRPr="00B020FA">
          <w:rPr>
            <w:rStyle w:val="-"/>
          </w:rPr>
          <w:t> </w:t>
        </w:r>
      </w:hyperlink>
    </w:p>
    <w:p w14:paraId="72954C86" w14:textId="77777777" w:rsidR="00B020FA" w:rsidRPr="00B020FA" w:rsidRDefault="00B020FA" w:rsidP="00B020FA">
      <w:pPr>
        <w:jc w:val="both"/>
      </w:pPr>
      <w:r w:rsidRPr="00B020FA">
        <w:rPr>
          <w:i/>
          <w:iCs/>
        </w:rPr>
        <w:t>Listeriosis</w:t>
      </w:r>
      <w:r w:rsidRPr="00B020FA">
        <w:t xml:space="preserve">. (n.d.). </w:t>
      </w:r>
      <w:r w:rsidRPr="00B020FA">
        <w:rPr>
          <w:i/>
          <w:iCs/>
        </w:rPr>
        <w:t>The Royal (Dick) School of Veterinary Studies, University of Edinburgh</w:t>
      </w:r>
      <w:r w:rsidRPr="00B020FA">
        <w:t>.</w:t>
      </w:r>
      <w:hyperlink r:id="rId73" w:history="1">
        <w:r w:rsidRPr="00B020FA">
          <w:rPr>
            <w:rStyle w:val="-"/>
          </w:rPr>
          <w:t> </w:t>
        </w:r>
      </w:hyperlink>
    </w:p>
    <w:p w14:paraId="64A59827" w14:textId="77777777" w:rsidR="00B020FA" w:rsidRPr="00B020FA" w:rsidRDefault="00B020FA" w:rsidP="00B020FA">
      <w:pPr>
        <w:jc w:val="both"/>
      </w:pPr>
      <w:r w:rsidRPr="00B020FA">
        <w:rPr>
          <w:i/>
          <w:iCs/>
        </w:rPr>
        <w:t>Polioencephalomalacia in ruminants.</w:t>
      </w:r>
      <w:r w:rsidRPr="00B020FA">
        <w:t xml:space="preserve"> (n.d.). In </w:t>
      </w:r>
      <w:r w:rsidRPr="00B020FA">
        <w:rPr>
          <w:i/>
          <w:iCs/>
        </w:rPr>
        <w:t>Merck Veterinary Manual</w:t>
      </w:r>
      <w:r w:rsidRPr="00B020FA">
        <w:t>.</w:t>
      </w:r>
    </w:p>
    <w:p w14:paraId="3FCB0A87" w14:textId="77777777" w:rsidR="00B020FA" w:rsidRPr="00B020FA" w:rsidRDefault="00B020FA" w:rsidP="00B020FA">
      <w:pPr>
        <w:jc w:val="both"/>
      </w:pPr>
      <w:r w:rsidRPr="00B020FA">
        <w:lastRenderedPageBreak/>
        <w:t xml:space="preserve">Polizopoulou, S. Z., Giadinis, D. N., Papahristou, A., &amp; Papaioannou, N. (2016). </w:t>
      </w:r>
      <w:r w:rsidRPr="00B020FA">
        <w:rPr>
          <w:i/>
          <w:iCs/>
        </w:rPr>
        <w:t>Neurological diseases of small ruminants in Greece: A retrospective study in 114 flocks.</w:t>
      </w:r>
      <w:r w:rsidRPr="00B020FA">
        <w:t xml:space="preserve"> </w:t>
      </w:r>
      <w:r w:rsidRPr="00B020FA">
        <w:rPr>
          <w:i/>
          <w:iCs/>
        </w:rPr>
        <w:t>Acta Veterinaria, 66</w:t>
      </w:r>
      <w:r w:rsidRPr="00B020FA">
        <w:t>(2), 160–171. </w:t>
      </w:r>
    </w:p>
    <w:p w14:paraId="6B5FA845" w14:textId="77777777" w:rsidR="00B020FA" w:rsidRPr="00B020FA" w:rsidRDefault="00B020FA" w:rsidP="00B020FA">
      <w:pPr>
        <w:jc w:val="both"/>
      </w:pPr>
      <w:r w:rsidRPr="00B020FA">
        <w:t xml:space="preserve">Scott, P. R. (2007). </w:t>
      </w:r>
      <w:r w:rsidRPr="00B020FA">
        <w:rPr>
          <w:i/>
          <w:iCs/>
        </w:rPr>
        <w:t>Listeriosis</w:t>
      </w:r>
      <w:r w:rsidRPr="00B020FA">
        <w:t xml:space="preserve">. In I. D. Aitken (Ed.), </w:t>
      </w:r>
      <w:r w:rsidRPr="00B020FA">
        <w:rPr>
          <w:i/>
          <w:iCs/>
        </w:rPr>
        <w:t>Diseases of sheep</w:t>
      </w:r>
      <w:r w:rsidRPr="00B020FA">
        <w:t xml:space="preserve"> (4th ed., pp. 255–258). Wiley-Blackwell. </w:t>
      </w:r>
    </w:p>
    <w:p w14:paraId="4FC746FE" w14:textId="77777777" w:rsidR="00B020FA" w:rsidRPr="00B020FA" w:rsidRDefault="00B020FA" w:rsidP="00B020FA">
      <w:pPr>
        <w:jc w:val="both"/>
      </w:pPr>
      <w:r w:rsidRPr="00B020FA">
        <w:t xml:space="preserve">Scott, P. R. (2007). </w:t>
      </w:r>
      <w:r w:rsidRPr="00B020FA">
        <w:rPr>
          <w:i/>
          <w:iCs/>
        </w:rPr>
        <w:t>Other nervous diseases.</w:t>
      </w:r>
      <w:r w:rsidRPr="00B020FA">
        <w:t xml:space="preserve"> In I. D. Aitken (Ed.), </w:t>
      </w:r>
      <w:r w:rsidRPr="00B020FA">
        <w:rPr>
          <w:i/>
          <w:iCs/>
        </w:rPr>
        <w:t>Diseases of sheep</w:t>
      </w:r>
      <w:r w:rsidRPr="00B020FA">
        <w:t xml:space="preserve"> (4th ed., pp. 259–272). Wiley-Blackwell. </w:t>
      </w:r>
    </w:p>
    <w:p w14:paraId="2AFB55B7" w14:textId="77777777" w:rsidR="00B020FA" w:rsidRPr="00B020FA" w:rsidRDefault="00B020FA" w:rsidP="00B020FA">
      <w:pPr>
        <w:jc w:val="both"/>
      </w:pPr>
      <w:r w:rsidRPr="00B020FA">
        <w:t xml:space="preserve">Scott, P. R. (2011). </w:t>
      </w:r>
      <w:r w:rsidRPr="00B020FA">
        <w:rPr>
          <w:i/>
          <w:iCs/>
        </w:rPr>
        <w:t>Sheep medicine</w:t>
      </w:r>
      <w:r w:rsidRPr="00B020FA">
        <w:t xml:space="preserve"> (2nd ed.) (chapter 8, pp. 187-229). CRC Press.</w:t>
      </w:r>
    </w:p>
    <w:p w14:paraId="07142659" w14:textId="77777777" w:rsidR="00B020FA" w:rsidRPr="00B020FA" w:rsidRDefault="00B020FA" w:rsidP="00B020FA">
      <w:pPr>
        <w:jc w:val="both"/>
      </w:pPr>
      <w:r w:rsidRPr="00B020FA">
        <w:t xml:space="preserve">Wagner, M., Melzner, D., Bagó, Z., Winter, P., Egerbacher, M., Schilcher, F., Zangana, A., &amp; Schoder, D. (2005). </w:t>
      </w:r>
      <w:r w:rsidRPr="00B020FA">
        <w:rPr>
          <w:i/>
          <w:iCs/>
        </w:rPr>
        <w:t>Outbreak of clinical listeriosis in sheep: Evaluation of possible contamination routes from feed to raw produce and humans.</w:t>
      </w:r>
      <w:r w:rsidRPr="00B020FA">
        <w:t xml:space="preserve"> </w:t>
      </w:r>
      <w:r w:rsidRPr="00B020FA">
        <w:rPr>
          <w:i/>
          <w:iCs/>
        </w:rPr>
        <w:t>Journal of Veterinary Medicine Series B, 52</w:t>
      </w:r>
      <w:r w:rsidRPr="00B020FA">
        <w:t>(6), 278–283. </w:t>
      </w:r>
    </w:p>
    <w:p w14:paraId="2B0FE825" w14:textId="77777777" w:rsidR="00B020FA" w:rsidRDefault="00B020FA" w:rsidP="00B020FA">
      <w:pPr>
        <w:jc w:val="both"/>
      </w:pPr>
    </w:p>
    <w:p w14:paraId="7132C28D" w14:textId="77777777" w:rsidR="00B020FA" w:rsidRDefault="00B020FA" w:rsidP="00B020FA">
      <w:pPr>
        <w:jc w:val="both"/>
      </w:pPr>
    </w:p>
    <w:p w14:paraId="1E6F4281" w14:textId="77777777" w:rsidR="00B020FA" w:rsidRDefault="00B020FA" w:rsidP="00B020FA">
      <w:pPr>
        <w:jc w:val="both"/>
      </w:pPr>
    </w:p>
    <w:p w14:paraId="7F8B638E" w14:textId="77777777" w:rsidR="00B020FA" w:rsidRDefault="00B020FA" w:rsidP="00B020FA">
      <w:pPr>
        <w:jc w:val="both"/>
      </w:pPr>
    </w:p>
    <w:p w14:paraId="78402B3A" w14:textId="77777777" w:rsidR="00B020FA" w:rsidRDefault="00B020FA" w:rsidP="00B020FA">
      <w:pPr>
        <w:jc w:val="both"/>
      </w:pPr>
    </w:p>
    <w:p w14:paraId="0609A5AA" w14:textId="77777777" w:rsidR="00B020FA" w:rsidRDefault="00B020FA" w:rsidP="00B020FA">
      <w:pPr>
        <w:jc w:val="both"/>
      </w:pPr>
    </w:p>
    <w:p w14:paraId="1B7E4488" w14:textId="77777777" w:rsidR="00B020FA" w:rsidRDefault="00B020FA" w:rsidP="00B020FA">
      <w:pPr>
        <w:jc w:val="both"/>
      </w:pPr>
    </w:p>
    <w:p w14:paraId="6906BD55" w14:textId="77777777" w:rsidR="00B020FA" w:rsidRDefault="00B020FA" w:rsidP="00B020FA">
      <w:pPr>
        <w:jc w:val="both"/>
      </w:pPr>
    </w:p>
    <w:p w14:paraId="36093F4C" w14:textId="77777777" w:rsidR="00B020FA" w:rsidRDefault="00B020FA" w:rsidP="00B020FA">
      <w:pPr>
        <w:jc w:val="both"/>
      </w:pPr>
    </w:p>
    <w:p w14:paraId="4B55A941" w14:textId="77777777" w:rsidR="00B020FA" w:rsidRDefault="00B020FA" w:rsidP="00B020FA">
      <w:pPr>
        <w:jc w:val="both"/>
      </w:pPr>
    </w:p>
    <w:p w14:paraId="483F5A40" w14:textId="77777777" w:rsidR="00B020FA" w:rsidRDefault="00B020FA" w:rsidP="00B020FA">
      <w:pPr>
        <w:jc w:val="both"/>
      </w:pPr>
    </w:p>
    <w:p w14:paraId="6E4C4295" w14:textId="77777777" w:rsidR="00B020FA" w:rsidRDefault="00B020FA" w:rsidP="00B020FA">
      <w:pPr>
        <w:jc w:val="both"/>
      </w:pPr>
    </w:p>
    <w:p w14:paraId="58321985" w14:textId="77777777" w:rsidR="00B020FA" w:rsidRDefault="00B020FA" w:rsidP="00B020FA">
      <w:pPr>
        <w:jc w:val="both"/>
      </w:pPr>
    </w:p>
    <w:p w14:paraId="3A306E45" w14:textId="77777777" w:rsidR="00B020FA" w:rsidRDefault="00B020FA" w:rsidP="00B020FA">
      <w:pPr>
        <w:jc w:val="both"/>
      </w:pPr>
    </w:p>
    <w:p w14:paraId="6315D0B3" w14:textId="77777777" w:rsidR="00B020FA" w:rsidRDefault="00B020FA" w:rsidP="00B020FA">
      <w:pPr>
        <w:jc w:val="both"/>
      </w:pPr>
    </w:p>
    <w:p w14:paraId="73B5D7F9" w14:textId="77777777" w:rsidR="00B020FA" w:rsidRDefault="00B020FA" w:rsidP="00B020FA">
      <w:pPr>
        <w:jc w:val="both"/>
      </w:pPr>
    </w:p>
    <w:p w14:paraId="7352EC3B" w14:textId="77777777" w:rsidR="00B020FA" w:rsidRDefault="00B020FA" w:rsidP="00B020FA">
      <w:pPr>
        <w:jc w:val="both"/>
      </w:pPr>
    </w:p>
    <w:p w14:paraId="054AA8F0" w14:textId="77777777" w:rsidR="00B020FA" w:rsidRDefault="00B020FA" w:rsidP="00B020FA">
      <w:pPr>
        <w:jc w:val="both"/>
      </w:pPr>
    </w:p>
    <w:p w14:paraId="53488ED5" w14:textId="77777777" w:rsidR="00B020FA" w:rsidRDefault="00B020FA" w:rsidP="00B020FA">
      <w:pPr>
        <w:jc w:val="both"/>
      </w:pPr>
    </w:p>
    <w:p w14:paraId="09528344" w14:textId="77777777" w:rsidR="00B020FA" w:rsidRDefault="00B020FA" w:rsidP="00B020FA">
      <w:pPr>
        <w:jc w:val="both"/>
      </w:pPr>
    </w:p>
    <w:p w14:paraId="5174889D" w14:textId="77777777" w:rsidR="00B020FA" w:rsidRDefault="00B020FA" w:rsidP="00B020FA">
      <w:pPr>
        <w:jc w:val="both"/>
      </w:pPr>
    </w:p>
    <w:p w14:paraId="566BBE6E" w14:textId="77777777" w:rsidR="00B020FA" w:rsidRPr="00B020FA" w:rsidRDefault="00B020FA" w:rsidP="00B020FA">
      <w:pPr>
        <w:jc w:val="both"/>
      </w:pPr>
    </w:p>
    <w:p w14:paraId="4DFFFD91" w14:textId="76E81DCC" w:rsidR="00B020FA" w:rsidRPr="00B020FA" w:rsidRDefault="00B020FA" w:rsidP="00B020FA">
      <w:pPr>
        <w:jc w:val="both"/>
      </w:pPr>
      <w:r w:rsidRPr="00B020FA">
        <w:rPr>
          <w:b/>
          <w:bCs/>
        </w:rPr>
        <w:lastRenderedPageBreak/>
        <w:t>Υποκλινικές Εντεροπάθειες στα Κρεοπαραγωγά Όρνιθια</w:t>
      </w:r>
    </w:p>
    <w:p w14:paraId="166F2E23" w14:textId="2F0388A6" w:rsidR="00B020FA" w:rsidRPr="00233C2F" w:rsidRDefault="00B020FA" w:rsidP="00B020FA">
      <w:pPr>
        <w:jc w:val="both"/>
      </w:pPr>
      <w:r w:rsidRPr="00B020FA">
        <w:t>Κατής Στέφανος Ιωάννης¹, Μάντζιος Τηλέμαχος² ,Τσιούρης Βασίλειος³</w:t>
      </w:r>
    </w:p>
    <w:p w14:paraId="4249BD52" w14:textId="77777777" w:rsidR="00B020FA" w:rsidRPr="00B020FA" w:rsidRDefault="00B020FA">
      <w:pPr>
        <w:numPr>
          <w:ilvl w:val="0"/>
          <w:numId w:val="52"/>
        </w:numPr>
        <w:jc w:val="both"/>
      </w:pPr>
      <w:r w:rsidRPr="00B020FA">
        <w:t>Προπτυχιακός φοιτητής , Τμήμα Κτηνιατρικής , Σχολή Επιστημών Υγείας, Αριστοτέλειο Πανεπιστήμιο Θεσσαλονίκης</w:t>
      </w:r>
    </w:p>
    <w:p w14:paraId="21F0CD01" w14:textId="77777777" w:rsidR="00B020FA" w:rsidRPr="00B020FA" w:rsidRDefault="00B020FA">
      <w:pPr>
        <w:numPr>
          <w:ilvl w:val="0"/>
          <w:numId w:val="52"/>
        </w:numPr>
        <w:jc w:val="both"/>
      </w:pPr>
      <w:r w:rsidRPr="00B020FA">
        <w:t>Κτηνίατρος DVM, MSc, PhD, ECPVS Resident, Μονάδα Παθολογίας Πτηνών , Κλινική Παραγωγικών Ζώων , Τμήμα Κτηνιατρικής , Σχολή Επιστημών Υγείας, Αριστοτέλειο Πανεπιστήμιο Θεσσαλονίκης.</w:t>
      </w:r>
    </w:p>
    <w:p w14:paraId="2DF56D84" w14:textId="77777777" w:rsidR="00B020FA" w:rsidRPr="00B020FA" w:rsidRDefault="00B020FA">
      <w:pPr>
        <w:numPr>
          <w:ilvl w:val="0"/>
          <w:numId w:val="52"/>
        </w:numPr>
        <w:jc w:val="both"/>
      </w:pPr>
      <w:r w:rsidRPr="00B020FA">
        <w:t>Καθηγητής DVM, MSc., PhD, DECPVS, Μονάδα Παθολογίας Πτηνών , Κλινική Παραγωγικών Ζώων, Τμήμα Κτηνιατρικής, Σχολή Επιστημών Υγείας, Αριστοτέλειο Πανεπιστήμιο Θεσσαλονίκης</w:t>
      </w:r>
    </w:p>
    <w:p w14:paraId="3B7725BD" w14:textId="77777777" w:rsidR="00B020FA" w:rsidRPr="00B020FA" w:rsidRDefault="00B020FA" w:rsidP="00B020FA">
      <w:pPr>
        <w:jc w:val="both"/>
      </w:pPr>
    </w:p>
    <w:p w14:paraId="64EF93C2" w14:textId="77777777" w:rsidR="00B020FA" w:rsidRPr="00B020FA" w:rsidRDefault="00B020FA" w:rsidP="00B020FA">
      <w:pPr>
        <w:jc w:val="both"/>
      </w:pPr>
      <w:r w:rsidRPr="00B020FA">
        <w:rPr>
          <w:b/>
          <w:bCs/>
        </w:rPr>
        <w:t>Περίληψη</w:t>
      </w:r>
    </w:p>
    <w:p w14:paraId="560459FC" w14:textId="77777777" w:rsidR="00B020FA" w:rsidRPr="00B020FA" w:rsidRDefault="00B020FA" w:rsidP="00B020FA">
      <w:pPr>
        <w:jc w:val="both"/>
      </w:pPr>
      <w:r w:rsidRPr="00B020FA">
        <w:t>Οι υποκλινικές εντεροπάθειες στα κρεοπαραγωγά όρνιθια αποτελούν σημαντικό αλλά συχνά υποεκτιμημένο περιοριστικό παράγοντα της παραγωγικότητας στη σύγχρονη εντατική πτηνοτροφία. Παρά την απουσία εμφανών κλινικών συμπτωμάτων, διαταραχές του εντερικού μικροβιώματος και της ακεραιότητας του εντερικού φραγμού οδηγούν σε φλεγμονώδεις διεργασίες, αυξημένη διαπερατότητα και μεταβολικές επιβαρύνσεις. Υποκλινικές λοιμώξεις, όπως η κοκκιδίωση και η κλοστριδίωση, προκαλούν μικροσκοπικές αλλοιώσεις του βλεννογόνου, μείωση του ύψους των λαχνών και διαταραχή της απορροφητικής ικανότητας, επηρεάζοντας αρνητικά τη θρεπτική αξιοποίηση. Η επακόλουθη δυσαπορρόφηση και ο φλεγμονώδης καταβολισμός επιβαρύνουν τον συντελεστή μετατρεψιμότητας τροφής (FCR), αυξάνοντας το κόστος παραγωγής. Η έγκαιρη διάγνωση μέσω μακροσκοπικής και ιστολογικής αξιολόγησης, καθώς και η εφαρμογή ολοκληρωμένων διατροφικών και διαχειριστικών στρατηγικών, αποτελούν κρίσιμους παράγοντες για τη διατήρηση της εντερικής υγείας και τη βελτιστοποίηση της αποδοτικότητας των εκτροφών.</w:t>
      </w:r>
    </w:p>
    <w:p w14:paraId="7FFCF096" w14:textId="77777777" w:rsidR="00B020FA" w:rsidRPr="00B020FA" w:rsidRDefault="00B020FA" w:rsidP="00B020FA">
      <w:pPr>
        <w:jc w:val="both"/>
      </w:pPr>
    </w:p>
    <w:p w14:paraId="25A694BE" w14:textId="77777777" w:rsidR="00B020FA" w:rsidRPr="00B020FA" w:rsidRDefault="00B020FA" w:rsidP="00B020FA">
      <w:pPr>
        <w:jc w:val="both"/>
      </w:pPr>
      <w:r w:rsidRPr="00B020FA">
        <w:rPr>
          <w:b/>
          <w:bCs/>
        </w:rPr>
        <w:t>Βιβλιογραφία</w:t>
      </w:r>
    </w:p>
    <w:p w14:paraId="02A50662" w14:textId="77777777" w:rsidR="00B020FA" w:rsidRPr="00B020FA" w:rsidRDefault="00B020FA" w:rsidP="00B020FA">
      <w:pPr>
        <w:jc w:val="both"/>
      </w:pPr>
      <w:r w:rsidRPr="00B020FA">
        <w:t xml:space="preserve">Chapman, H. D. (2014). </w:t>
      </w:r>
      <w:r w:rsidRPr="00B020FA">
        <w:rPr>
          <w:i/>
          <w:iCs/>
        </w:rPr>
        <w:t>Milestones in avian coccidiosis research: A review.</w:t>
      </w:r>
      <w:r w:rsidRPr="00B020FA">
        <w:t xml:space="preserve"> </w:t>
      </w:r>
      <w:r w:rsidRPr="00B020FA">
        <w:rPr>
          <w:i/>
          <w:iCs/>
        </w:rPr>
        <w:t>Poultry Science</w:t>
      </w:r>
      <w:r w:rsidRPr="00B020FA">
        <w:t>, 93(3). </w:t>
      </w:r>
    </w:p>
    <w:p w14:paraId="0FF28A69" w14:textId="77777777" w:rsidR="00B020FA" w:rsidRPr="00B020FA" w:rsidRDefault="00B020FA" w:rsidP="00B020FA">
      <w:pPr>
        <w:jc w:val="both"/>
      </w:pPr>
      <w:r w:rsidRPr="00B020FA">
        <w:t xml:space="preserve">Johnson, J., &amp; Reid, W. M. (1970). </w:t>
      </w:r>
      <w:r w:rsidRPr="00B020FA">
        <w:rPr>
          <w:i/>
          <w:iCs/>
        </w:rPr>
        <w:t>Anticoccidial drugs: Lesion scoring techniques in battery and floor-pen experiments with chickens.</w:t>
      </w:r>
      <w:r w:rsidRPr="00B020FA">
        <w:t xml:space="preserve"> </w:t>
      </w:r>
      <w:r w:rsidRPr="00B020FA">
        <w:rPr>
          <w:i/>
          <w:iCs/>
        </w:rPr>
        <w:t>Experimental Parasitology</w:t>
      </w:r>
      <w:r w:rsidRPr="00B020FA">
        <w:t>, 28(1), 30–36. </w:t>
      </w:r>
    </w:p>
    <w:p w14:paraId="66B4A973" w14:textId="77777777" w:rsidR="00B020FA" w:rsidRPr="00B020FA" w:rsidRDefault="00B020FA" w:rsidP="00B020FA">
      <w:pPr>
        <w:jc w:val="both"/>
      </w:pPr>
      <w:r w:rsidRPr="00B020FA">
        <w:t xml:space="preserve">Keyburn, A. L., Boyce, J. D., Vaz, P., Bannam, T. L., Ford, M. E., Parker, D., &amp; Moore, R. J. (2008). </w:t>
      </w:r>
      <w:r w:rsidRPr="00B020FA">
        <w:rPr>
          <w:i/>
          <w:iCs/>
        </w:rPr>
        <w:t>NetB, a new toxin associated with avian necrotic enteritis caused by Clostridium perfringens.</w:t>
      </w:r>
      <w:r w:rsidRPr="00B020FA">
        <w:t xml:space="preserve"> </w:t>
      </w:r>
      <w:r w:rsidRPr="00B020FA">
        <w:rPr>
          <w:i/>
          <w:iCs/>
        </w:rPr>
        <w:t>PLoS Pathogens</w:t>
      </w:r>
      <w:r w:rsidRPr="00B020FA">
        <w:t>, 4(2), e26. </w:t>
      </w:r>
    </w:p>
    <w:p w14:paraId="3BD58050" w14:textId="77777777" w:rsidR="00B020FA" w:rsidRPr="00B020FA" w:rsidRDefault="00B020FA" w:rsidP="00B020FA">
      <w:pPr>
        <w:jc w:val="both"/>
      </w:pPr>
      <w:r w:rsidRPr="00B020FA">
        <w:t xml:space="preserve">Keyburn, A. L., Sheedy, S. A., Ford, M. E., Williamson, M. M., Awad, M. M., Rood, J. I., &amp; Moore, R. J. (2006). </w:t>
      </w:r>
      <w:r w:rsidRPr="00B020FA">
        <w:rPr>
          <w:i/>
          <w:iCs/>
        </w:rPr>
        <w:t>Alpha-toxin of Clostridium perfringens is not an essential virulence factor in necrotic enteritis in chickens.</w:t>
      </w:r>
      <w:r w:rsidRPr="00B020FA">
        <w:t xml:space="preserve"> </w:t>
      </w:r>
      <w:r w:rsidRPr="00B020FA">
        <w:rPr>
          <w:i/>
          <w:iCs/>
        </w:rPr>
        <w:t>Infection and Immunity</w:t>
      </w:r>
      <w:r w:rsidRPr="00B020FA">
        <w:t>, 74(11), 6496–6500. </w:t>
      </w:r>
    </w:p>
    <w:p w14:paraId="08A8473F" w14:textId="77777777" w:rsidR="00B020FA" w:rsidRPr="00B020FA" w:rsidRDefault="00B020FA" w:rsidP="00B020FA">
      <w:pPr>
        <w:jc w:val="both"/>
      </w:pPr>
      <w:r w:rsidRPr="00B020FA">
        <w:t xml:space="preserve">Klasing, K. C. (2007). </w:t>
      </w:r>
      <w:r w:rsidRPr="00B020FA">
        <w:rPr>
          <w:i/>
          <w:iCs/>
        </w:rPr>
        <w:t>Nutrition and the immune system.</w:t>
      </w:r>
      <w:r w:rsidRPr="00B020FA">
        <w:t xml:space="preserve"> </w:t>
      </w:r>
      <w:r w:rsidRPr="00B020FA">
        <w:rPr>
          <w:i/>
          <w:iCs/>
        </w:rPr>
        <w:t>British Poultry Science</w:t>
      </w:r>
      <w:r w:rsidRPr="00B020FA">
        <w:t>, 48(5), 525–537. </w:t>
      </w:r>
    </w:p>
    <w:p w14:paraId="3AC1E89F" w14:textId="77777777" w:rsidR="00B020FA" w:rsidRPr="00B020FA" w:rsidRDefault="00B020FA" w:rsidP="00B020FA">
      <w:pPr>
        <w:jc w:val="both"/>
      </w:pPr>
      <w:r w:rsidRPr="00B020FA">
        <w:lastRenderedPageBreak/>
        <w:t xml:space="preserve">Kogut, M. H., &amp; Arsenault, R. J. (2016). </w:t>
      </w:r>
      <w:r w:rsidRPr="00B020FA">
        <w:rPr>
          <w:i/>
          <w:iCs/>
        </w:rPr>
        <w:t>Immunometabolic phenotype alterations associated with disease tolerance in the chicken intestine.</w:t>
      </w:r>
      <w:r w:rsidRPr="00B020FA">
        <w:t xml:space="preserve"> </w:t>
      </w:r>
      <w:r w:rsidRPr="00B020FA">
        <w:rPr>
          <w:i/>
          <w:iCs/>
        </w:rPr>
        <w:t>Frontiers in Veterinary Science</w:t>
      </w:r>
      <w:r w:rsidRPr="00B020FA">
        <w:t>, 3, 1–9. </w:t>
      </w:r>
    </w:p>
    <w:p w14:paraId="3C05E019" w14:textId="77777777" w:rsidR="00B020FA" w:rsidRPr="00B020FA" w:rsidRDefault="00B020FA" w:rsidP="00B020FA">
      <w:pPr>
        <w:jc w:val="both"/>
      </w:pPr>
      <w:r w:rsidRPr="00B020FA">
        <w:t xml:space="preserve">Liu, D., Guo, S., &amp; Guo, Y. (2015). </w:t>
      </w:r>
      <w:r w:rsidRPr="00B020FA">
        <w:rPr>
          <w:i/>
          <w:iCs/>
        </w:rPr>
        <w:t>Xylanase supplementation alleviates intestinal mucosal barrier impairment in broilers challenged with Clostridium perfringens.</w:t>
      </w:r>
      <w:r w:rsidRPr="00B020FA">
        <w:t xml:space="preserve"> </w:t>
      </w:r>
      <w:r w:rsidRPr="00B020FA">
        <w:rPr>
          <w:i/>
          <w:iCs/>
        </w:rPr>
        <w:t>Poultry Science</w:t>
      </w:r>
      <w:r w:rsidRPr="00B020FA">
        <w:t>, 94(11), 2798–2805. </w:t>
      </w:r>
    </w:p>
    <w:p w14:paraId="4872EBBC" w14:textId="77777777" w:rsidR="00B020FA" w:rsidRPr="00B020FA" w:rsidRDefault="00B020FA" w:rsidP="00B020FA">
      <w:pPr>
        <w:jc w:val="both"/>
      </w:pPr>
      <w:r w:rsidRPr="00B020FA">
        <w:t xml:space="preserve">Montagne, L., Pluske, J. R., &amp; Hampson, D. J. (2003). </w:t>
      </w:r>
      <w:r w:rsidRPr="00B020FA">
        <w:rPr>
          <w:i/>
          <w:iCs/>
        </w:rPr>
        <w:t>A review of interactions between dietary fibre and the intestinal mucosa.</w:t>
      </w:r>
      <w:r w:rsidRPr="00B020FA">
        <w:t xml:space="preserve"> </w:t>
      </w:r>
      <w:r w:rsidRPr="00B020FA">
        <w:rPr>
          <w:i/>
          <w:iCs/>
        </w:rPr>
        <w:t>Livestock Production Science</w:t>
      </w:r>
      <w:r w:rsidRPr="00B020FA">
        <w:t>, 79(1), 95–117. </w:t>
      </w:r>
    </w:p>
    <w:p w14:paraId="7BCA5E2A" w14:textId="77777777" w:rsidR="00B020FA" w:rsidRPr="00233C2F" w:rsidRDefault="00B020FA" w:rsidP="00B020FA">
      <w:pPr>
        <w:jc w:val="both"/>
      </w:pPr>
      <w:r w:rsidRPr="00B020FA">
        <w:br/>
      </w:r>
      <w:r w:rsidRPr="00B020FA">
        <w:br/>
      </w:r>
      <w:r w:rsidRPr="00B020FA">
        <w:br/>
      </w:r>
    </w:p>
    <w:p w14:paraId="0A12EAD9" w14:textId="77777777" w:rsidR="00B020FA" w:rsidRPr="00233C2F" w:rsidRDefault="00B020FA" w:rsidP="00B020FA">
      <w:pPr>
        <w:jc w:val="both"/>
      </w:pPr>
    </w:p>
    <w:p w14:paraId="26327D38" w14:textId="77777777" w:rsidR="00B020FA" w:rsidRPr="00233C2F" w:rsidRDefault="00B020FA" w:rsidP="00B020FA">
      <w:pPr>
        <w:jc w:val="both"/>
      </w:pPr>
    </w:p>
    <w:p w14:paraId="1C3232AF" w14:textId="77777777" w:rsidR="00B020FA" w:rsidRPr="00233C2F" w:rsidRDefault="00B020FA" w:rsidP="00B020FA">
      <w:pPr>
        <w:jc w:val="both"/>
      </w:pPr>
    </w:p>
    <w:p w14:paraId="4379F3F1" w14:textId="77777777" w:rsidR="00B020FA" w:rsidRPr="00233C2F" w:rsidRDefault="00B020FA" w:rsidP="00B020FA">
      <w:pPr>
        <w:jc w:val="both"/>
      </w:pPr>
    </w:p>
    <w:p w14:paraId="101B1AFD" w14:textId="77777777" w:rsidR="00B020FA" w:rsidRPr="00233C2F" w:rsidRDefault="00B020FA" w:rsidP="00B020FA">
      <w:pPr>
        <w:jc w:val="both"/>
      </w:pPr>
    </w:p>
    <w:p w14:paraId="0C0FA89B" w14:textId="77777777" w:rsidR="00B020FA" w:rsidRPr="00233C2F" w:rsidRDefault="00B020FA" w:rsidP="00B020FA">
      <w:pPr>
        <w:jc w:val="both"/>
      </w:pPr>
    </w:p>
    <w:p w14:paraId="2F22CA61" w14:textId="77777777" w:rsidR="00B020FA" w:rsidRPr="00233C2F" w:rsidRDefault="00B020FA" w:rsidP="00B020FA">
      <w:pPr>
        <w:jc w:val="both"/>
      </w:pPr>
    </w:p>
    <w:p w14:paraId="68504E2A" w14:textId="77777777" w:rsidR="00B020FA" w:rsidRPr="00233C2F" w:rsidRDefault="00B020FA" w:rsidP="00B020FA">
      <w:pPr>
        <w:jc w:val="both"/>
      </w:pPr>
    </w:p>
    <w:p w14:paraId="2F538FA5" w14:textId="77777777" w:rsidR="00B020FA" w:rsidRPr="00233C2F" w:rsidRDefault="00B020FA" w:rsidP="00B020FA">
      <w:pPr>
        <w:jc w:val="both"/>
      </w:pPr>
    </w:p>
    <w:p w14:paraId="15FF7643" w14:textId="77777777" w:rsidR="00B020FA" w:rsidRPr="00233C2F" w:rsidRDefault="00B020FA" w:rsidP="00B020FA">
      <w:pPr>
        <w:jc w:val="both"/>
      </w:pPr>
    </w:p>
    <w:p w14:paraId="3DBB20C0" w14:textId="77777777" w:rsidR="00B020FA" w:rsidRPr="00233C2F" w:rsidRDefault="00B020FA" w:rsidP="00B020FA">
      <w:pPr>
        <w:jc w:val="both"/>
      </w:pPr>
    </w:p>
    <w:p w14:paraId="2659CAAA" w14:textId="77777777" w:rsidR="00B020FA" w:rsidRPr="00233C2F" w:rsidRDefault="00B020FA" w:rsidP="00B020FA">
      <w:pPr>
        <w:jc w:val="both"/>
      </w:pPr>
    </w:p>
    <w:p w14:paraId="44CFC295" w14:textId="77777777" w:rsidR="00B020FA" w:rsidRPr="00233C2F" w:rsidRDefault="00B020FA" w:rsidP="00B020FA">
      <w:pPr>
        <w:jc w:val="both"/>
      </w:pPr>
    </w:p>
    <w:p w14:paraId="568DABF0" w14:textId="77777777" w:rsidR="00B020FA" w:rsidRPr="00233C2F" w:rsidRDefault="00B020FA" w:rsidP="00B020FA">
      <w:pPr>
        <w:jc w:val="both"/>
      </w:pPr>
    </w:p>
    <w:p w14:paraId="5DF37B13" w14:textId="77777777" w:rsidR="00B020FA" w:rsidRPr="00233C2F" w:rsidRDefault="00B020FA" w:rsidP="00B020FA">
      <w:pPr>
        <w:jc w:val="both"/>
      </w:pPr>
    </w:p>
    <w:p w14:paraId="0FC7C1C0" w14:textId="77777777" w:rsidR="00B020FA" w:rsidRPr="00233C2F" w:rsidRDefault="00B020FA" w:rsidP="00B020FA">
      <w:pPr>
        <w:jc w:val="both"/>
      </w:pPr>
    </w:p>
    <w:p w14:paraId="7DB4FDA3" w14:textId="77777777" w:rsidR="00B020FA" w:rsidRPr="00233C2F" w:rsidRDefault="00B020FA" w:rsidP="00B020FA">
      <w:pPr>
        <w:jc w:val="both"/>
      </w:pPr>
    </w:p>
    <w:p w14:paraId="1768BF6B" w14:textId="77777777" w:rsidR="00B020FA" w:rsidRPr="00233C2F" w:rsidRDefault="00B020FA" w:rsidP="00B020FA">
      <w:pPr>
        <w:jc w:val="both"/>
      </w:pPr>
    </w:p>
    <w:p w14:paraId="71FAF0BF" w14:textId="77777777" w:rsidR="00B020FA" w:rsidRPr="00233C2F" w:rsidRDefault="00B020FA" w:rsidP="00B020FA">
      <w:pPr>
        <w:jc w:val="both"/>
      </w:pPr>
    </w:p>
    <w:p w14:paraId="791DF97F" w14:textId="77777777" w:rsidR="00B020FA" w:rsidRPr="00233C2F" w:rsidRDefault="00B020FA" w:rsidP="00B020FA">
      <w:pPr>
        <w:jc w:val="both"/>
      </w:pPr>
    </w:p>
    <w:p w14:paraId="3747648F" w14:textId="77777777" w:rsidR="00B020FA" w:rsidRPr="00233C2F" w:rsidRDefault="00B020FA" w:rsidP="00B020FA">
      <w:pPr>
        <w:jc w:val="both"/>
      </w:pPr>
    </w:p>
    <w:p w14:paraId="125E4E62" w14:textId="77777777" w:rsidR="00B020FA" w:rsidRPr="00233C2F" w:rsidRDefault="00B020FA" w:rsidP="00B020FA">
      <w:pPr>
        <w:jc w:val="both"/>
      </w:pPr>
    </w:p>
    <w:p w14:paraId="1D8B6D6B" w14:textId="77777777" w:rsidR="00B020FA" w:rsidRPr="00B020FA" w:rsidRDefault="00B020FA" w:rsidP="00B020FA">
      <w:pPr>
        <w:jc w:val="both"/>
      </w:pPr>
      <w:r w:rsidRPr="00B020FA">
        <w:rPr>
          <w:b/>
          <w:bCs/>
        </w:rPr>
        <w:lastRenderedPageBreak/>
        <w:t>Περιστατικό Λοιμώδους Λαρρυγγοτραχειίτιδας σε Πτηνοτροφική Μονάδα Κρεοπαραγωγών Ορνίθων Βιολογικής Εκτροφής</w:t>
      </w:r>
    </w:p>
    <w:p w14:paraId="08F1549A" w14:textId="77777777" w:rsidR="00B020FA" w:rsidRPr="00B020FA" w:rsidRDefault="00B020FA" w:rsidP="00B020FA">
      <w:pPr>
        <w:jc w:val="both"/>
      </w:pPr>
      <w:r w:rsidRPr="00B020FA">
        <w:t>Σταύρου Νικόδημος Αναστάσιος</w:t>
      </w:r>
      <w:r w:rsidRPr="00B020FA">
        <w:rPr>
          <w:vertAlign w:val="superscript"/>
        </w:rPr>
        <w:t xml:space="preserve">1 </w:t>
      </w:r>
      <w:r w:rsidRPr="00B020FA">
        <w:t>, Τσιούρης Βασίλειος</w:t>
      </w:r>
      <w:r w:rsidRPr="00B020FA">
        <w:rPr>
          <w:vertAlign w:val="superscript"/>
        </w:rPr>
        <w:t>2</w:t>
      </w:r>
      <w:r w:rsidRPr="00B020FA">
        <w:t xml:space="preserve"> , Μάντζιος Τηλέμαχος</w:t>
      </w:r>
      <w:r w:rsidRPr="00B020FA">
        <w:rPr>
          <w:vertAlign w:val="superscript"/>
        </w:rPr>
        <w:t>3</w:t>
      </w:r>
    </w:p>
    <w:p w14:paraId="2D474A4C" w14:textId="77777777" w:rsidR="00B020FA" w:rsidRPr="00B020FA" w:rsidRDefault="00B020FA">
      <w:pPr>
        <w:numPr>
          <w:ilvl w:val="0"/>
          <w:numId w:val="53"/>
        </w:numPr>
        <w:jc w:val="both"/>
      </w:pPr>
      <w:r w:rsidRPr="00B020FA">
        <w:t>Προπτυχιακός φοιτητής , Τμήμα Κτηνιατρικής , Σχολή Επιστημών Υγείας, Αριστοτέλειο Πανεπιστήμιο Θεσσαλονίκης</w:t>
      </w:r>
    </w:p>
    <w:p w14:paraId="22FA21D9" w14:textId="77777777" w:rsidR="00B020FA" w:rsidRPr="00B020FA" w:rsidRDefault="00B020FA">
      <w:pPr>
        <w:numPr>
          <w:ilvl w:val="0"/>
          <w:numId w:val="53"/>
        </w:numPr>
        <w:jc w:val="both"/>
      </w:pPr>
      <w:r w:rsidRPr="00B020FA">
        <w:t>Καθηγητής DVM, MSc., PhD, DECPVS, Μονάδα Παθολογίας Πτηνών , Κλινική Παραγωγικών Ζώων, Τμήμα Κτηνιατρικής, Σχολή Επιστημών Υγείας, Αριστοτέλειο Πανεπιστήμιο Θεσσαλονίκης</w:t>
      </w:r>
    </w:p>
    <w:p w14:paraId="70F14C4F" w14:textId="77777777" w:rsidR="00B020FA" w:rsidRPr="00B020FA" w:rsidRDefault="00B020FA">
      <w:pPr>
        <w:numPr>
          <w:ilvl w:val="0"/>
          <w:numId w:val="53"/>
        </w:numPr>
        <w:jc w:val="both"/>
      </w:pPr>
      <w:r w:rsidRPr="00B020FA">
        <w:t>Κτηνίατρος DVM, MSc, PhD, ECPVS Resident, Μονάδα Παθολογίας Πτηνών , Κλινική Παραγωγικών Ζώων , Τμήμα Κτηνιατρικής , Σχολή Επιστημών Υγείας, Αριστοτέλειο Πανεπιστήμιο Θεσσαλονίκης</w:t>
      </w:r>
    </w:p>
    <w:p w14:paraId="740961AA" w14:textId="77777777" w:rsidR="00B020FA" w:rsidRPr="00B020FA" w:rsidRDefault="00B020FA" w:rsidP="00B020FA">
      <w:pPr>
        <w:jc w:val="both"/>
      </w:pPr>
    </w:p>
    <w:p w14:paraId="26F4B769" w14:textId="77777777" w:rsidR="00B020FA" w:rsidRPr="00B020FA" w:rsidRDefault="00B020FA" w:rsidP="00B020FA">
      <w:pPr>
        <w:jc w:val="both"/>
      </w:pPr>
      <w:r w:rsidRPr="00B020FA">
        <w:rPr>
          <w:b/>
          <w:bCs/>
        </w:rPr>
        <w:t>Περίλιψη</w:t>
      </w:r>
    </w:p>
    <w:p w14:paraId="152D0C57" w14:textId="77777777" w:rsidR="00B020FA" w:rsidRPr="00B020FA" w:rsidRDefault="00B020FA" w:rsidP="00B020FA">
      <w:pPr>
        <w:jc w:val="both"/>
      </w:pPr>
      <w:r w:rsidRPr="00B020FA">
        <w:t xml:space="preserve">Η λοιμώδης λαρυγγοτραχειίτιδα (infectious laryngotracheitis, ILT) είναι ένα νόσημα που οφείλετε στον infectious laryngotracheitis virus (ILTV) και ανήκει στο είδος </w:t>
      </w:r>
      <w:r w:rsidRPr="00B020FA">
        <w:rPr>
          <w:i/>
          <w:iCs/>
        </w:rPr>
        <w:t>Gallid alphaherpsvirus 1</w:t>
      </w:r>
      <w:r w:rsidRPr="00B020FA">
        <w:t>. Προσβάλει κυρίως  όρνιθες και αποτελεί νόσημα ύψιστης οικονομικής σημασίας  στον κλάδο της πτηνοτροφίας. Στη συγκεκριμένη ελεύθερη ανακοίνωση θα παρουσιαστούν τα επιζωοοτιολογικά και κλινικοπαθολογικά ευρήματα ενός κλινικού περιστατικού ILT σε βιολογική εκτροφή 5.000 κρεοπαραγωγών ορνίθων 25 ημερών . Κλινικά παρατηρήθηκαν έντονα αναπνευστικά συμπτώματα: βήχας, δύσπνοια, ταχύπνοια, αιματηρές αποχρέμψεις και υψηλή θνησιμότητα (100-150 ορνίθια ημερησίως). Κατά τη νεκροτομική εξέταση διαπιστώθηκαν αλλοιώσεις τραχειίτιδας με παρουσία αιματηρής βλέννης στον αυλό της τραχείας , καθώς και συμφόρηση του επιπεφυκότα και των υποκόγχιων κόλπων. Μικροσκοπικά παρατηρήθηκαν χαρακτηριστικές αλλοιώσεις στο επιθήλιο  τραχείας .Η μοριακή ανάλυση επιβεβαίωσε  παρουσία  ILTV, αποκαλύπτοντας ότι πρόκειται για άγριο στέλεχος και όχι εμβολιάκης προέλευσης .Για την αντιμετώπιση του περιστατικού εφαρμόστηκε υποστηρικτική αγωγή με βιταμίνες, ηλεκτρολύτες και αιθέρια έλαια μέντας και ευκαλύπτου. Παράλληλα , για την αντιμετώπιση της επιζωοοτίας ILT  στην περιοχή , τροποποιήθηκε το εμβολιακό πρόγραμμα, με  χρήση ανασυνδυασμένου εμβολίου ILTV και ενισχύθηκαν τα μέτρα βιοασφάλειας. Η παρούσα μελέτη αναδεικνύει τη σημασία της έγκαιρης διάγνωσης , της μοριακής επιβεβαίωσης και της προσαρμογής των προληπτικών μέτρων για τον αποτελεσματικό έλεγχο της ILT σε σύγχρονες εκτροφές.</w:t>
      </w:r>
    </w:p>
    <w:p w14:paraId="7C3F2D3C" w14:textId="77777777" w:rsidR="00B020FA" w:rsidRPr="00B020FA" w:rsidRDefault="00B020FA" w:rsidP="00B020FA">
      <w:pPr>
        <w:jc w:val="both"/>
      </w:pPr>
    </w:p>
    <w:p w14:paraId="1EB74984" w14:textId="77777777" w:rsidR="00B020FA" w:rsidRPr="00B020FA" w:rsidRDefault="00B020FA" w:rsidP="00B020FA">
      <w:pPr>
        <w:jc w:val="both"/>
      </w:pPr>
      <w:r w:rsidRPr="00B020FA">
        <w:rPr>
          <w:b/>
          <w:bCs/>
        </w:rPr>
        <w:t>Βιβλιογραφία</w:t>
      </w:r>
    </w:p>
    <w:p w14:paraId="788C0406" w14:textId="77777777" w:rsidR="00B020FA" w:rsidRPr="00B020FA" w:rsidRDefault="00B020FA" w:rsidP="00B020FA">
      <w:pPr>
        <w:jc w:val="both"/>
      </w:pPr>
      <w:r w:rsidRPr="00B020FA">
        <w:t xml:space="preserve">Agnew-Crumpton, R., Vaz, P. K., Devlin, J. M., O’Rourke, D., Blacker-Smith, H. P., Konsak-Ilievski, B., Hartley, C. A., &amp; Noormohammadi, A. H. (2016). </w:t>
      </w:r>
      <w:r w:rsidRPr="00B020FA">
        <w:rPr>
          <w:i/>
          <w:iCs/>
        </w:rPr>
        <w:t xml:space="preserve">Spread of the newly emerging infectious laryngotracheitis viruses in Australia. Infection. </w:t>
      </w:r>
      <w:r w:rsidRPr="00B020FA">
        <w:t>Genetics and Evolution,</w:t>
      </w:r>
      <w:r w:rsidRPr="00B020FA">
        <w:rPr>
          <w:i/>
          <w:iCs/>
        </w:rPr>
        <w:t xml:space="preserve"> 43</w:t>
      </w:r>
      <w:r w:rsidRPr="00B020FA">
        <w:t>, 67–73.</w:t>
      </w:r>
    </w:p>
    <w:p w14:paraId="2E83476D" w14:textId="77777777" w:rsidR="00B020FA" w:rsidRPr="00B020FA" w:rsidRDefault="00B020FA" w:rsidP="00B020FA">
      <w:pPr>
        <w:jc w:val="both"/>
      </w:pPr>
      <w:r w:rsidRPr="00B020FA">
        <w:t xml:space="preserve">Alaraji, F., Hammadi, H., Abed, A. A., &amp; Khudhair, Y. I. (2019). </w:t>
      </w:r>
      <w:r w:rsidRPr="00B020FA">
        <w:rPr>
          <w:i/>
          <w:iCs/>
        </w:rPr>
        <w:t>Molecular detection and phylogenetic tree of infectious laryngotracheitis virus in layers in Al-Diwaniyah province, Iraq.</w:t>
      </w:r>
      <w:r w:rsidRPr="00B020FA">
        <w:t xml:space="preserve"> </w:t>
      </w:r>
      <w:r w:rsidRPr="00B020FA">
        <w:rPr>
          <w:i/>
          <w:iCs/>
        </w:rPr>
        <w:t>Veterinary World, 12</w:t>
      </w:r>
      <w:r w:rsidRPr="00B020FA">
        <w:t>, 605–608.</w:t>
      </w:r>
    </w:p>
    <w:p w14:paraId="7D57F424" w14:textId="77777777" w:rsidR="00B020FA" w:rsidRPr="00B020FA" w:rsidRDefault="00B020FA" w:rsidP="00B020FA">
      <w:pPr>
        <w:jc w:val="both"/>
      </w:pPr>
      <w:r w:rsidRPr="00B020FA">
        <w:t xml:space="preserve">Al-Saadi, M. H. A. (2020). </w:t>
      </w:r>
      <w:r w:rsidRPr="00B020FA">
        <w:rPr>
          <w:i/>
          <w:iCs/>
        </w:rPr>
        <w:t>Multilocus analysis of Gallid herpesvirus 1 in layer chickens in Iraq.</w:t>
      </w:r>
      <w:r w:rsidRPr="00B020FA">
        <w:t xml:space="preserve"> </w:t>
      </w:r>
      <w:r w:rsidRPr="00B020FA">
        <w:rPr>
          <w:i/>
          <w:iCs/>
        </w:rPr>
        <w:t>Veterinary World, 13</w:t>
      </w:r>
      <w:r w:rsidRPr="00B020FA">
        <w:t>, 170–176.</w:t>
      </w:r>
    </w:p>
    <w:p w14:paraId="323DF739" w14:textId="77777777" w:rsidR="00B020FA" w:rsidRPr="00B020FA" w:rsidRDefault="00B020FA" w:rsidP="00B020FA">
      <w:pPr>
        <w:jc w:val="both"/>
      </w:pPr>
      <w:r w:rsidRPr="00B020FA">
        <w:lastRenderedPageBreak/>
        <w:t xml:space="preserve">Bagust, T. J., &amp; Johnson, M. A. (1995). </w:t>
      </w:r>
      <w:r w:rsidRPr="00B020FA">
        <w:rPr>
          <w:i/>
          <w:iCs/>
        </w:rPr>
        <w:t>Avian infectious laryngotracheitis: Virus-host interactions in relation to prospects for eradication.</w:t>
      </w:r>
      <w:r w:rsidRPr="00B020FA">
        <w:t xml:space="preserve"> </w:t>
      </w:r>
      <w:r w:rsidRPr="00B020FA">
        <w:rPr>
          <w:i/>
          <w:iCs/>
        </w:rPr>
        <w:t>Avian Pathology, 24</w:t>
      </w:r>
      <w:r w:rsidRPr="00B020FA">
        <w:t>, 373–391.</w:t>
      </w:r>
    </w:p>
    <w:p w14:paraId="0E422026" w14:textId="77777777" w:rsidR="00B020FA" w:rsidRPr="00B020FA" w:rsidRDefault="00B020FA" w:rsidP="00B020FA">
      <w:pPr>
        <w:jc w:val="both"/>
      </w:pPr>
      <w:r w:rsidRPr="00B020FA">
        <w:t xml:space="preserve">Bayoumi, M., El-Saied, M., Amer, H., Bastami, M., Sakr, E. E., &amp; El-Mahdy, M. (2020). </w:t>
      </w:r>
      <w:r w:rsidRPr="00B020FA">
        <w:rPr>
          <w:i/>
          <w:iCs/>
        </w:rPr>
        <w:t>Molecular characterization and genetic diversity of the infectious laryngotracheitis virus strains circulating in Egypt during the outbreaks of 2018 and 2019</w:t>
      </w:r>
      <w:r w:rsidRPr="00B020FA">
        <w:t xml:space="preserve">. </w:t>
      </w:r>
      <w:r w:rsidRPr="00B020FA">
        <w:rPr>
          <w:i/>
          <w:iCs/>
        </w:rPr>
        <w:t>Archives of Virology, 165</w:t>
      </w:r>
      <w:r w:rsidRPr="00B020FA">
        <w:t>, 661–670.</w:t>
      </w:r>
    </w:p>
    <w:p w14:paraId="19D80E80" w14:textId="77777777" w:rsidR="00B020FA" w:rsidRPr="00B020FA" w:rsidRDefault="00B020FA" w:rsidP="00B020FA">
      <w:pPr>
        <w:jc w:val="both"/>
      </w:pPr>
      <w:r w:rsidRPr="00B020FA">
        <w:t xml:space="preserve">Brugère-Picoux, J., Vaillancourt, J.-P., Shivaprasad, H. L., Venne, D., &amp; Bouzouaia, M. (2015). </w:t>
      </w:r>
      <w:r w:rsidRPr="00B020FA">
        <w:rPr>
          <w:i/>
          <w:iCs/>
        </w:rPr>
        <w:t>Manual of poultry diseases</w:t>
      </w:r>
      <w:r w:rsidRPr="00B020FA">
        <w:t xml:space="preserve"> (pp. 221–226). AFAS.</w:t>
      </w:r>
    </w:p>
    <w:p w14:paraId="10B0FCED" w14:textId="77777777" w:rsidR="00B020FA" w:rsidRPr="00B020FA" w:rsidRDefault="00B020FA" w:rsidP="00B020FA">
      <w:pPr>
        <w:jc w:val="both"/>
      </w:pPr>
      <w:r w:rsidRPr="00B020FA">
        <w:t xml:space="preserve">Callison, S. A., Hilt, D. A., Boynton, T. O., Sample, B. F., Robison, R., Swayne, D. E., &amp; Jackwood, M. W. (2006). </w:t>
      </w:r>
      <w:r w:rsidRPr="00B020FA">
        <w:rPr>
          <w:i/>
          <w:iCs/>
        </w:rPr>
        <w:t>Development and evaluation of a real-time Taqman RT-PCR assay for the detection of infectious bronchitis virus from infected chickens.</w:t>
      </w:r>
      <w:r w:rsidRPr="00B020FA">
        <w:t xml:space="preserve"> </w:t>
      </w:r>
      <w:r w:rsidRPr="00B020FA">
        <w:rPr>
          <w:i/>
          <w:iCs/>
        </w:rPr>
        <w:t>Journal of Virological Methods, 138</w:t>
      </w:r>
      <w:r w:rsidRPr="00B020FA">
        <w:t>, 60–65.</w:t>
      </w:r>
    </w:p>
    <w:p w14:paraId="70E3BAF4" w14:textId="77777777" w:rsidR="00B020FA" w:rsidRPr="00B020FA" w:rsidRDefault="00B020FA" w:rsidP="00B020FA">
      <w:pPr>
        <w:jc w:val="both"/>
      </w:pPr>
      <w:r w:rsidRPr="00B020FA">
        <w:t xml:space="preserve">Dolka, I., Sapierzyński, R., Bielecki, W., Malicka, E., Żbikowski, A., &amp; Szeleszczuk, P. (2012). </w:t>
      </w:r>
      <w:r w:rsidRPr="00B020FA">
        <w:rPr>
          <w:i/>
          <w:iCs/>
        </w:rPr>
        <w:t>Histopathology in diagnosis of broiler chicken and layer diseases—Review of cases 1999–2010.</w:t>
      </w:r>
      <w:r w:rsidRPr="00B020FA">
        <w:t xml:space="preserve"> </w:t>
      </w:r>
      <w:r w:rsidRPr="00B020FA">
        <w:rPr>
          <w:i/>
          <w:iCs/>
        </w:rPr>
        <w:t>Polish Journal of Veterinary Sciences, 15</w:t>
      </w:r>
      <w:r w:rsidRPr="00B020FA">
        <w:t>, 773–779.</w:t>
      </w:r>
    </w:p>
    <w:p w14:paraId="6B881EF2" w14:textId="77777777" w:rsidR="00B020FA" w:rsidRPr="00B020FA" w:rsidRDefault="00B020FA" w:rsidP="00B020FA">
      <w:pPr>
        <w:jc w:val="both"/>
      </w:pPr>
      <w:r w:rsidRPr="00B020FA">
        <w:t xml:space="preserve">Esaki, M., Noland, L., Eddins, T., Godoy, A., Saeki, S., Saitoh, S., Yasuda, A., &amp; Dorsey, K. M. (2013). </w:t>
      </w:r>
      <w:r w:rsidRPr="00B020FA">
        <w:rPr>
          <w:i/>
          <w:iCs/>
        </w:rPr>
        <w:t>Safety and efficacy of a turkey herpesvirus vector laryngotracheitis vaccine for chickens.</w:t>
      </w:r>
      <w:r w:rsidRPr="00B020FA">
        <w:t xml:space="preserve"> </w:t>
      </w:r>
      <w:r w:rsidRPr="00B020FA">
        <w:rPr>
          <w:i/>
          <w:iCs/>
        </w:rPr>
        <w:t>Avian Diseases, 57</w:t>
      </w:r>
      <w:r w:rsidRPr="00B020FA">
        <w:t>, 192–198.</w:t>
      </w:r>
    </w:p>
    <w:p w14:paraId="601810F0" w14:textId="77777777" w:rsidR="00B020FA" w:rsidRPr="00B020FA" w:rsidRDefault="00B020FA" w:rsidP="00B020FA">
      <w:pPr>
        <w:jc w:val="both"/>
      </w:pPr>
      <w:r w:rsidRPr="00B020FA">
        <w:t xml:space="preserve">García, M. (2017). </w:t>
      </w:r>
      <w:r w:rsidRPr="00B020FA">
        <w:rPr>
          <w:i/>
          <w:iCs/>
        </w:rPr>
        <w:t>Current and future vaccines and vaccination strategies against infectious laryngotracheitis (ILT) respiratory disease of poultry.</w:t>
      </w:r>
      <w:r w:rsidRPr="00B020FA">
        <w:t xml:space="preserve"> </w:t>
      </w:r>
      <w:r w:rsidRPr="00B020FA">
        <w:rPr>
          <w:i/>
          <w:iCs/>
        </w:rPr>
        <w:t>Veterinary Microbiology, 206</w:t>
      </w:r>
      <w:r w:rsidRPr="00B020FA">
        <w:t>, 157–162.</w:t>
      </w:r>
    </w:p>
    <w:p w14:paraId="164EBE1A" w14:textId="77777777" w:rsidR="00B020FA" w:rsidRPr="00B020FA" w:rsidRDefault="00B020FA" w:rsidP="00B020FA">
      <w:pPr>
        <w:jc w:val="both"/>
      </w:pPr>
      <w:r w:rsidRPr="00B020FA">
        <w:t xml:space="preserve">García, M., &amp; Zavala, G. (2019). </w:t>
      </w:r>
      <w:r w:rsidRPr="00B020FA">
        <w:rPr>
          <w:i/>
          <w:iCs/>
        </w:rPr>
        <w:t>Commercial vaccines and vaccination strategies against infectious laryngotracheitis: What we have learned and knowledge gaps that remain.</w:t>
      </w:r>
      <w:r w:rsidRPr="00B020FA">
        <w:t xml:space="preserve"> </w:t>
      </w:r>
      <w:r w:rsidRPr="00B020FA">
        <w:rPr>
          <w:i/>
          <w:iCs/>
        </w:rPr>
        <w:t>Avian Diseases, 63</w:t>
      </w:r>
      <w:r w:rsidRPr="00B020FA">
        <w:t>, 325–334.</w:t>
      </w:r>
    </w:p>
    <w:p w14:paraId="65DFA909" w14:textId="77777777" w:rsidR="00B020FA" w:rsidRPr="00B020FA" w:rsidRDefault="00B020FA" w:rsidP="00B020FA">
      <w:pPr>
        <w:jc w:val="both"/>
      </w:pPr>
      <w:r w:rsidRPr="00B020FA">
        <w:t xml:space="preserve">Georgopoulou, I., &amp; Tsiouris, V. (2010). </w:t>
      </w:r>
      <w:r w:rsidRPr="00B020FA">
        <w:rPr>
          <w:i/>
          <w:iCs/>
        </w:rPr>
        <w:t>The potential role of migratory birds in the transmission of zoonoses.</w:t>
      </w:r>
      <w:r w:rsidRPr="00B020FA">
        <w:t xml:space="preserve"> </w:t>
      </w:r>
      <w:r w:rsidRPr="00B020FA">
        <w:rPr>
          <w:i/>
          <w:iCs/>
        </w:rPr>
        <w:t>Veterinaria Italiana, 44</w:t>
      </w:r>
      <w:r w:rsidRPr="00B020FA">
        <w:t>, 671–677.</w:t>
      </w:r>
    </w:p>
    <w:p w14:paraId="5064A3F2" w14:textId="77777777" w:rsidR="00B020FA" w:rsidRPr="00B020FA" w:rsidRDefault="00B020FA" w:rsidP="00B020FA">
      <w:pPr>
        <w:jc w:val="both"/>
      </w:pPr>
      <w:r w:rsidRPr="00B020FA">
        <w:t xml:space="preserve">Han, M. G., &amp; Kim, S. J. (2001). </w:t>
      </w:r>
      <w:r w:rsidRPr="00B020FA">
        <w:rPr>
          <w:i/>
          <w:iCs/>
        </w:rPr>
        <w:t>Analysis of Korean strains of infectious laryngotracheitis virus by nucleotide sequences and restriction fragment length polymorphism. Veterinary Microbiology, 83</w:t>
      </w:r>
      <w:r w:rsidRPr="00B020FA">
        <w:t>, 321–331.</w:t>
      </w:r>
    </w:p>
    <w:p w14:paraId="3FF26769" w14:textId="77777777" w:rsidR="00B020FA" w:rsidRPr="00B020FA" w:rsidRDefault="00B020FA" w:rsidP="00B020FA">
      <w:pPr>
        <w:jc w:val="both"/>
      </w:pPr>
      <w:r w:rsidRPr="00B020FA">
        <w:t xml:space="preserve">Koutoulis, K. (2012, April 5–8). </w:t>
      </w:r>
      <w:r w:rsidRPr="00B020FA">
        <w:rPr>
          <w:i/>
          <w:iCs/>
        </w:rPr>
        <w:t>Present and future of poultry industry in Greece</w:t>
      </w:r>
      <w:r w:rsidRPr="00B020FA">
        <w:t xml:space="preserve"> [Paper presentation]. 12th Pan-Hellenic Veterinary Congress, Athens, Greece.</w:t>
      </w:r>
    </w:p>
    <w:p w14:paraId="51760195" w14:textId="77777777" w:rsidR="00B020FA" w:rsidRPr="00B020FA" w:rsidRDefault="00B020FA" w:rsidP="00B020FA">
      <w:pPr>
        <w:jc w:val="both"/>
      </w:pPr>
      <w:r w:rsidRPr="00B020FA">
        <w:t xml:space="preserve">Kumar, S., Stecher, G., &amp; Tamura, K. (2016). </w:t>
      </w:r>
      <w:r w:rsidRPr="00B020FA">
        <w:rPr>
          <w:i/>
          <w:iCs/>
        </w:rPr>
        <w:t>MEGA7: Molecular evolutionary genetics analysis version 7.0 for bigger datasets.</w:t>
      </w:r>
      <w:r w:rsidRPr="00B020FA">
        <w:t xml:space="preserve"> </w:t>
      </w:r>
      <w:r w:rsidRPr="00B020FA">
        <w:rPr>
          <w:i/>
          <w:iCs/>
        </w:rPr>
        <w:t>Molecular Biology and Evolution, 33</w:t>
      </w:r>
      <w:r w:rsidRPr="00B020FA">
        <w:t>, 1870–1874.</w:t>
      </w:r>
    </w:p>
    <w:p w14:paraId="3727942F" w14:textId="77777777" w:rsidR="00B020FA" w:rsidRPr="00B020FA" w:rsidRDefault="00B020FA" w:rsidP="00B020FA">
      <w:pPr>
        <w:jc w:val="both"/>
      </w:pPr>
      <w:r w:rsidRPr="00B020FA">
        <w:t xml:space="preserve">Li, H., Wang, F., Han, Z., Gao, Q., Li, H., Shao, Y., Sun, N., &amp; Liu, S. (2015). </w:t>
      </w:r>
      <w:r w:rsidRPr="00B020FA">
        <w:rPr>
          <w:i/>
          <w:iCs/>
        </w:rPr>
        <w:t>Genome-wide gene expression analysis identifies the proto-oncogene tyrosine-protein kinase Src as a crucial virulence determinant of infectious laryngotracheitis virus in chicken cells.</w:t>
      </w:r>
      <w:r w:rsidRPr="00B020FA">
        <w:t xml:space="preserve"> </w:t>
      </w:r>
      <w:r w:rsidRPr="00B020FA">
        <w:rPr>
          <w:i/>
          <w:iCs/>
        </w:rPr>
        <w:t>Journal of Virology, 90</w:t>
      </w:r>
      <w:r w:rsidRPr="00B020FA">
        <w:t>, 9–21.</w:t>
      </w:r>
    </w:p>
    <w:p w14:paraId="046CADDD" w14:textId="77777777" w:rsidR="00B020FA" w:rsidRPr="00B020FA" w:rsidRDefault="00B020FA" w:rsidP="00B020FA">
      <w:pPr>
        <w:jc w:val="both"/>
      </w:pPr>
      <w:r w:rsidRPr="00B020FA">
        <w:t xml:space="preserve">Loncoman, C. A. (2018). </w:t>
      </w:r>
      <w:r w:rsidRPr="00B020FA">
        <w:rPr>
          <w:i/>
          <w:iCs/>
        </w:rPr>
        <w:t>Recombination of infectious laryngotracheitis virus (ILTV) and the role of vaccination</w:t>
      </w:r>
      <w:r w:rsidRPr="00B020FA">
        <w:t xml:space="preserve"> [Doctoral dissertation, The University of Melbourne].</w:t>
      </w:r>
    </w:p>
    <w:p w14:paraId="5856A225" w14:textId="77777777" w:rsidR="00B020FA" w:rsidRPr="00B020FA" w:rsidRDefault="00B020FA" w:rsidP="00B020FA">
      <w:pPr>
        <w:jc w:val="both"/>
      </w:pPr>
      <w:r w:rsidRPr="00B020FA">
        <w:t xml:space="preserve">Loncoman, C. A., Vaz, P. K., Coppo, M. J., Hartley, C. A., Morera, F. J., Browning, G. F., &amp; Devlin, J. M. (2017). </w:t>
      </w:r>
      <w:r w:rsidRPr="00B020FA">
        <w:rPr>
          <w:i/>
          <w:iCs/>
        </w:rPr>
        <w:t>Natural recombination in alphaherpesviruses: Insights into viral evolution through full genome sequencing and sequence analysis.</w:t>
      </w:r>
      <w:r w:rsidRPr="00B020FA">
        <w:t xml:space="preserve"> </w:t>
      </w:r>
      <w:r w:rsidRPr="00B020FA">
        <w:rPr>
          <w:i/>
          <w:iCs/>
        </w:rPr>
        <w:t>Infection, Genetics and Evolution, 49</w:t>
      </w:r>
      <w:r w:rsidRPr="00B020FA">
        <w:t>, 174–185.</w:t>
      </w:r>
    </w:p>
    <w:p w14:paraId="0E973B63" w14:textId="77777777" w:rsidR="00B020FA" w:rsidRPr="00B020FA" w:rsidRDefault="00B020FA" w:rsidP="00B020FA">
      <w:pPr>
        <w:jc w:val="both"/>
      </w:pPr>
      <w:r w:rsidRPr="00B020FA">
        <w:lastRenderedPageBreak/>
        <w:t xml:space="preserve">Menasse, I., Seimenis, A., Veimos, G., &amp; Loucas, S. (1977). </w:t>
      </w:r>
      <w:r w:rsidRPr="00B020FA">
        <w:rPr>
          <w:i/>
          <w:iCs/>
        </w:rPr>
        <w:t>The avian infectious laryngotracheitis in Greece. Epizootiological data, aspect of the disease and measures of control.</w:t>
      </w:r>
      <w:r w:rsidRPr="00B020FA">
        <w:t xml:space="preserve"> </w:t>
      </w:r>
      <w:r w:rsidRPr="00B020FA">
        <w:rPr>
          <w:i/>
          <w:iCs/>
        </w:rPr>
        <w:t>Journal of the Hellenic Veterinary Medical Society, 28</w:t>
      </w:r>
      <w:r w:rsidRPr="00B020FA">
        <w:t>, 3–18.</w:t>
      </w:r>
    </w:p>
    <w:p w14:paraId="5ACE058D" w14:textId="77777777" w:rsidR="00B020FA" w:rsidRPr="00B020FA" w:rsidRDefault="00B020FA" w:rsidP="00B020FA">
      <w:pPr>
        <w:jc w:val="both"/>
      </w:pPr>
      <w:r w:rsidRPr="00B020FA">
        <w:t xml:space="preserve">Menendez, K. R., García, M., Spatz, S., &amp; Tablante, N. L. (2014). </w:t>
      </w:r>
      <w:r w:rsidRPr="00B020FA">
        <w:rPr>
          <w:i/>
          <w:iCs/>
        </w:rPr>
        <w:t>Molecular epidemiology of infectious laryngotracheitis: A review.</w:t>
      </w:r>
      <w:r w:rsidRPr="00B020FA">
        <w:t xml:space="preserve"> </w:t>
      </w:r>
      <w:r w:rsidRPr="00B020FA">
        <w:rPr>
          <w:i/>
          <w:iCs/>
        </w:rPr>
        <w:t>Avian Pathology, 43</w:t>
      </w:r>
      <w:r w:rsidRPr="00B020FA">
        <w:t>, 108–117.</w:t>
      </w:r>
    </w:p>
    <w:p w14:paraId="2CB7E218" w14:textId="77777777" w:rsidR="00B020FA" w:rsidRPr="00B020FA" w:rsidRDefault="00B020FA" w:rsidP="00B020FA">
      <w:pPr>
        <w:jc w:val="both"/>
      </w:pPr>
      <w:r w:rsidRPr="00B020FA">
        <w:t xml:space="preserve">Molini, U., Aikukutu, G., Khaiseb, S., Kahler, B., Van Der Westhuizen, J., Cattoli, G., &amp; Dundon, W. G. (2019). </w:t>
      </w:r>
      <w:r w:rsidRPr="00B020FA">
        <w:rPr>
          <w:i/>
          <w:iCs/>
        </w:rPr>
        <w:t>Investigation of infectious laryngotracheitis outbreaks in Namibia in 2018.</w:t>
      </w:r>
      <w:r w:rsidRPr="00B020FA">
        <w:t xml:space="preserve"> </w:t>
      </w:r>
      <w:r w:rsidRPr="00B020FA">
        <w:rPr>
          <w:i/>
          <w:iCs/>
        </w:rPr>
        <w:t>Tropical Animal Health and Production, 51</w:t>
      </w:r>
      <w:r w:rsidRPr="00B020FA">
        <w:t>, 2105–2108.</w:t>
      </w:r>
    </w:p>
    <w:p w14:paraId="25696D77" w14:textId="77777777" w:rsidR="00B020FA" w:rsidRPr="00B020FA" w:rsidRDefault="00B020FA" w:rsidP="00B020FA">
      <w:pPr>
        <w:jc w:val="both"/>
      </w:pPr>
      <w:r w:rsidRPr="00B020FA">
        <w:t xml:space="preserve">Moreno, A., Piccirillo, A., Mondin, A., Morandini, E., Gavazzi, L., &amp; Cordioli, P. (2010). </w:t>
      </w:r>
      <w:r w:rsidRPr="00B020FA">
        <w:rPr>
          <w:i/>
          <w:iCs/>
        </w:rPr>
        <w:t>Epidemic of infectious laryngotracheitis in Italy: Characterization of virus isolates by PCR–restriction fragment length polymorphism and sequence analysis. Avian Diseases, 54</w:t>
      </w:r>
      <w:r w:rsidRPr="00B020FA">
        <w:t>, 1172–1177.</w:t>
      </w:r>
    </w:p>
    <w:p w14:paraId="5899314A" w14:textId="77777777" w:rsidR="00B020FA" w:rsidRPr="00B020FA" w:rsidRDefault="00B020FA" w:rsidP="00B020FA">
      <w:pPr>
        <w:jc w:val="both"/>
      </w:pPr>
      <w:r w:rsidRPr="00B020FA">
        <w:t xml:space="preserve">Neff, C., Sudler, C., &amp; Hoop, R. K. (2008). </w:t>
      </w:r>
      <w:r w:rsidRPr="00B020FA">
        <w:rPr>
          <w:i/>
          <w:iCs/>
        </w:rPr>
        <w:t>Characterization of Western European field isolates and vaccine strains of avian infectious laryngotracheitis virus by restriction fragment length polymorphism and sequence analysis.</w:t>
      </w:r>
      <w:r w:rsidRPr="00B020FA">
        <w:t xml:space="preserve"> </w:t>
      </w:r>
      <w:r w:rsidRPr="00B020FA">
        <w:rPr>
          <w:i/>
          <w:iCs/>
        </w:rPr>
        <w:t>Avian Diseases, 52</w:t>
      </w:r>
      <w:r w:rsidRPr="00B020FA">
        <w:t>, 278–283.</w:t>
      </w:r>
    </w:p>
    <w:p w14:paraId="0804D388" w14:textId="77777777" w:rsidR="00B020FA" w:rsidRPr="00B020FA" w:rsidRDefault="00B020FA" w:rsidP="00B020FA">
      <w:pPr>
        <w:jc w:val="both"/>
      </w:pPr>
      <w:r w:rsidRPr="00B020FA">
        <w:t xml:space="preserve">OIE. (2021). </w:t>
      </w:r>
      <w:r w:rsidRPr="00B020FA">
        <w:rPr>
          <w:i/>
          <w:iCs/>
        </w:rPr>
        <w:t>World Animal Health Information System</w:t>
      </w:r>
      <w:r w:rsidRPr="00B020FA">
        <w:t xml:space="preserve">. Retrieved February 15, 2021, from </w:t>
      </w:r>
      <w:hyperlink r:id="rId74" w:history="1">
        <w:r w:rsidRPr="00B020FA">
          <w:rPr>
            <w:rStyle w:val="-"/>
          </w:rPr>
          <w:t>https://www.oie.int/wahis_2/public/wahid.php/Diseaseinformation/statuslist</w:t>
        </w:r>
      </w:hyperlink>
    </w:p>
    <w:p w14:paraId="3C33AE3F" w14:textId="77777777" w:rsidR="00B020FA" w:rsidRPr="00B020FA" w:rsidRDefault="00B020FA" w:rsidP="00B020FA">
      <w:pPr>
        <w:jc w:val="both"/>
      </w:pPr>
      <w:r w:rsidRPr="00B020FA">
        <w:t xml:space="preserve">Oldoni, I., Rodríguez-Avila, A., Riblet, S. M., Zavala, G., &amp; García, M. (2009). </w:t>
      </w:r>
      <w:r w:rsidRPr="00B020FA">
        <w:rPr>
          <w:i/>
          <w:iCs/>
        </w:rPr>
        <w:t>Pathogenicity and growth characteristics of selected infectious laryngotracheitis virus strains from the United States.</w:t>
      </w:r>
      <w:r w:rsidRPr="00B020FA">
        <w:t xml:space="preserve"> </w:t>
      </w:r>
      <w:r w:rsidRPr="00B020FA">
        <w:rPr>
          <w:i/>
          <w:iCs/>
        </w:rPr>
        <w:t>Avian Pathology, 38</w:t>
      </w:r>
      <w:r w:rsidRPr="00B020FA">
        <w:t>, 47–53.</w:t>
      </w:r>
    </w:p>
    <w:p w14:paraId="25B07650" w14:textId="77777777" w:rsidR="00B020FA" w:rsidRPr="00B020FA" w:rsidRDefault="00B020FA" w:rsidP="00B020FA">
      <w:pPr>
        <w:jc w:val="both"/>
      </w:pPr>
      <w:r w:rsidRPr="00B020FA">
        <w:t xml:space="preserve">Parra, S., Nuñez, L., &amp; Ferreira, A. (2016). </w:t>
      </w:r>
      <w:r w:rsidRPr="00B020FA">
        <w:rPr>
          <w:i/>
          <w:iCs/>
        </w:rPr>
        <w:t>Epidemiology of avian infectious laryngotracheitis with special focus to South America: An update.</w:t>
      </w:r>
      <w:r w:rsidRPr="00B020FA">
        <w:t xml:space="preserve"> </w:t>
      </w:r>
      <w:r w:rsidRPr="00B020FA">
        <w:rPr>
          <w:i/>
          <w:iCs/>
        </w:rPr>
        <w:t>Brazilian Journal of Poultry Science, 18</w:t>
      </w:r>
      <w:r w:rsidRPr="00B020FA">
        <w:t>, 551–562.</w:t>
      </w:r>
    </w:p>
    <w:p w14:paraId="7DB7A337" w14:textId="77777777" w:rsidR="00B020FA" w:rsidRPr="00B020FA" w:rsidRDefault="00B020FA" w:rsidP="00B020FA">
      <w:pPr>
        <w:jc w:val="both"/>
      </w:pPr>
      <w:r w:rsidRPr="00B020FA">
        <w:t xml:space="preserve">Piccirillo, A., Lavezzo, E., Niero, G., Moreno, A., Massi, P., Franchin, E., Toppo, S., Salata, C., &amp; Palù, G. (2016). </w:t>
      </w:r>
      <w:r w:rsidRPr="00B020FA">
        <w:rPr>
          <w:i/>
          <w:iCs/>
        </w:rPr>
        <w:t>Full genome sequence based comparative study of wild-type and vaccine strains of infectious laryngotracheitis virus from Italy.</w:t>
      </w:r>
      <w:r w:rsidRPr="00B020FA">
        <w:t xml:space="preserve"> </w:t>
      </w:r>
      <w:r w:rsidRPr="00B020FA">
        <w:rPr>
          <w:i/>
          <w:iCs/>
        </w:rPr>
        <w:t>PLoS ONE, 11</w:t>
      </w:r>
      <w:r w:rsidRPr="00B020FA">
        <w:t>, e0149529.</w:t>
      </w:r>
    </w:p>
    <w:p w14:paraId="08FD721D" w14:textId="77777777" w:rsidR="00B020FA" w:rsidRPr="00B020FA" w:rsidRDefault="00B020FA" w:rsidP="00B020FA">
      <w:pPr>
        <w:jc w:val="both"/>
      </w:pPr>
      <w:r w:rsidRPr="00B020FA">
        <w:t xml:space="preserve">Pitesky, M., Chin, R. P., Carnaccini, S., Sentíes–Cué, C. G., Charlton, B., Woolcock, P. R., &amp; Shivaprasad, H. L. (2014). </w:t>
      </w:r>
      <w:r w:rsidRPr="00B020FA">
        <w:rPr>
          <w:i/>
          <w:iCs/>
        </w:rPr>
        <w:t>Spatial and temporal epidemiology of infectious laryngotracheitis in central California: 2000–2012.</w:t>
      </w:r>
      <w:r w:rsidRPr="00B020FA">
        <w:t xml:space="preserve"> </w:t>
      </w:r>
      <w:r w:rsidRPr="00B020FA">
        <w:rPr>
          <w:i/>
          <w:iCs/>
        </w:rPr>
        <w:t>Avian Diseases, 58</w:t>
      </w:r>
      <w:r w:rsidRPr="00B020FA">
        <w:t>, 558–565.</w:t>
      </w:r>
    </w:p>
    <w:p w14:paraId="7E0F8332" w14:textId="77777777" w:rsidR="00B020FA" w:rsidRPr="00B020FA" w:rsidRDefault="00B020FA" w:rsidP="00B020FA">
      <w:pPr>
        <w:jc w:val="both"/>
      </w:pPr>
      <w:r w:rsidRPr="00B020FA">
        <w:t xml:space="preserve">Sary, K., Chénier, S., Gagnon, C. A., Shivaprasad, H. L., Sylvestre, D., &amp; Boulianne, M. (2017). </w:t>
      </w:r>
      <w:r w:rsidRPr="00B020FA">
        <w:rPr>
          <w:i/>
          <w:iCs/>
        </w:rPr>
        <w:t>Esophagitis and pharyngitis associated with avian infectious laryngotracheitis in backyard chickens: Two cases.</w:t>
      </w:r>
      <w:r w:rsidRPr="00B020FA">
        <w:t xml:space="preserve"> </w:t>
      </w:r>
      <w:r w:rsidRPr="00B020FA">
        <w:rPr>
          <w:i/>
          <w:iCs/>
        </w:rPr>
        <w:t>Avian Diseases, 61</w:t>
      </w:r>
      <w:r w:rsidRPr="00B020FA">
        <w:t>, 255–260.</w:t>
      </w:r>
    </w:p>
    <w:p w14:paraId="34290C00" w14:textId="77777777" w:rsidR="00B020FA" w:rsidRPr="00B020FA" w:rsidRDefault="00B020FA" w:rsidP="00B020FA">
      <w:pPr>
        <w:jc w:val="both"/>
      </w:pPr>
      <w:r w:rsidRPr="00B020FA">
        <w:t xml:space="preserve">Swayne, D. E., Boulianne, M., Logue, C. M., Mcdougald, L. R., Nair, V., &amp; Suarez, D. L. (2020). </w:t>
      </w:r>
      <w:r w:rsidRPr="00B020FA">
        <w:rPr>
          <w:i/>
          <w:iCs/>
        </w:rPr>
        <w:t>Diseases of poultry</w:t>
      </w:r>
      <w:r w:rsidRPr="00B020FA">
        <w:t xml:space="preserve"> (14th ed., pp. 189–209). Wiley-Blackwell.</w:t>
      </w:r>
    </w:p>
    <w:p w14:paraId="25BE3923" w14:textId="77777777" w:rsidR="00B020FA" w:rsidRPr="00B020FA" w:rsidRDefault="00B020FA" w:rsidP="00B020FA">
      <w:pPr>
        <w:jc w:val="both"/>
      </w:pPr>
      <w:r w:rsidRPr="00B020FA">
        <w:t xml:space="preserve">Tesfaye, A., Sahle, M., Sori, T., Kassa, T., Garoma, A., Koran, T., Dima, C., Guyassa, C., Hilu, H., Guta, S., et al. (2019). </w:t>
      </w:r>
      <w:r w:rsidRPr="00B020FA">
        <w:rPr>
          <w:i/>
          <w:iCs/>
        </w:rPr>
        <w:t>Infectious laryngotracheitis virus in commercial and backyard chicken production systems in central and south Ethiopia (First report) ILT in Ethiopian poultry production</w:t>
      </w:r>
      <w:r w:rsidRPr="00B020FA">
        <w:t xml:space="preserve">. </w:t>
      </w:r>
      <w:r w:rsidRPr="00B020FA">
        <w:rPr>
          <w:i/>
          <w:iCs/>
        </w:rPr>
        <w:t>Journal of Applied Poultry Research, 28</w:t>
      </w:r>
      <w:r w:rsidRPr="00B020FA">
        <w:t>, 1324–1329.</w:t>
      </w:r>
    </w:p>
    <w:p w14:paraId="0DA2C517" w14:textId="77777777" w:rsidR="00B020FA" w:rsidRPr="00B020FA" w:rsidRDefault="00B020FA" w:rsidP="00B020FA">
      <w:pPr>
        <w:jc w:val="both"/>
      </w:pPr>
      <w:r w:rsidRPr="00B020FA">
        <w:t xml:space="preserve">Tsiouris, V., Mavromati, N., Kiskinis, K., Mantzios, T., Homonnay, Z. G., Mato, T., Albert, M., Kiss, I., &amp; Georgopoulou, I. (n.d.). </w:t>
      </w:r>
      <w:r w:rsidRPr="00B020FA">
        <w:rPr>
          <w:i/>
          <w:iCs/>
        </w:rPr>
        <w:t>A case of infectious laryngotracheitis in an organic broiler chicken farm in Greece</w:t>
      </w:r>
      <w:r w:rsidRPr="00B020FA">
        <w:t xml:space="preserve"> [Case report].</w:t>
      </w:r>
    </w:p>
    <w:p w14:paraId="386FC0DF" w14:textId="77777777" w:rsidR="00B020FA" w:rsidRPr="00B020FA" w:rsidRDefault="00B020FA" w:rsidP="00B020FA">
      <w:pPr>
        <w:jc w:val="both"/>
      </w:pPr>
      <w:r w:rsidRPr="00B020FA">
        <w:lastRenderedPageBreak/>
        <w:t xml:space="preserve">Volkova, V., Thornton, D., Hubbard, S. A., Magee, D., Cummings, T., Luna, L., Watson, J., &amp; Wills, R. (2012). </w:t>
      </w:r>
      <w:r w:rsidRPr="00B020FA">
        <w:rPr>
          <w:i/>
          <w:iCs/>
        </w:rPr>
        <w:t>Factors associated with introduction of infectious laryngotracheitis virus on broiler farms during a localized outbreak.</w:t>
      </w:r>
      <w:r w:rsidRPr="00B020FA">
        <w:t xml:space="preserve"> </w:t>
      </w:r>
      <w:r w:rsidRPr="00B020FA">
        <w:rPr>
          <w:i/>
          <w:iCs/>
        </w:rPr>
        <w:t>Avian Diseases, 56</w:t>
      </w:r>
      <w:r w:rsidRPr="00B020FA">
        <w:t>, 521–528.</w:t>
      </w:r>
    </w:p>
    <w:p w14:paraId="324709B9" w14:textId="77777777" w:rsidR="00B020FA" w:rsidRPr="00B020FA" w:rsidRDefault="00B020FA" w:rsidP="00B020FA">
      <w:pPr>
        <w:jc w:val="both"/>
      </w:pPr>
      <w:r w:rsidRPr="00B020FA">
        <w:t xml:space="preserve">Wolfrum, N. (2020). </w:t>
      </w:r>
      <w:r w:rsidRPr="00B020FA">
        <w:rPr>
          <w:i/>
          <w:iCs/>
        </w:rPr>
        <w:t>Infectious laryngotracheitis: An update on current approaches for prevention of an old disease.</w:t>
      </w:r>
      <w:r w:rsidRPr="00B020FA">
        <w:t xml:space="preserve"> </w:t>
      </w:r>
      <w:r w:rsidRPr="00B020FA">
        <w:rPr>
          <w:i/>
          <w:iCs/>
        </w:rPr>
        <w:t>Journal of Animal Science, 98</w:t>
      </w:r>
      <w:r w:rsidRPr="00B020FA">
        <w:t>, S27–S35.</w:t>
      </w:r>
    </w:p>
    <w:p w14:paraId="6A4CC875" w14:textId="77777777" w:rsidR="00B020FA" w:rsidRPr="00B020FA" w:rsidRDefault="00B020FA" w:rsidP="00B020FA">
      <w:pPr>
        <w:jc w:val="both"/>
      </w:pPr>
      <w:r w:rsidRPr="00B020FA">
        <w:t xml:space="preserve">Yang, Z., Murata, S., Fujisawa, S., Takehara, M., Katakura, K., Hmoon, M. M., Win, S. Y., Bawm, S., Konnai, S., &amp; Ohashi, K. (2020). </w:t>
      </w:r>
      <w:r w:rsidRPr="00B020FA">
        <w:rPr>
          <w:i/>
          <w:iCs/>
        </w:rPr>
        <w:t>Molecular detection and genetic characterization of infectious laryngotracheitis virus in poultry in Myanmar.</w:t>
      </w:r>
      <w:r w:rsidRPr="00B020FA">
        <w:t xml:space="preserve"> </w:t>
      </w:r>
      <w:r w:rsidRPr="00B020FA">
        <w:rPr>
          <w:i/>
          <w:iCs/>
        </w:rPr>
        <w:t>BMC Veterinary Research, 16</w:t>
      </w:r>
      <w:r w:rsidRPr="00B020FA">
        <w:t>, 1–10.</w:t>
      </w:r>
    </w:p>
    <w:p w14:paraId="1EB330EF" w14:textId="77777777" w:rsidR="00B020FA" w:rsidRPr="00233C2F" w:rsidRDefault="00B020FA" w:rsidP="00B020FA">
      <w:pPr>
        <w:jc w:val="both"/>
      </w:pP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r w:rsidRPr="00B020FA">
        <w:br/>
      </w:r>
    </w:p>
    <w:p w14:paraId="42AF21EE" w14:textId="77777777" w:rsidR="00B020FA" w:rsidRPr="00233C2F" w:rsidRDefault="00B020FA" w:rsidP="00B020FA">
      <w:pPr>
        <w:jc w:val="both"/>
      </w:pPr>
    </w:p>
    <w:p w14:paraId="73372F46" w14:textId="77777777" w:rsidR="00B020FA" w:rsidRPr="00233C2F" w:rsidRDefault="00B020FA" w:rsidP="00B020FA">
      <w:pPr>
        <w:jc w:val="both"/>
      </w:pPr>
    </w:p>
    <w:p w14:paraId="330916C5" w14:textId="77777777" w:rsidR="00B020FA" w:rsidRPr="00233C2F" w:rsidRDefault="00B020FA" w:rsidP="00B020FA">
      <w:pPr>
        <w:jc w:val="both"/>
      </w:pPr>
    </w:p>
    <w:p w14:paraId="75544C71" w14:textId="77777777" w:rsidR="00B020FA" w:rsidRPr="00233C2F" w:rsidRDefault="00B020FA" w:rsidP="00B020FA">
      <w:pPr>
        <w:jc w:val="both"/>
      </w:pPr>
    </w:p>
    <w:p w14:paraId="73C7E4DC" w14:textId="77777777" w:rsidR="00B020FA" w:rsidRPr="00233C2F" w:rsidRDefault="00B020FA" w:rsidP="00B020FA">
      <w:pPr>
        <w:jc w:val="both"/>
      </w:pPr>
    </w:p>
    <w:p w14:paraId="640EA27A" w14:textId="77777777" w:rsidR="00B020FA" w:rsidRPr="00233C2F" w:rsidRDefault="00B020FA" w:rsidP="00B020FA">
      <w:pPr>
        <w:jc w:val="both"/>
      </w:pPr>
    </w:p>
    <w:p w14:paraId="530EF9D4" w14:textId="77777777" w:rsidR="00B020FA" w:rsidRPr="00233C2F" w:rsidRDefault="00B020FA" w:rsidP="00B020FA">
      <w:pPr>
        <w:jc w:val="both"/>
      </w:pPr>
    </w:p>
    <w:p w14:paraId="264AE046" w14:textId="77777777" w:rsidR="00B020FA" w:rsidRPr="00233C2F" w:rsidRDefault="00B020FA" w:rsidP="00B020FA">
      <w:pPr>
        <w:jc w:val="both"/>
      </w:pPr>
    </w:p>
    <w:p w14:paraId="6004E1FE" w14:textId="77777777" w:rsidR="00B020FA" w:rsidRPr="00233C2F" w:rsidRDefault="00B020FA" w:rsidP="00B020FA">
      <w:pPr>
        <w:jc w:val="both"/>
      </w:pPr>
    </w:p>
    <w:p w14:paraId="67EEC8B9" w14:textId="77777777" w:rsidR="00B020FA" w:rsidRPr="00233C2F" w:rsidRDefault="00B020FA" w:rsidP="00B020FA">
      <w:pPr>
        <w:jc w:val="both"/>
      </w:pPr>
    </w:p>
    <w:p w14:paraId="5B690109" w14:textId="77777777" w:rsidR="00B020FA" w:rsidRPr="00B020FA" w:rsidRDefault="00B020FA" w:rsidP="00B020FA">
      <w:pPr>
        <w:jc w:val="both"/>
      </w:pPr>
      <w:r w:rsidRPr="00B020FA">
        <w:rPr>
          <w:b/>
          <w:bCs/>
        </w:rPr>
        <w:lastRenderedPageBreak/>
        <w:t>Πρόοδοι και Κλινικές Εφαρμογές της Υπερηχογραφίας στη Χοιροτροφία </w:t>
      </w:r>
    </w:p>
    <w:p w14:paraId="6659A9A8" w14:textId="77777777" w:rsidR="00B020FA" w:rsidRPr="00B020FA" w:rsidRDefault="00B020FA" w:rsidP="00B020FA">
      <w:pPr>
        <w:jc w:val="both"/>
      </w:pPr>
      <w:r w:rsidRPr="00B020FA">
        <w:t>Συμεωνίδου Μαρία</w:t>
      </w:r>
      <w:r w:rsidRPr="00B020FA">
        <w:rPr>
          <w:vertAlign w:val="superscript"/>
        </w:rPr>
        <w:t>1</w:t>
      </w:r>
      <w:r w:rsidRPr="00B020FA">
        <w:t>, Χονδρογιάννη Μαρκέλλα</w:t>
      </w:r>
      <w:r w:rsidRPr="00B020FA">
        <w:rPr>
          <w:vertAlign w:val="superscript"/>
        </w:rPr>
        <w:t>1</w:t>
      </w:r>
      <w:r w:rsidRPr="00B020FA">
        <w:t>, Μπακιρτζή Κωνσταντίνα</w:t>
      </w:r>
      <w:r w:rsidRPr="00B020FA">
        <w:rPr>
          <w:vertAlign w:val="superscript"/>
        </w:rPr>
        <w:t>1</w:t>
      </w:r>
      <w:r w:rsidRPr="00B020FA">
        <w:t>, Παπακωνσταντίνου Γεώργιος</w:t>
      </w:r>
      <w:r w:rsidRPr="00B020FA">
        <w:rPr>
          <w:vertAlign w:val="superscript"/>
        </w:rPr>
        <w:t xml:space="preserve">2 </w:t>
      </w:r>
      <w:r w:rsidRPr="00B020FA">
        <w:t>, Σταμπίνας Ευάγγελος Γεώργιος</w:t>
      </w:r>
      <w:r w:rsidRPr="00B020FA">
        <w:rPr>
          <w:vertAlign w:val="superscript"/>
        </w:rPr>
        <w:t>3</w:t>
      </w:r>
    </w:p>
    <w:p w14:paraId="18CE87BF" w14:textId="77777777" w:rsidR="00B020FA" w:rsidRPr="00B020FA" w:rsidRDefault="00B020FA">
      <w:pPr>
        <w:numPr>
          <w:ilvl w:val="0"/>
          <w:numId w:val="54"/>
        </w:numPr>
        <w:jc w:val="both"/>
      </w:pPr>
      <w:r w:rsidRPr="00B020FA">
        <w:t>Προπτυχιακή Φοιτήτρια, Τμήμα Κτηνιατρικής, Σχολή Επιστημών Υγείας, Πανεπιστήμιο Θεσσαλίας</w:t>
      </w:r>
    </w:p>
    <w:p w14:paraId="463A6B93" w14:textId="77777777" w:rsidR="00B020FA" w:rsidRPr="00B020FA" w:rsidRDefault="00B020FA">
      <w:pPr>
        <w:numPr>
          <w:ilvl w:val="0"/>
          <w:numId w:val="54"/>
        </w:numPr>
        <w:jc w:val="both"/>
      </w:pPr>
      <w:r w:rsidRPr="00B020FA">
        <w:t>DVM, PhD, Επίκουρος καθηγητής, Παθολογική Κλινική, Τμήμα Κτηνιατρικής, Σχολή Επιστημών Υγείας, Πανεπιστήμιο Θεσσαλίας.</w:t>
      </w:r>
      <w:r w:rsidRPr="00B020FA">
        <w:rPr>
          <w:b/>
          <w:bCs/>
        </w:rPr>
        <w:t> </w:t>
      </w:r>
    </w:p>
    <w:p w14:paraId="4A3DC14A" w14:textId="77777777" w:rsidR="00B020FA" w:rsidRPr="00B020FA" w:rsidRDefault="00B020FA">
      <w:pPr>
        <w:numPr>
          <w:ilvl w:val="0"/>
          <w:numId w:val="54"/>
        </w:numPr>
        <w:jc w:val="both"/>
      </w:pPr>
      <w:r w:rsidRPr="00B020FA">
        <w:t>DVM, BSc, MSc, PhDc, Εργαστήριο Ανατομίας, Ιστολογίας, Εμβρυολογίας, Τμήμα Κτηνιατρικής, Σχολή Επιστημών Υγείας, Πανεπιστήμιο Θεσσαλίας</w:t>
      </w:r>
    </w:p>
    <w:p w14:paraId="1FA654A6" w14:textId="77777777" w:rsidR="00B020FA" w:rsidRPr="00B020FA" w:rsidRDefault="00B020FA" w:rsidP="00B020FA">
      <w:pPr>
        <w:ind w:left="720"/>
        <w:jc w:val="both"/>
      </w:pPr>
    </w:p>
    <w:p w14:paraId="3E2D1A63" w14:textId="77777777" w:rsidR="00B020FA" w:rsidRPr="00B020FA" w:rsidRDefault="00B020FA" w:rsidP="00B020FA">
      <w:pPr>
        <w:jc w:val="both"/>
      </w:pPr>
      <w:r w:rsidRPr="00B020FA">
        <w:rPr>
          <w:b/>
          <w:bCs/>
        </w:rPr>
        <w:t>Περίληψη</w:t>
      </w:r>
    </w:p>
    <w:p w14:paraId="635A0E05" w14:textId="77777777" w:rsidR="00B020FA" w:rsidRPr="00B020FA" w:rsidRDefault="00B020FA" w:rsidP="00B020FA">
      <w:pPr>
        <w:jc w:val="both"/>
      </w:pPr>
      <w:r w:rsidRPr="00B020FA">
        <w:t>Η υπερηχογραφία αποτελεί μία από τις πιο αξιόπιστες και ευρέως χρησιμοποιούμενες</w:t>
      </w:r>
    </w:p>
    <w:p w14:paraId="10D8CFA7" w14:textId="77777777" w:rsidR="00B020FA" w:rsidRPr="00B020FA" w:rsidRDefault="00B020FA" w:rsidP="00B020FA">
      <w:pPr>
        <w:jc w:val="both"/>
      </w:pPr>
      <w:r w:rsidRPr="00B020FA">
        <w:t>διαγνωστικές μεθόδους για την αξιολόγηση και τη διαχείριση της αναπαραγωγής στους χοίρους. Πρόκειται για μια μη επεμβατική, ταχεία και πρακτική τεχνική, που επιτρέπει την άμεση εκτίμηση του αναπαραγωγικού και ουροποιητικού συστήματος σε χοιρίδες και χοιρομητέρες.</w:t>
      </w:r>
    </w:p>
    <w:p w14:paraId="68A2FA7B" w14:textId="77777777" w:rsidR="00B020FA" w:rsidRPr="00B020FA" w:rsidRDefault="00B020FA" w:rsidP="00B020FA">
      <w:pPr>
        <w:jc w:val="both"/>
      </w:pPr>
      <w:r w:rsidRPr="00B020FA">
        <w:t>Αρχικά χρησιμοποιήθηκε κυρίως για τη διάγνωση της εγκυμοσύνης, όμως οι εξελίξεις στην</w:t>
      </w:r>
    </w:p>
    <w:p w14:paraId="4F701F18" w14:textId="77777777" w:rsidR="00B020FA" w:rsidRPr="00B020FA" w:rsidRDefault="00B020FA" w:rsidP="00B020FA">
      <w:pPr>
        <w:jc w:val="both"/>
      </w:pPr>
      <w:r w:rsidRPr="00B020FA">
        <w:t>ανάλυση εικόνας και στην τεχνολογία των ηχοβολέων διεύρυναν σημαντικά τις εφαρμογές της. Σήμερα, χρησιμοποιείται για την αξιολόγηση της μορφολογίας και λειτουργίας της μη εγκύου μήτρας και των ωοθηκών, την παρακολούθηση της εμβρυϊκής ανάπτυξης και τη διάγνωση σημαντικών παθολογικών καταστάσεων. Η παρούσα ανασκόπηση παρουσιάζει τις βασικές αρχές της υπερηχογραφίας B-mode και Doppler, καθώς και τη διαγνωστική τους αξία σε τακτικούς αναπαραγωγικούς ελέγχους. Περιγράφονται χαρακτηριστικά ευρήματα σε περιπτώσεις μητρίτιδας, ενδομητρίτιδας, κυστίτιδας και ωοθηκικών διαταραχών, αναδεικνύοντας τη σημασία της έγκαιρης διάγνωσης για τη βελτίωση της αναπαραγωγικής απόδοσης και της παραγωγικότητας. Επιπλέον, συμβάλλει στη λήψη καλύτερων αποφάσεων, στη μείωση των μη παραγωγικών ημερών και στην εφαρμογή στοχευμένων θεραπειών. Οι νέες τεχνολογίες αναμένεται να ενισχύσουν περαιτέρω τον ρόλο της στη σύγχρονη χοιροτροφία.</w:t>
      </w:r>
    </w:p>
    <w:p w14:paraId="1B65B077" w14:textId="77777777" w:rsidR="00B020FA" w:rsidRPr="00B020FA" w:rsidRDefault="00B020FA" w:rsidP="00B020FA">
      <w:pPr>
        <w:jc w:val="both"/>
      </w:pPr>
    </w:p>
    <w:p w14:paraId="272F896B" w14:textId="77777777" w:rsidR="00B020FA" w:rsidRPr="00B020FA" w:rsidRDefault="00B020FA" w:rsidP="00B020FA">
      <w:pPr>
        <w:jc w:val="both"/>
      </w:pPr>
      <w:r w:rsidRPr="00B020FA">
        <w:rPr>
          <w:b/>
          <w:bCs/>
        </w:rPr>
        <w:t>Βιβλιογραφία</w:t>
      </w:r>
    </w:p>
    <w:p w14:paraId="65B78C96" w14:textId="77777777" w:rsidR="00B020FA" w:rsidRPr="00B020FA" w:rsidRDefault="00B020FA" w:rsidP="00B020FA">
      <w:pPr>
        <w:jc w:val="both"/>
      </w:pPr>
      <w:r w:rsidRPr="00B020FA">
        <w:t xml:space="preserve">Papatsiros, V. (2022). </w:t>
      </w:r>
      <w:r w:rsidRPr="00B020FA">
        <w:rPr>
          <w:i/>
          <w:iCs/>
        </w:rPr>
        <w:t>Health and welfare management of high prolific sows</w:t>
      </w:r>
      <w:r w:rsidRPr="00B020FA">
        <w:t xml:space="preserve"> [Undergraduate textbook]. Kallipos, Open Academic Editions. </w:t>
      </w:r>
    </w:p>
    <w:p w14:paraId="4D99319B" w14:textId="77777777" w:rsidR="00B020FA" w:rsidRPr="00B020FA" w:rsidRDefault="00B020FA" w:rsidP="00B020FA">
      <w:pPr>
        <w:jc w:val="both"/>
      </w:pPr>
      <w:r w:rsidRPr="00B020FA">
        <w:t xml:space="preserve">Kauffold, J., Rautenberg, T., Hoffmann, G., Beynon, N., Schellenberg, I., &amp; Sobiraj, A. (2005). </w:t>
      </w:r>
      <w:r w:rsidRPr="00B020FA">
        <w:rPr>
          <w:i/>
          <w:iCs/>
        </w:rPr>
        <w:t>A field study into the appropriateness of transcutaneous ultrasonography in the diagnoses of uterine disorders in reproductively failed pigs.</w:t>
      </w:r>
      <w:r w:rsidRPr="00B020FA">
        <w:t> Theriogenology, 64(7), 1546-1558. </w:t>
      </w:r>
    </w:p>
    <w:p w14:paraId="0910DC5B" w14:textId="77777777" w:rsidR="00B020FA" w:rsidRPr="00233C2F" w:rsidRDefault="00B020FA" w:rsidP="00B020FA">
      <w:pPr>
        <w:jc w:val="both"/>
      </w:pPr>
      <w:r w:rsidRPr="00B020FA">
        <w:t xml:space="preserve">Knox, R. V., &amp; Althouse, G. C. (1999). </w:t>
      </w:r>
      <w:r w:rsidRPr="00B020FA">
        <w:rPr>
          <w:i/>
          <w:iCs/>
        </w:rPr>
        <w:t>Visualizing the reproductive tract of the female pig usingreal-time ultrasonography.</w:t>
      </w:r>
      <w:r w:rsidRPr="00B020FA">
        <w:t> Journal</w:t>
      </w:r>
      <w:r w:rsidRPr="00233C2F">
        <w:t xml:space="preserve"> </w:t>
      </w:r>
      <w:r w:rsidRPr="00B020FA">
        <w:t>of</w:t>
      </w:r>
      <w:r w:rsidRPr="00233C2F">
        <w:t xml:space="preserve"> </w:t>
      </w:r>
      <w:r w:rsidRPr="00B020FA">
        <w:t>Swine</w:t>
      </w:r>
      <w:r w:rsidRPr="00233C2F">
        <w:t xml:space="preserve"> </w:t>
      </w:r>
      <w:r w:rsidRPr="00B020FA">
        <w:t>Health</w:t>
      </w:r>
      <w:r w:rsidRPr="00233C2F">
        <w:t xml:space="preserve"> </w:t>
      </w:r>
      <w:r w:rsidRPr="00B020FA">
        <w:t>and</w:t>
      </w:r>
      <w:r w:rsidRPr="00233C2F">
        <w:t xml:space="preserve"> </w:t>
      </w:r>
      <w:r w:rsidRPr="00B020FA">
        <w:t>Production</w:t>
      </w:r>
      <w:r w:rsidRPr="00233C2F">
        <w:t>,</w:t>
      </w:r>
      <w:r w:rsidRPr="00B020FA">
        <w:t> </w:t>
      </w:r>
      <w:r w:rsidRPr="00233C2F">
        <w:t>7(5), 207-215.</w:t>
      </w:r>
    </w:p>
    <w:p w14:paraId="4BFD8176" w14:textId="73FC2460" w:rsidR="00B020FA" w:rsidRPr="00233C2F" w:rsidRDefault="00B020FA" w:rsidP="00844433">
      <w:pPr>
        <w:jc w:val="both"/>
      </w:pPr>
    </w:p>
    <w:p w14:paraId="2B0C6253" w14:textId="77777777" w:rsidR="00B020FA" w:rsidRPr="00233C2F" w:rsidRDefault="00B020FA">
      <w:r w:rsidRPr="00233C2F">
        <w:br w:type="page"/>
      </w:r>
    </w:p>
    <w:p w14:paraId="21B9E344" w14:textId="77777777" w:rsidR="00B020FA" w:rsidRPr="00B020FA" w:rsidRDefault="00B020FA" w:rsidP="00B020FA">
      <w:pPr>
        <w:jc w:val="both"/>
      </w:pPr>
      <w:r w:rsidRPr="00B020FA">
        <w:rPr>
          <w:b/>
          <w:bCs/>
        </w:rPr>
        <w:lastRenderedPageBreak/>
        <w:t>Ολική Ενδοφλέβια Αναισθησία με Έγχυση Προποφόλης Προκαθορισμένου Στόχου</w:t>
      </w:r>
    </w:p>
    <w:p w14:paraId="6C736921" w14:textId="26EEAA1B" w:rsidR="00B020FA" w:rsidRPr="00233C2F" w:rsidRDefault="00B020FA" w:rsidP="00B020FA">
      <w:pPr>
        <w:jc w:val="both"/>
      </w:pPr>
      <w:r w:rsidRPr="00B020FA">
        <w:t>Ιωάννης Ποταμιάνος</w:t>
      </w:r>
      <w:r w:rsidRPr="00B020FA">
        <w:rPr>
          <w:vertAlign w:val="superscript"/>
        </w:rPr>
        <w:t>1</w:t>
      </w:r>
      <w:r w:rsidRPr="00B020FA">
        <w:t xml:space="preserve"> , Βασίλης Ζαπρίδης</w:t>
      </w:r>
      <w:r w:rsidRPr="00B020FA">
        <w:rPr>
          <w:vertAlign w:val="superscript"/>
        </w:rPr>
        <w:t>2</w:t>
      </w:r>
      <w:r w:rsidRPr="00B020FA">
        <w:t xml:space="preserve"> , Γεώργιος Καζάκος</w:t>
      </w:r>
      <w:r w:rsidRPr="00B020FA">
        <w:rPr>
          <w:vertAlign w:val="superscript"/>
        </w:rPr>
        <w:t>3</w:t>
      </w:r>
    </w:p>
    <w:p w14:paraId="22951B3D" w14:textId="77777777" w:rsidR="00B020FA" w:rsidRPr="00B020FA" w:rsidRDefault="00B020FA">
      <w:pPr>
        <w:numPr>
          <w:ilvl w:val="0"/>
          <w:numId w:val="55"/>
        </w:numPr>
        <w:jc w:val="both"/>
      </w:pPr>
      <w:r w:rsidRPr="00B020FA">
        <w:t>Προπτυχιακός Φοιτητής, Τμήμα Κτηνιατρικής, Σχολή Επιστημών Υγείας, Αριστοτέλειο Πανεπιστήμιο Θεσσαλονίκης </w:t>
      </w:r>
    </w:p>
    <w:p w14:paraId="4D42BD90" w14:textId="77777777" w:rsidR="00B020FA" w:rsidRPr="00B020FA" w:rsidRDefault="00B020FA">
      <w:pPr>
        <w:numPr>
          <w:ilvl w:val="0"/>
          <w:numId w:val="55"/>
        </w:numPr>
        <w:jc w:val="both"/>
      </w:pPr>
      <w:r w:rsidRPr="00B020FA">
        <w:t>Ειδικευόμενος Ευρωπαϊκού Κολλεγίου Αναισθησίας και Αναλγησίας, Μεταπτυχιακός φοιτητής αναισθησιολογίας, Τμήμα Κτηνιατρικής, Σχολή Επιστημών Υγείας, Αριστοτέλειο Πανεπιστήμιο Θεσσαλονίκης</w:t>
      </w:r>
    </w:p>
    <w:p w14:paraId="146F2551" w14:textId="77777777" w:rsidR="00B020FA" w:rsidRPr="00B020FA" w:rsidRDefault="00B020FA">
      <w:pPr>
        <w:numPr>
          <w:ilvl w:val="0"/>
          <w:numId w:val="55"/>
        </w:numPr>
        <w:jc w:val="both"/>
      </w:pPr>
      <w:r w:rsidRPr="00B020FA">
        <w:t>Καθηγητής Χειρουργικής και Αναισθησιολογίας – Εντατικής Θεραπείας, Τμήμα Κτηνιατρικής, Σχολή Επιστημών Υγείας, Αριστοτέλειο Πανεπιστήμιο Θεσσαλονίκης</w:t>
      </w:r>
    </w:p>
    <w:p w14:paraId="06F74C67" w14:textId="77777777" w:rsidR="00B020FA" w:rsidRPr="00B020FA" w:rsidRDefault="00B020FA" w:rsidP="00B020FA">
      <w:pPr>
        <w:jc w:val="both"/>
      </w:pPr>
      <w:r w:rsidRPr="00B020FA">
        <w:t> </w:t>
      </w:r>
    </w:p>
    <w:p w14:paraId="583AB2D4" w14:textId="77777777" w:rsidR="00B020FA" w:rsidRPr="00B020FA" w:rsidRDefault="00B020FA" w:rsidP="00B020FA">
      <w:pPr>
        <w:jc w:val="both"/>
      </w:pPr>
      <w:r w:rsidRPr="00B020FA">
        <w:rPr>
          <w:b/>
          <w:bCs/>
        </w:rPr>
        <w:t>Περίληψη</w:t>
      </w:r>
    </w:p>
    <w:p w14:paraId="3B4CCAEE" w14:textId="77777777" w:rsidR="00B020FA" w:rsidRPr="00233C2F" w:rsidRDefault="00B020FA" w:rsidP="00B020FA">
      <w:pPr>
        <w:jc w:val="both"/>
      </w:pPr>
      <w:r w:rsidRPr="00B020FA">
        <w:t>Η ολική ενδοφλέβια αναισθησία με έγχυση προποφόλης προκαθορισμένου στόχου αλλάζει τα δεδομένα στην κτηνιατρική αναισθησιολογία. Σε αντίθεση με την κλασική μέθοδο, καταργεί τα εισπνευστικά αναισθητικά, προσφέρει ακρίβεια στο βάθος αναισθησίας, ταχύτατη ανάρρωση και έχει σημαντικά περιβαλλοντικά οφέλη, καθώς δεν απελευθερώνονται επιβλαβή αέρια στην ατμόσφαιρα. Το «κλειδί» της μεθόδου είναι η χρήση του προγράμματος  simTIVA.vet, που υπολογίζει σε πραγματικό χρόνο τη συγκέντρωση της προποφόλης στο αίμα και στον φλοιό του εγκεφάλου εξασφαλίζοντας επιστημονική ακρίβεια στο βάθος αναισθησίας. Είναι μια μέθοδος που συνδυάζει την κλινική ακρίβεια με την οικονομική απόδοση, καθιστώντας την μια ακόμα επιλογή για μια σύγχρονη κλινική. Τέλος, αποτελεί το μέλλον στον κλάδο της αναισθησιολογίας, καθώς η σύγχρονη τάση απομακρύνεται σταδιακά από τα εισπνευστικά αναισθητικά, στρεφόμενη προς την ολική ενδοφλέβια αναισθησία.</w:t>
      </w:r>
    </w:p>
    <w:p w14:paraId="0675E748" w14:textId="0C11E687" w:rsidR="00B020FA" w:rsidRPr="00233C2F" w:rsidRDefault="00B020FA" w:rsidP="00B020FA">
      <w:pPr>
        <w:jc w:val="both"/>
      </w:pPr>
    </w:p>
    <w:p w14:paraId="74366D6D" w14:textId="77777777" w:rsidR="00B020FA" w:rsidRPr="00B020FA" w:rsidRDefault="00B020FA" w:rsidP="00B020FA">
      <w:pPr>
        <w:jc w:val="both"/>
      </w:pPr>
      <w:r w:rsidRPr="00B020FA">
        <w:rPr>
          <w:b/>
          <w:bCs/>
        </w:rPr>
        <w:t>Βιβλιογραφία</w:t>
      </w:r>
    </w:p>
    <w:p w14:paraId="6710D83F" w14:textId="77777777" w:rsidR="00B020FA" w:rsidRPr="00B020FA" w:rsidRDefault="00B020FA" w:rsidP="00B020FA">
      <w:pPr>
        <w:jc w:val="both"/>
      </w:pPr>
      <w:r w:rsidRPr="00B020FA">
        <w:t xml:space="preserve">Beths, T. (2008). </w:t>
      </w:r>
      <w:r w:rsidRPr="00B020FA">
        <w:rPr>
          <w:i/>
          <w:iCs/>
        </w:rPr>
        <w:t>Total intravenous anaesthesia in dogs: development of a target controlled infusion (TCI) scheme for propofol</w:t>
      </w:r>
      <w:r w:rsidRPr="00B020FA">
        <w:t xml:space="preserve"> (Doctoral dissertation, University of Glasgow).</w:t>
      </w:r>
    </w:p>
    <w:p w14:paraId="0C44C73A" w14:textId="77777777" w:rsidR="00B020FA" w:rsidRPr="00B020FA" w:rsidRDefault="00B020FA" w:rsidP="00B020FA">
      <w:pPr>
        <w:jc w:val="both"/>
      </w:pPr>
      <w:r w:rsidRPr="00B020FA">
        <w:t xml:space="preserve">Absalom, A. R., &amp; Mason, K. P. (2017). </w:t>
      </w:r>
      <w:r w:rsidRPr="00B020FA">
        <w:rPr>
          <w:i/>
          <w:iCs/>
        </w:rPr>
        <w:t>Total intravenous anesthesia and target controlled infusions.</w:t>
      </w:r>
      <w:r w:rsidRPr="00B020FA">
        <w:t xml:space="preserve"> Springer.</w:t>
      </w:r>
    </w:p>
    <w:p w14:paraId="459BA37C" w14:textId="77777777" w:rsidR="00B020FA" w:rsidRPr="00B020FA" w:rsidRDefault="00B020FA" w:rsidP="00B020FA">
      <w:pPr>
        <w:jc w:val="both"/>
      </w:pPr>
      <w:r w:rsidRPr="00B020FA">
        <w:t xml:space="preserve">Eleveld, D. J., Colin, P., Absalom, A. R., &amp; Struys, M. M. (2018). </w:t>
      </w:r>
      <w:r w:rsidRPr="00B020FA">
        <w:rPr>
          <w:i/>
          <w:iCs/>
        </w:rPr>
        <w:t>Pharmacokinetic–pharmacodynamic model for propofol for broad application in anaesthesia and sedation.</w:t>
      </w:r>
      <w:r w:rsidRPr="00B020FA">
        <w:t xml:space="preserve"> </w:t>
      </w:r>
      <w:r w:rsidRPr="00B020FA">
        <w:rPr>
          <w:i/>
          <w:iCs/>
        </w:rPr>
        <w:t>British journal of anaesthesia</w:t>
      </w:r>
      <w:r w:rsidRPr="00B020FA">
        <w:t xml:space="preserve">, </w:t>
      </w:r>
      <w:r w:rsidRPr="00B020FA">
        <w:rPr>
          <w:i/>
          <w:iCs/>
        </w:rPr>
        <w:t>120</w:t>
      </w:r>
      <w:r w:rsidRPr="00B020FA">
        <w:t>(5), 942-959. </w:t>
      </w:r>
    </w:p>
    <w:p w14:paraId="7EDB9459" w14:textId="77777777" w:rsidR="00B020FA" w:rsidRPr="00B020FA" w:rsidRDefault="00B020FA" w:rsidP="00B020FA">
      <w:pPr>
        <w:jc w:val="both"/>
      </w:pPr>
      <w:r w:rsidRPr="00B020FA">
        <w:t xml:space="preserve">Musk, G. C., Pang, D. S., Beths, T., &amp; Flaherty, D. A. (2005). </w:t>
      </w:r>
      <w:r w:rsidRPr="00B020FA">
        <w:rPr>
          <w:i/>
          <w:iCs/>
        </w:rPr>
        <w:t>Target</w:t>
      </w:r>
      <w:r w:rsidRPr="00B020FA">
        <w:rPr>
          <w:rFonts w:ascii="Cambria Math" w:hAnsi="Cambria Math" w:cs="Cambria Math"/>
          <w:i/>
          <w:iCs/>
        </w:rPr>
        <w:t>‐</w:t>
      </w:r>
      <w:r w:rsidRPr="00B020FA">
        <w:rPr>
          <w:i/>
          <w:iCs/>
        </w:rPr>
        <w:t>controlled infusion of propofol in dogs</w:t>
      </w:r>
      <w:r w:rsidRPr="00B020FA">
        <w:rPr>
          <w:rFonts w:ascii="Aptos" w:hAnsi="Aptos" w:cs="Aptos"/>
          <w:i/>
          <w:iCs/>
        </w:rPr>
        <w:t>–</w:t>
      </w:r>
      <w:r w:rsidRPr="00B020FA">
        <w:rPr>
          <w:i/>
          <w:iCs/>
        </w:rPr>
        <w:t>evaluation of four targets for induction of anaesthesia.</w:t>
      </w:r>
      <w:r w:rsidRPr="00B020FA">
        <w:t xml:space="preserve"> </w:t>
      </w:r>
      <w:r w:rsidRPr="00B020FA">
        <w:rPr>
          <w:i/>
          <w:iCs/>
        </w:rPr>
        <w:t>Veterinary Record</w:t>
      </w:r>
      <w:r w:rsidRPr="00B020FA">
        <w:t xml:space="preserve">, </w:t>
      </w:r>
      <w:r w:rsidRPr="00B020FA">
        <w:rPr>
          <w:i/>
          <w:iCs/>
        </w:rPr>
        <w:t>157</w:t>
      </w:r>
      <w:r w:rsidRPr="00B020FA">
        <w:t>(24), 766-770. </w:t>
      </w:r>
    </w:p>
    <w:p w14:paraId="48D72566" w14:textId="77777777" w:rsidR="00B020FA" w:rsidRPr="00B020FA" w:rsidRDefault="00B020FA" w:rsidP="00B020FA">
      <w:pPr>
        <w:jc w:val="both"/>
      </w:pPr>
      <w:r w:rsidRPr="00B020FA">
        <w:t xml:space="preserve">Walsh, C. T. (2018). </w:t>
      </w:r>
      <w:r w:rsidRPr="00B020FA">
        <w:rPr>
          <w:i/>
          <w:iCs/>
        </w:rPr>
        <w:t>Propofol: milk of amnesia.</w:t>
      </w:r>
      <w:r w:rsidRPr="00B020FA">
        <w:t xml:space="preserve"> </w:t>
      </w:r>
      <w:r w:rsidRPr="00B020FA">
        <w:rPr>
          <w:i/>
          <w:iCs/>
        </w:rPr>
        <w:t>Cell</w:t>
      </w:r>
      <w:r w:rsidRPr="00B020FA">
        <w:t xml:space="preserve">, </w:t>
      </w:r>
      <w:r w:rsidRPr="00B020FA">
        <w:rPr>
          <w:i/>
          <w:iCs/>
        </w:rPr>
        <w:t>175</w:t>
      </w:r>
      <w:r w:rsidRPr="00B020FA">
        <w:t>(1), 10-13.  </w:t>
      </w:r>
    </w:p>
    <w:p w14:paraId="00C298B1" w14:textId="77777777" w:rsidR="00B020FA" w:rsidRPr="00B020FA" w:rsidRDefault="00B020FA" w:rsidP="00B020FA">
      <w:pPr>
        <w:jc w:val="both"/>
      </w:pPr>
      <w:r w:rsidRPr="00B020FA">
        <w:rPr>
          <w:i/>
          <w:iCs/>
        </w:rPr>
        <w:t>"Δεξμεδετομιδίνη (Dexmedetomidine)."</w:t>
      </w:r>
      <w:r w:rsidRPr="00B020FA">
        <w:t xml:space="preserve"> </w:t>
      </w:r>
      <w:r w:rsidRPr="00B020FA">
        <w:rPr>
          <w:i/>
          <w:iCs/>
        </w:rPr>
        <w:t>Γαληνός Vet</w:t>
      </w:r>
      <w:r w:rsidRPr="00B020FA">
        <w:t xml:space="preserve">, 2024, </w:t>
      </w:r>
      <w:hyperlink r:id="rId75" w:history="1">
        <w:r w:rsidRPr="00B020FA">
          <w:rPr>
            <w:rStyle w:val="-"/>
          </w:rPr>
          <w:t>.</w:t>
        </w:r>
      </w:hyperlink>
    </w:p>
    <w:p w14:paraId="57F0563A" w14:textId="4C79443E" w:rsidR="00B020FA" w:rsidRDefault="00B020FA" w:rsidP="00B020FA">
      <w:pPr>
        <w:jc w:val="both"/>
      </w:pPr>
      <w:r w:rsidRPr="00B020FA">
        <w:rPr>
          <w:i/>
          <w:iCs/>
        </w:rPr>
        <w:t>"Μεθαδόνη (Methadone)."</w:t>
      </w:r>
      <w:r w:rsidRPr="00B020FA">
        <w:t xml:space="preserve"> Γαληνός Vet, 2024.</w:t>
      </w:r>
    </w:p>
    <w:p w14:paraId="784035AD" w14:textId="1D977F03" w:rsidR="00B020FA" w:rsidRPr="00B020FA" w:rsidRDefault="00B020FA" w:rsidP="00B020FA">
      <w:pPr>
        <w:jc w:val="both"/>
      </w:pPr>
      <w:r w:rsidRPr="00B020FA">
        <w:lastRenderedPageBreak/>
        <w:t xml:space="preserve">Duval Neto, G. F. (Ed.). (2014). </w:t>
      </w:r>
      <w:r w:rsidRPr="00B020FA">
        <w:rPr>
          <w:i/>
          <w:iCs/>
        </w:rPr>
        <w:t xml:space="preserve">Occupational well-being in anesthesiologists </w:t>
      </w:r>
      <w:r w:rsidRPr="00B020FA">
        <w:t>(Update in 2018). Brazilian Society of Anesthesiology.</w:t>
      </w:r>
    </w:p>
    <w:p w14:paraId="52581F83" w14:textId="77777777" w:rsidR="00B020FA" w:rsidRPr="00B020FA" w:rsidRDefault="00B020FA" w:rsidP="00B020FA">
      <w:pPr>
        <w:jc w:val="both"/>
      </w:pPr>
      <w:r w:rsidRPr="00B020FA">
        <w:rPr>
          <w:i/>
          <w:iCs/>
        </w:rPr>
        <w:t>"Προποφόλη (Propofol)."</w:t>
      </w:r>
      <w:r w:rsidRPr="00B020FA">
        <w:t xml:space="preserve"> Γαληνός, 2024.</w:t>
      </w:r>
    </w:p>
    <w:p w14:paraId="0BE7E271" w14:textId="77777777" w:rsidR="00B020FA" w:rsidRPr="00233C2F" w:rsidRDefault="00B020FA" w:rsidP="00B020FA">
      <w:pPr>
        <w:jc w:val="both"/>
      </w:pPr>
      <w:r w:rsidRPr="00B020FA">
        <w:br/>
      </w:r>
      <w:r w:rsidRPr="00B020FA">
        <w:br/>
      </w:r>
      <w:r w:rsidRPr="00B020FA">
        <w:br/>
      </w:r>
      <w:r w:rsidRPr="00B020FA">
        <w:br/>
      </w:r>
      <w:r w:rsidRPr="00B020FA">
        <w:br/>
      </w:r>
      <w:r w:rsidRPr="00B020FA">
        <w:br/>
      </w:r>
      <w:r w:rsidRPr="00B020FA">
        <w:br/>
      </w:r>
      <w:r w:rsidRPr="00B020FA">
        <w:br/>
      </w:r>
    </w:p>
    <w:p w14:paraId="0317E183" w14:textId="77777777" w:rsidR="00B020FA" w:rsidRPr="00233C2F" w:rsidRDefault="00B020FA" w:rsidP="00B020FA">
      <w:pPr>
        <w:jc w:val="both"/>
      </w:pPr>
    </w:p>
    <w:p w14:paraId="31F81474" w14:textId="77777777" w:rsidR="00B020FA" w:rsidRPr="00233C2F" w:rsidRDefault="00B020FA" w:rsidP="00B020FA">
      <w:pPr>
        <w:jc w:val="both"/>
      </w:pPr>
    </w:p>
    <w:p w14:paraId="3D7654A5" w14:textId="77777777" w:rsidR="00B020FA" w:rsidRPr="00233C2F" w:rsidRDefault="00B020FA" w:rsidP="00B020FA">
      <w:pPr>
        <w:jc w:val="both"/>
      </w:pPr>
    </w:p>
    <w:p w14:paraId="54E58CF5" w14:textId="77777777" w:rsidR="00B020FA" w:rsidRPr="00233C2F" w:rsidRDefault="00B020FA" w:rsidP="00B020FA">
      <w:pPr>
        <w:jc w:val="both"/>
      </w:pPr>
    </w:p>
    <w:p w14:paraId="6E085669" w14:textId="77777777" w:rsidR="00B020FA" w:rsidRPr="00233C2F" w:rsidRDefault="00B020FA" w:rsidP="00B020FA">
      <w:pPr>
        <w:jc w:val="both"/>
      </w:pPr>
    </w:p>
    <w:p w14:paraId="6E25BDF5" w14:textId="77777777" w:rsidR="00B020FA" w:rsidRPr="00233C2F" w:rsidRDefault="00B020FA" w:rsidP="00B020FA">
      <w:pPr>
        <w:jc w:val="both"/>
      </w:pPr>
    </w:p>
    <w:p w14:paraId="34FAAB26" w14:textId="77777777" w:rsidR="00B020FA" w:rsidRPr="00233C2F" w:rsidRDefault="00B020FA" w:rsidP="00B020FA">
      <w:pPr>
        <w:jc w:val="both"/>
      </w:pPr>
    </w:p>
    <w:p w14:paraId="6C1B1593" w14:textId="77777777" w:rsidR="00B020FA" w:rsidRPr="00233C2F" w:rsidRDefault="00B020FA" w:rsidP="00B020FA">
      <w:pPr>
        <w:jc w:val="both"/>
      </w:pPr>
    </w:p>
    <w:p w14:paraId="2FF7AA2B" w14:textId="77777777" w:rsidR="00B020FA" w:rsidRPr="00233C2F" w:rsidRDefault="00B020FA" w:rsidP="00B020FA">
      <w:pPr>
        <w:jc w:val="both"/>
      </w:pPr>
    </w:p>
    <w:p w14:paraId="263659AC" w14:textId="77777777" w:rsidR="00B020FA" w:rsidRPr="00233C2F" w:rsidRDefault="00B020FA" w:rsidP="00B020FA">
      <w:pPr>
        <w:jc w:val="both"/>
      </w:pPr>
    </w:p>
    <w:p w14:paraId="360F5EB4" w14:textId="77777777" w:rsidR="00B020FA" w:rsidRPr="00233C2F" w:rsidRDefault="00B020FA" w:rsidP="00B020FA">
      <w:pPr>
        <w:jc w:val="both"/>
      </w:pPr>
    </w:p>
    <w:p w14:paraId="4CC0D057" w14:textId="77777777" w:rsidR="00B020FA" w:rsidRPr="00233C2F" w:rsidRDefault="00B020FA" w:rsidP="00B020FA">
      <w:pPr>
        <w:jc w:val="both"/>
      </w:pPr>
    </w:p>
    <w:p w14:paraId="18F1052A" w14:textId="77777777" w:rsidR="00B020FA" w:rsidRPr="00233C2F" w:rsidRDefault="00B020FA" w:rsidP="00B020FA">
      <w:pPr>
        <w:jc w:val="both"/>
      </w:pPr>
    </w:p>
    <w:p w14:paraId="07012AD2" w14:textId="77777777" w:rsidR="00B020FA" w:rsidRPr="00233C2F" w:rsidRDefault="00B020FA" w:rsidP="00B020FA">
      <w:pPr>
        <w:jc w:val="both"/>
      </w:pPr>
    </w:p>
    <w:p w14:paraId="3C3E75F6" w14:textId="77777777" w:rsidR="00B020FA" w:rsidRPr="00233C2F" w:rsidRDefault="00B020FA" w:rsidP="00B020FA">
      <w:pPr>
        <w:jc w:val="both"/>
      </w:pPr>
    </w:p>
    <w:p w14:paraId="0E88BFA8" w14:textId="77777777" w:rsidR="00B020FA" w:rsidRPr="00233C2F" w:rsidRDefault="00B020FA" w:rsidP="00B020FA">
      <w:pPr>
        <w:jc w:val="both"/>
      </w:pPr>
    </w:p>
    <w:p w14:paraId="795DC30C" w14:textId="77777777" w:rsidR="00B020FA" w:rsidRPr="00233C2F" w:rsidRDefault="00B020FA" w:rsidP="00B020FA">
      <w:pPr>
        <w:jc w:val="both"/>
      </w:pPr>
    </w:p>
    <w:p w14:paraId="20AAB0B8" w14:textId="77777777" w:rsidR="00B020FA" w:rsidRPr="00233C2F" w:rsidRDefault="00B020FA" w:rsidP="00B020FA">
      <w:pPr>
        <w:jc w:val="both"/>
      </w:pPr>
    </w:p>
    <w:p w14:paraId="6FEFB87B" w14:textId="77777777" w:rsidR="00B020FA" w:rsidRPr="00233C2F" w:rsidRDefault="00B020FA" w:rsidP="00B020FA">
      <w:pPr>
        <w:jc w:val="both"/>
      </w:pPr>
    </w:p>
    <w:p w14:paraId="43AA3EE8" w14:textId="77777777" w:rsidR="00B020FA" w:rsidRPr="00233C2F" w:rsidRDefault="00B020FA" w:rsidP="00B020FA">
      <w:pPr>
        <w:jc w:val="both"/>
      </w:pPr>
    </w:p>
    <w:p w14:paraId="19BDD390" w14:textId="5A853760" w:rsidR="00B020FA" w:rsidRPr="00B020FA" w:rsidRDefault="00B020FA" w:rsidP="00B020FA">
      <w:pPr>
        <w:jc w:val="both"/>
      </w:pPr>
      <w:r w:rsidRPr="00B020FA">
        <w:br/>
      </w:r>
    </w:p>
    <w:p w14:paraId="2269EF2A" w14:textId="77777777" w:rsidR="00B020FA" w:rsidRPr="00B020FA" w:rsidRDefault="00B020FA" w:rsidP="00B020FA">
      <w:pPr>
        <w:jc w:val="both"/>
      </w:pPr>
      <w:r w:rsidRPr="00B020FA">
        <w:rPr>
          <w:b/>
          <w:bCs/>
        </w:rPr>
        <w:lastRenderedPageBreak/>
        <w:t>Αναδρομική Μελέτη Αναισθητικής Διαχείρισης Χειρουργικών Περιστατικών Αποκατάστασης Αναστομώσεων της Πυλαίας Φλέβας</w:t>
      </w:r>
    </w:p>
    <w:p w14:paraId="52623CEE" w14:textId="208D1C10" w:rsidR="00B020FA" w:rsidRPr="00233C2F" w:rsidRDefault="00B020FA" w:rsidP="00B020FA">
      <w:pPr>
        <w:jc w:val="both"/>
      </w:pPr>
      <w:r w:rsidRPr="00B020FA">
        <w:t>Σταυρίδης Φώτιος</w:t>
      </w:r>
      <w:r w:rsidRPr="00B020FA">
        <w:rPr>
          <w:vertAlign w:val="superscript"/>
        </w:rPr>
        <w:t>1</w:t>
      </w:r>
      <w:r w:rsidRPr="00B020FA">
        <w:t>, Σκαμπάς Νικήτας-Μύρωνας</w:t>
      </w:r>
      <w:r w:rsidRPr="00B020FA">
        <w:rPr>
          <w:vertAlign w:val="superscript"/>
        </w:rPr>
        <w:t>1</w:t>
      </w:r>
      <w:r w:rsidRPr="00B020FA">
        <w:t>, Αναγνώστου Τηλέμαχος</w:t>
      </w:r>
      <w:r w:rsidRPr="00B020FA">
        <w:rPr>
          <w:vertAlign w:val="superscript"/>
        </w:rPr>
        <w:t>2</w:t>
      </w:r>
    </w:p>
    <w:p w14:paraId="1DC84690" w14:textId="77777777" w:rsidR="00B020FA" w:rsidRPr="00B020FA" w:rsidRDefault="00B020FA">
      <w:pPr>
        <w:numPr>
          <w:ilvl w:val="0"/>
          <w:numId w:val="56"/>
        </w:numPr>
        <w:jc w:val="both"/>
      </w:pPr>
      <w:r w:rsidRPr="00B020FA">
        <w:t>Προπτυχιακός Φοιτητής, Τμήμα Κτηνιατρικής, Σχολή Επιστημών Υγείας, Αριστοτέλειο Πανεπιστήμιο Θεσσαλονίκης</w:t>
      </w:r>
    </w:p>
    <w:p w14:paraId="2747BC75" w14:textId="77777777" w:rsidR="00B020FA" w:rsidRPr="00B020FA" w:rsidRDefault="00B020FA">
      <w:pPr>
        <w:numPr>
          <w:ilvl w:val="0"/>
          <w:numId w:val="56"/>
        </w:numPr>
        <w:jc w:val="both"/>
      </w:pPr>
      <w:r w:rsidRPr="00B020FA">
        <w:t>Καθηγητής, Μονάδα Αναισθησιολογίας και Εντατικής Θεραπείας, Κλινική Ζώων Συντροφιάς, Τμήμα Κτηνιατρικής, Σχολή Επιστημών Υγείας, Αριστοτέλειο Πανεπιστήμιο Θεσσαλονίκης</w:t>
      </w:r>
    </w:p>
    <w:p w14:paraId="0615AC8C" w14:textId="77777777" w:rsidR="00B020FA" w:rsidRPr="00B020FA" w:rsidRDefault="00B020FA" w:rsidP="00B020FA">
      <w:pPr>
        <w:jc w:val="both"/>
      </w:pPr>
    </w:p>
    <w:p w14:paraId="08893AC0" w14:textId="77777777" w:rsidR="00B020FA" w:rsidRPr="00B020FA" w:rsidRDefault="00B020FA" w:rsidP="00B020FA">
      <w:pPr>
        <w:jc w:val="both"/>
      </w:pPr>
      <w:r w:rsidRPr="00B020FA">
        <w:rPr>
          <w:b/>
          <w:bCs/>
        </w:rPr>
        <w:t>Περίληψη</w:t>
      </w:r>
    </w:p>
    <w:p w14:paraId="139F7A98" w14:textId="77777777" w:rsidR="00B020FA" w:rsidRPr="00B020FA" w:rsidRDefault="00B020FA" w:rsidP="00B020FA">
      <w:pPr>
        <w:jc w:val="both"/>
      </w:pPr>
      <w:r w:rsidRPr="00B020FA">
        <w:t>Οι αναστομώσεις της πυλαίας φλέβας, εξωηπατικές ή ενδοηπατικές, είναι επίκτητες ή συγγενείς αγγειακές ανωμαλίες που εκτρέπουν το αίμα στη συστηματική κυκλοφορία, παρακάμπτοντας τα κολπώδη τριχοειδή του ήπατος. Το ήπαρ είναι ένα όργανο στο οποίο μεταβολίζονται πολλά εκ των φαρμάκων που χρησιμοποιούνται στην προαναισθητική αγωγή, εγκατάσταση και διατήρηση της αναισθησίας αλλά και για την αναλγησία. Η γνώση της φαρμακοκινητικής και φαρμακοδυναμικής των αναισθητικών και η σωστή προετοιμασία για πιθανές επιπλοκές που μπορεί να εμφανιστούν σε τέτοιες χειρουργικές επεμβάσεις, αποτελούν απαραίτητες προϋποθέσεις για την επιτυχή έκβαση τέτοιων περιστατικών. Στην παρούσα εργασία, αναφέρονται τα αναισθητικά πρωτόκολλα που χρησιμοποιήθηκαν σε περιστατικά της Κλινικής Ζώων Συντροφιάς του ΑΠΘ από το 2018 έως και το 2026 και γίνεται συζήτηση σχετικά με την έκβαση των περιστατικών.</w:t>
      </w:r>
    </w:p>
    <w:p w14:paraId="682EDE73" w14:textId="77777777" w:rsidR="00B020FA" w:rsidRPr="00B020FA" w:rsidRDefault="00B020FA" w:rsidP="00B020FA">
      <w:pPr>
        <w:jc w:val="both"/>
      </w:pPr>
    </w:p>
    <w:p w14:paraId="6918DBAF" w14:textId="77777777" w:rsidR="00B020FA" w:rsidRPr="00B020FA" w:rsidRDefault="00B020FA" w:rsidP="00B020FA">
      <w:pPr>
        <w:jc w:val="both"/>
      </w:pPr>
      <w:r w:rsidRPr="00B020FA">
        <w:rPr>
          <w:b/>
          <w:bCs/>
        </w:rPr>
        <w:t>Βιβλιογραφία</w:t>
      </w:r>
    </w:p>
    <w:p w14:paraId="79B0B6B7" w14:textId="77777777" w:rsidR="00B020FA" w:rsidRPr="00B020FA" w:rsidRDefault="00B020FA" w:rsidP="00B020FA">
      <w:pPr>
        <w:jc w:val="both"/>
      </w:pPr>
      <w:r w:rsidRPr="00B020FA">
        <w:t xml:space="preserve">Broome, C. J., Walsh, V. P., &amp; Braddock, J. A. (2004). </w:t>
      </w:r>
      <w:r w:rsidRPr="00B020FA">
        <w:rPr>
          <w:i/>
          <w:iCs/>
        </w:rPr>
        <w:t xml:space="preserve">Congenital portosystemic shunts in dogs and cats. </w:t>
      </w:r>
      <w:r w:rsidRPr="00B020FA">
        <w:t>New Zealand veterinary journal, 52(4), 154-162.</w:t>
      </w:r>
    </w:p>
    <w:p w14:paraId="0B5E8B23" w14:textId="77777777" w:rsidR="00B020FA" w:rsidRPr="00B020FA" w:rsidRDefault="00B020FA" w:rsidP="00B020FA">
      <w:pPr>
        <w:jc w:val="both"/>
      </w:pPr>
      <w:r w:rsidRPr="00B020FA">
        <w:t xml:space="preserve">Erjavec, V., &amp; Lukanc, B. (2023). </w:t>
      </w:r>
      <w:r w:rsidRPr="00B020FA">
        <w:rPr>
          <w:i/>
          <w:iCs/>
        </w:rPr>
        <w:t xml:space="preserve">Portosystemic shunts in cats. </w:t>
      </w:r>
      <w:r w:rsidRPr="00B020FA">
        <w:t>Proceed-ings of Socratic Lectures. 2023, 8; 34-39.</w:t>
      </w:r>
    </w:p>
    <w:p w14:paraId="450C6C8C" w14:textId="77777777" w:rsidR="00B020FA" w:rsidRPr="00B020FA" w:rsidRDefault="00B020FA" w:rsidP="00B020FA">
      <w:pPr>
        <w:jc w:val="both"/>
      </w:pPr>
      <w:r w:rsidRPr="00B020FA">
        <w:t xml:space="preserve">Takeuchi, R., Ishigaki, K., Yoshida, O., Heishima, T., Iida, K., &amp; Asano, K. (2024). </w:t>
      </w:r>
      <w:r w:rsidRPr="00B020FA">
        <w:rPr>
          <w:i/>
          <w:iCs/>
        </w:rPr>
        <w:t xml:space="preserve">Single Posthepatic Portosystemic Shunt Communicated With Internal Thoracic Vein and Azygos Continuation of the Caudal Vena Cava in a Dog. </w:t>
      </w:r>
      <w:r w:rsidRPr="00B020FA">
        <w:t>Veterinary Medicine and Science, 10(6), e70057.</w:t>
      </w:r>
    </w:p>
    <w:p w14:paraId="08ACFE7F" w14:textId="77777777" w:rsidR="00B020FA" w:rsidRPr="00B020FA" w:rsidRDefault="00B020FA" w:rsidP="00B020FA">
      <w:pPr>
        <w:jc w:val="both"/>
      </w:pPr>
      <w:r w:rsidRPr="00B020FA">
        <w:t xml:space="preserve">Konstantinidis, A. O., Patsikas, M. N., Papazoglou, L. G., &amp; Adamama-Moraitou, K. K. (2023). </w:t>
      </w:r>
      <w:r w:rsidRPr="00B020FA">
        <w:rPr>
          <w:i/>
          <w:iCs/>
        </w:rPr>
        <w:t xml:space="preserve">Congenital portosystemic shunts in dogs and cats: classification, pathophysiology, clinical presentation and diagnosis. </w:t>
      </w:r>
      <w:r w:rsidRPr="00B020FA">
        <w:t>Veterinary sciences, 10(2), 160.</w:t>
      </w:r>
    </w:p>
    <w:p w14:paraId="6FABF41F" w14:textId="77777777" w:rsidR="00B020FA" w:rsidRPr="00B020FA" w:rsidRDefault="00B020FA" w:rsidP="00B020FA">
      <w:pPr>
        <w:jc w:val="both"/>
      </w:pPr>
      <w:r w:rsidRPr="00B020FA">
        <w:t xml:space="preserve">Konstantinidis, A. O., Adamama-Moraitou, K. K., Patsikas, M. N., &amp; Papazoglou, L. G. (2023). </w:t>
      </w:r>
      <w:r w:rsidRPr="00B020FA">
        <w:rPr>
          <w:i/>
          <w:iCs/>
        </w:rPr>
        <w:t xml:space="preserve">Congenital portosystemic shunts in dogs and cats: treatment, complications and prognosis. </w:t>
      </w:r>
      <w:r w:rsidRPr="00B020FA">
        <w:t>Veterinary sciences, 10(5), 346.</w:t>
      </w:r>
    </w:p>
    <w:p w14:paraId="32C14CFD" w14:textId="0AA95D22" w:rsidR="00B020FA" w:rsidRPr="00B020FA" w:rsidRDefault="00B020FA" w:rsidP="00B020FA">
      <w:pPr>
        <w:jc w:val="both"/>
      </w:pPr>
      <w:r w:rsidRPr="00B020FA">
        <w:br/>
      </w:r>
      <w:r w:rsidRPr="00B020FA">
        <w:br/>
      </w:r>
    </w:p>
    <w:p w14:paraId="449046E9" w14:textId="1E66AA42" w:rsidR="00B020FA" w:rsidRPr="00233C2F" w:rsidRDefault="00B020FA" w:rsidP="00B020FA">
      <w:pPr>
        <w:jc w:val="both"/>
      </w:pPr>
      <w:r w:rsidRPr="00B020FA">
        <w:rPr>
          <w:b/>
          <w:bCs/>
        </w:rPr>
        <w:lastRenderedPageBreak/>
        <w:t>Κλινική Προσέγγιση και Αναισθησιολογική Διαχείριση του Πολυτραυματία Σκύλου: Αναφορά σε 2 Περιστατικά</w:t>
      </w:r>
    </w:p>
    <w:p w14:paraId="6DFD303C" w14:textId="77777777" w:rsidR="00B020FA" w:rsidRPr="00B020FA" w:rsidRDefault="00B020FA" w:rsidP="00B020FA">
      <w:pPr>
        <w:jc w:val="both"/>
      </w:pPr>
      <w:r w:rsidRPr="00B020FA">
        <w:t>Καρποντίνη Αικατερίνη</w:t>
      </w:r>
      <w:r w:rsidRPr="00B020FA">
        <w:rPr>
          <w:vertAlign w:val="superscript"/>
        </w:rPr>
        <w:t>1</w:t>
      </w:r>
      <w:r w:rsidRPr="00B020FA">
        <w:t>, Μίχου Μαρία-Αγγελική</w:t>
      </w:r>
      <w:r w:rsidRPr="00B020FA">
        <w:rPr>
          <w:vertAlign w:val="superscript"/>
        </w:rPr>
        <w:t>1</w:t>
      </w:r>
      <w:r w:rsidRPr="00B020FA">
        <w:t>,Αναγνώστου Τηλέμαχος</w:t>
      </w:r>
      <w:r w:rsidRPr="00B020FA">
        <w:rPr>
          <w:vertAlign w:val="superscript"/>
        </w:rPr>
        <w:t>2</w:t>
      </w:r>
    </w:p>
    <w:p w14:paraId="2530549A" w14:textId="244F9B74" w:rsidR="00B020FA" w:rsidRPr="00B020FA" w:rsidRDefault="00B020FA">
      <w:pPr>
        <w:numPr>
          <w:ilvl w:val="0"/>
          <w:numId w:val="57"/>
        </w:numPr>
        <w:jc w:val="both"/>
      </w:pPr>
      <w:r w:rsidRPr="00B020FA">
        <w:t xml:space="preserve">Προπτυχιακή φοιτήτρια, Τμήμα Κτηνιατρικής, Σχολή επιστημών Υγείας, Αριστοτέλειο Πανεπιστήμιο </w:t>
      </w:r>
      <w:r w:rsidR="00233C2F" w:rsidRPr="00B020FA">
        <w:t>Θεσσαλονίκης</w:t>
      </w:r>
    </w:p>
    <w:p w14:paraId="4A2A5383" w14:textId="77777777" w:rsidR="00B020FA" w:rsidRPr="00B020FA" w:rsidRDefault="00B020FA">
      <w:pPr>
        <w:numPr>
          <w:ilvl w:val="0"/>
          <w:numId w:val="57"/>
        </w:numPr>
        <w:jc w:val="both"/>
      </w:pPr>
      <w:r w:rsidRPr="00B020FA">
        <w:t>Καθηγητής, Τμήμα Κτηνιατρικής, Σχολή επιστημών Υγείας, Αριστοτέλειο Πανεπιστήμιο Θεσσαλονίκης</w:t>
      </w:r>
    </w:p>
    <w:p w14:paraId="54D2B1F0" w14:textId="77777777" w:rsidR="00B020FA" w:rsidRPr="00B020FA" w:rsidRDefault="00B020FA" w:rsidP="00B020FA">
      <w:pPr>
        <w:jc w:val="both"/>
      </w:pPr>
    </w:p>
    <w:p w14:paraId="32012CDD" w14:textId="77777777" w:rsidR="00B020FA" w:rsidRPr="00B020FA" w:rsidRDefault="00B020FA" w:rsidP="00B020FA">
      <w:pPr>
        <w:jc w:val="both"/>
      </w:pPr>
      <w:r w:rsidRPr="00B020FA">
        <w:rPr>
          <w:b/>
          <w:bCs/>
        </w:rPr>
        <w:t>Περίληψη</w:t>
      </w:r>
    </w:p>
    <w:p w14:paraId="7222EA9B" w14:textId="77777777" w:rsidR="00B020FA" w:rsidRPr="00B020FA" w:rsidRDefault="00B020FA" w:rsidP="00B020FA">
      <w:pPr>
        <w:jc w:val="both"/>
      </w:pPr>
      <w:r w:rsidRPr="00B020FA">
        <w:t>Η διαχείριση του πολυτραυματία που προσκομίζεται ως επείγον περιστατικό αποτελεί μία από τις πιο απαιτητικές προκλήσεις ενός κτηνιάτρου. Η ανάγκη για άμεση λήψη αποφάσεων, ορθή ιεράρχηση προτεραιοτήτων και εξατομικευμένη προσέγγιση του ασθενούς καθιστούν κρίσιμη την εφαρμογή τεκμηριωμένων πρωτοκόλλων. Στην παρούσα εργασία αναλύεται η συστηματική προσέγγιση για την αρχική σταθεροποίηση, βασισμένη σε διεθνείς κατευθυντήριες οδηγίες (BSAVA) και σε πρωτόκολλα όπως το ABCDE, με έμφαση στη σταθεροποίηση των ζωτικών λειτουργιών πριν από οποιαδήποτε επεμβατική πράξη. Η παρουσίαση πλαισιώνεται από δύο κλινικά περιστατικά με διαφορετική πορεία: 1) σκύλος πολυτραυματίας κατόπιν τροχαίου με κάκωση νωτιαίου μυελού που αντιμετωπίστηκε συντηρητικά και 2) περιστατικό μικρόσωμου σκύλου μετά από δήγμα μεγαλόσωμου στον τράχηλο που οδήγησε σε ρήξη λάρυγγα και πιθανή θλάση πνεύμονα, ο οποίος υποβλήθηκε σε χειρουργική αποκατάσταση και εμφάνισε επανειλημμένα επεισόδια καρδιοαναπνευστικής ανακοπής. Παράλληλα, αναλύονται έννοιες όπως η «θανατηφόρος τριάδα» και το φαινόμενο “first–second hit”, που θα πρέπει να λαμβάνονται υπόψη από τους κτηνιάτρους σε ό,τι αφορά την απόφαση για τη διενέργεια και τον χρόνο της διενέργειας της χειρουργικής παρέμβασης.</w:t>
      </w:r>
    </w:p>
    <w:p w14:paraId="408F31B9" w14:textId="77777777" w:rsidR="00B020FA" w:rsidRPr="00B020FA" w:rsidRDefault="00B020FA" w:rsidP="00B020FA">
      <w:pPr>
        <w:jc w:val="both"/>
      </w:pPr>
    </w:p>
    <w:p w14:paraId="507351F5" w14:textId="77777777" w:rsidR="00B020FA" w:rsidRPr="00B020FA" w:rsidRDefault="00B020FA" w:rsidP="00B020FA">
      <w:pPr>
        <w:jc w:val="both"/>
      </w:pPr>
      <w:r w:rsidRPr="00B020FA">
        <w:rPr>
          <w:b/>
          <w:bCs/>
        </w:rPr>
        <w:t>Βιβλιογραφία</w:t>
      </w:r>
    </w:p>
    <w:p w14:paraId="731C1657" w14:textId="77777777" w:rsidR="00B020FA" w:rsidRPr="00B020FA" w:rsidRDefault="00B020FA" w:rsidP="00B020FA">
      <w:pPr>
        <w:jc w:val="both"/>
      </w:pPr>
      <w:r w:rsidRPr="00B020FA">
        <w:t xml:space="preserve">King, L. G., &amp; Boag, A. (Eds.). (2018). </w:t>
      </w:r>
      <w:r w:rsidRPr="00B020FA">
        <w:rPr>
          <w:i/>
          <w:iCs/>
        </w:rPr>
        <w:t>BSAVA Manual of Canine and Feline Emergency and Critical Care(3rd ed.).</w:t>
      </w:r>
      <w:r w:rsidRPr="00B020FA">
        <w:t xml:space="preserve"> British Small Animal Veterinary Association.</w:t>
      </w:r>
    </w:p>
    <w:p w14:paraId="17920EDB" w14:textId="77777777" w:rsidR="00B020FA" w:rsidRPr="00B020FA" w:rsidRDefault="00B020FA" w:rsidP="00B020FA">
      <w:pPr>
        <w:jc w:val="both"/>
      </w:pPr>
      <w:r w:rsidRPr="00B020FA">
        <w:t xml:space="preserve">Silverstein, D. C., &amp; Hopper, K. (Eds.). (2023). </w:t>
      </w:r>
      <w:r w:rsidRPr="00B020FA">
        <w:rPr>
          <w:i/>
          <w:iCs/>
        </w:rPr>
        <w:t>Small Animal Critical Care Medicine (3rd ed.).</w:t>
      </w:r>
      <w:r w:rsidRPr="00B020FA">
        <w:t xml:space="preserve"> Elsevier.</w:t>
      </w:r>
    </w:p>
    <w:p w14:paraId="595095CA" w14:textId="77777777" w:rsidR="00B020FA" w:rsidRPr="00B020FA" w:rsidRDefault="00B020FA" w:rsidP="00B020FA">
      <w:pPr>
        <w:jc w:val="both"/>
      </w:pPr>
      <w:r w:rsidRPr="00B020FA">
        <w:t xml:space="preserve">Shih, A., &amp; Martins, A. (2022). </w:t>
      </w:r>
      <w:r w:rsidRPr="00B020FA">
        <w:rPr>
          <w:i/>
          <w:iCs/>
        </w:rPr>
        <w:t>Disorders Related to Trauma</w:t>
      </w:r>
      <w:r w:rsidRPr="00B020FA">
        <w:t xml:space="preserve">. In R. Snyder &amp; R. A. Johnson (Eds.), </w:t>
      </w:r>
      <w:r w:rsidRPr="00B020FA">
        <w:rPr>
          <w:i/>
          <w:iCs/>
        </w:rPr>
        <w:t>Canine and Feline Anesthesia and Co-Existing Disease</w:t>
      </w:r>
      <w:r w:rsidRPr="00B020FA">
        <w:t xml:space="preserve"> (2nd ed., pp. 313-324). Wiley-Blackwell.</w:t>
      </w:r>
    </w:p>
    <w:p w14:paraId="038F4300" w14:textId="77777777" w:rsidR="00B020FA" w:rsidRPr="00B020FA" w:rsidRDefault="00B020FA" w:rsidP="00B020FA">
      <w:pPr>
        <w:jc w:val="both"/>
      </w:pPr>
      <w:r w:rsidRPr="00B020FA">
        <w:t xml:space="preserve">Alexandra Pfaff , Emmanuelle M. Butty , Elizabeth A. Rozanski , Armelle M. deLaforcade , Jacqueline N. Hicks , Noa Berlin (2025). </w:t>
      </w:r>
      <w:r w:rsidRPr="00B020FA">
        <w:rPr>
          <w:i/>
          <w:iCs/>
        </w:rPr>
        <w:t>Retrospective Evaluation of Risk Factors and Outcome in Dogs With and Without Fluid Overload During Hospitalization.</w:t>
      </w:r>
    </w:p>
    <w:p w14:paraId="2A09F798" w14:textId="77777777" w:rsidR="00B020FA" w:rsidRPr="00B020FA" w:rsidRDefault="00B020FA" w:rsidP="00B020FA">
      <w:pPr>
        <w:jc w:val="both"/>
      </w:pPr>
      <w:r w:rsidRPr="00B020FA">
        <w:t xml:space="preserve">Mariana Pardo, Erin Spencer, Adesola Odunayo, Mary L. Ramirez, Elke Rudloff, Heidi Shafford, Ann Weil, Ewan Wolff (2024). </w:t>
      </w:r>
      <w:r w:rsidRPr="00B020FA">
        <w:rPr>
          <w:i/>
          <w:iCs/>
        </w:rPr>
        <w:t>2024 AAHA Fluid Therapy Guidelines for Dogs and Cats.</w:t>
      </w:r>
    </w:p>
    <w:p w14:paraId="5B6C5C95" w14:textId="77777777" w:rsidR="00B020FA" w:rsidRPr="00B020FA" w:rsidRDefault="00B020FA" w:rsidP="00B020FA">
      <w:pPr>
        <w:jc w:val="both"/>
      </w:pPr>
      <w:r w:rsidRPr="00B020FA">
        <w:t xml:space="preserve">Justine A. Lee, Lisa L. Powell (2013). </w:t>
      </w:r>
      <w:r w:rsidRPr="00B020FA">
        <w:rPr>
          <w:i/>
          <w:iCs/>
        </w:rPr>
        <w:t xml:space="preserve">Emergency care. </w:t>
      </w:r>
      <w:r w:rsidRPr="00B020FA">
        <w:t>Veterinary clinics of North America: Small animal practice. </w:t>
      </w:r>
    </w:p>
    <w:p w14:paraId="7FD037F7" w14:textId="77777777" w:rsidR="00233C2F" w:rsidRPr="00233C2F" w:rsidRDefault="00233C2F" w:rsidP="00233C2F">
      <w:pPr>
        <w:jc w:val="both"/>
      </w:pPr>
      <w:r w:rsidRPr="00233C2F">
        <w:rPr>
          <w:b/>
          <w:bCs/>
        </w:rPr>
        <w:lastRenderedPageBreak/>
        <w:t>Feline Orthopaedic Peculiarities. Why cats are not small dogs</w:t>
      </w:r>
    </w:p>
    <w:p w14:paraId="71FFF1F8" w14:textId="0E4C163E" w:rsidR="00233C2F" w:rsidRPr="00233C2F" w:rsidRDefault="00233C2F" w:rsidP="00233C2F">
      <w:pPr>
        <w:jc w:val="both"/>
      </w:pPr>
      <w:r w:rsidRPr="00233C2F">
        <w:t>Mitrouli Anastasia</w:t>
      </w:r>
      <w:r w:rsidRPr="00233C2F">
        <w:rPr>
          <w:vertAlign w:val="superscript"/>
        </w:rPr>
        <w:t>1</w:t>
      </w:r>
      <w:r w:rsidRPr="00233C2F">
        <w:t>, Prassinos N. Nikitas</w:t>
      </w:r>
      <w:r w:rsidRPr="00233C2F">
        <w:rPr>
          <w:vertAlign w:val="superscript"/>
        </w:rPr>
        <w:t>2</w:t>
      </w:r>
      <w:r w:rsidRPr="00233C2F">
        <w:t>, Krystalli, A. Androniki</w:t>
      </w:r>
      <w:r w:rsidRPr="00233C2F">
        <w:rPr>
          <w:vertAlign w:val="superscript"/>
        </w:rPr>
        <w:t>3</w:t>
      </w:r>
    </w:p>
    <w:p w14:paraId="02F29F06" w14:textId="77777777" w:rsidR="00233C2F" w:rsidRPr="00233C2F" w:rsidRDefault="00233C2F">
      <w:pPr>
        <w:numPr>
          <w:ilvl w:val="0"/>
          <w:numId w:val="58"/>
        </w:numPr>
        <w:jc w:val="both"/>
      </w:pPr>
      <w:r w:rsidRPr="00233C2F">
        <w:t>Undergraduate student, School of Veterinary Medicine, Faculty of Health Sciences, Aristotle University, Thessaloniki, Greece.</w:t>
      </w:r>
    </w:p>
    <w:p w14:paraId="30CB5A42" w14:textId="77777777" w:rsidR="00233C2F" w:rsidRPr="00233C2F" w:rsidRDefault="00233C2F">
      <w:pPr>
        <w:numPr>
          <w:ilvl w:val="0"/>
          <w:numId w:val="58"/>
        </w:numPr>
        <w:jc w:val="both"/>
      </w:pPr>
      <w:r w:rsidRPr="00233C2F">
        <w:t>DVM,</w:t>
      </w:r>
      <w:r w:rsidRPr="00233C2F">
        <w:rPr>
          <w:vertAlign w:val="superscript"/>
        </w:rPr>
        <w:t xml:space="preserve"> </w:t>
      </w:r>
      <w:r w:rsidRPr="00233C2F">
        <w:t>PhD, Professor, Surgery &amp; Obstetrics Unit, Companion Animal Clinic, School of Veterinary Medicine, Faculty of Health Sciences, Aristotle University, Thessaloniki, Greece.</w:t>
      </w:r>
    </w:p>
    <w:p w14:paraId="04526ED9" w14:textId="77777777" w:rsidR="00233C2F" w:rsidRDefault="00233C2F">
      <w:pPr>
        <w:numPr>
          <w:ilvl w:val="0"/>
          <w:numId w:val="58"/>
        </w:numPr>
        <w:jc w:val="both"/>
      </w:pPr>
      <w:r w:rsidRPr="00233C2F">
        <w:t>DVM,</w:t>
      </w:r>
      <w:r w:rsidRPr="00233C2F">
        <w:rPr>
          <w:vertAlign w:val="superscript"/>
        </w:rPr>
        <w:t xml:space="preserve"> </w:t>
      </w:r>
      <w:r w:rsidRPr="00233C2F">
        <w:t>PhD, Adjunct lecturer, Surgery &amp; Obstetrics Unit, Companion Animal Clinic, School of Veterinary Medicine, Faculty of Health Sciences, Aristotle University, Thessaloniki, Greece.</w:t>
      </w:r>
    </w:p>
    <w:p w14:paraId="095CB3C6" w14:textId="77777777" w:rsidR="00233C2F" w:rsidRPr="00233C2F" w:rsidRDefault="00233C2F" w:rsidP="00233C2F">
      <w:pPr>
        <w:ind w:left="720"/>
        <w:jc w:val="both"/>
      </w:pPr>
    </w:p>
    <w:p w14:paraId="69732F48" w14:textId="77777777" w:rsidR="00233C2F" w:rsidRPr="00233C2F" w:rsidRDefault="00233C2F" w:rsidP="00233C2F">
      <w:pPr>
        <w:jc w:val="both"/>
      </w:pPr>
      <w:r w:rsidRPr="00233C2F">
        <w:rPr>
          <w:b/>
          <w:bCs/>
        </w:rPr>
        <w:t>Abstract</w:t>
      </w:r>
    </w:p>
    <w:p w14:paraId="02E9BCB2" w14:textId="77777777" w:rsidR="00233C2F" w:rsidRDefault="00233C2F" w:rsidP="00233C2F">
      <w:pPr>
        <w:jc w:val="both"/>
      </w:pPr>
      <w:r w:rsidRPr="00233C2F">
        <w:t>Despite orthopedic similarities between dogs and cats, the principle that 'a cat is not a small dog' remains a cornerstone of clinical practice. This study provides a comparative analysis, highlighting the unique anatomical and behavioral peculiarities of the feline patient. The prevalence of traumatic etiology combined with cat’s instinctive tendency to mask pain and lameness, makes the diagnostic approach particularly demanding. Furthermore, the feline temperament requires significant modifications to the conventional clinical examination methods applied to canines. A comprehensive grasp of species-specific management is essential for therapeutic success. Mastery of feline-specific musculoskeletal features is paramount to overcoming the myth that cats are low-maintenance orthopedic patients.</w:t>
      </w:r>
    </w:p>
    <w:p w14:paraId="1B98A94D" w14:textId="77777777" w:rsidR="00233C2F" w:rsidRPr="00233C2F" w:rsidRDefault="00233C2F" w:rsidP="00233C2F">
      <w:pPr>
        <w:jc w:val="both"/>
      </w:pPr>
    </w:p>
    <w:p w14:paraId="5BF89C7A" w14:textId="77777777" w:rsidR="00233C2F" w:rsidRPr="00233C2F" w:rsidRDefault="00233C2F" w:rsidP="00233C2F">
      <w:pPr>
        <w:jc w:val="both"/>
      </w:pPr>
      <w:r w:rsidRPr="00233C2F">
        <w:rPr>
          <w:b/>
          <w:bCs/>
        </w:rPr>
        <w:t>Bibliography </w:t>
      </w:r>
    </w:p>
    <w:p w14:paraId="6B97EDC7" w14:textId="77777777" w:rsidR="00233C2F" w:rsidRPr="00233C2F" w:rsidRDefault="00233C2F" w:rsidP="00233C2F">
      <w:pPr>
        <w:jc w:val="both"/>
      </w:pPr>
      <w:r w:rsidRPr="00233C2F">
        <w:t xml:space="preserve">Ablin, L.W., Gambardella, P.C. (1991). </w:t>
      </w:r>
      <w:r w:rsidRPr="00233C2F">
        <w:rPr>
          <w:i/>
          <w:iCs/>
        </w:rPr>
        <w:t xml:space="preserve">Orthopaedics of the feline hip. Compend Contin Educ Pract Vet </w:t>
      </w:r>
      <w:r w:rsidRPr="00233C2F">
        <w:t>13, 592–598.</w:t>
      </w:r>
    </w:p>
    <w:p w14:paraId="3E89ECFF" w14:textId="77777777" w:rsidR="00233C2F" w:rsidRPr="00233C2F" w:rsidRDefault="00233C2F" w:rsidP="00233C2F">
      <w:pPr>
        <w:jc w:val="both"/>
      </w:pPr>
      <w:r w:rsidRPr="00233C2F">
        <w:t xml:space="preserve">Dentsas, M. T., Prassinos, N. N., &amp; Krystalli, A. A. (2019). </w:t>
      </w:r>
      <w:r w:rsidRPr="00233C2F">
        <w:rPr>
          <w:i/>
          <w:iCs/>
        </w:rPr>
        <w:t>Cats are not small dogs, not even in orthopaedics</w:t>
      </w:r>
      <w:r w:rsidRPr="00233C2F">
        <w:t xml:space="preserve">. </w:t>
      </w:r>
      <w:r w:rsidRPr="00233C2F">
        <w:rPr>
          <w:i/>
          <w:iCs/>
        </w:rPr>
        <w:t>Journal of the Hellenic Veterinary Medical Society 8</w:t>
      </w:r>
      <w:r w:rsidRPr="00233C2F">
        <w:t>(2), 118–133.</w:t>
      </w:r>
    </w:p>
    <w:p w14:paraId="4C55B64C" w14:textId="77777777" w:rsidR="00233C2F" w:rsidRPr="00233C2F" w:rsidRDefault="00233C2F" w:rsidP="00233C2F">
      <w:pPr>
        <w:jc w:val="both"/>
      </w:pPr>
      <w:r w:rsidRPr="00233C2F">
        <w:t xml:space="preserve">Langley-Hobbs, S.J. (2018). </w:t>
      </w:r>
      <w:r w:rsidRPr="00233C2F">
        <w:rPr>
          <w:i/>
          <w:iCs/>
        </w:rPr>
        <w:t>Fractures of the humerus</w:t>
      </w:r>
      <w:r w:rsidRPr="00233C2F">
        <w:t>. In: S. A. Johnston, K. M. Tobias. Veterinary Surgery Small Animal. 2nd edn. Elsevier Saunders, St. Louis, pp. 1980-2014.</w:t>
      </w:r>
    </w:p>
    <w:p w14:paraId="0F3F5C47" w14:textId="77777777" w:rsidR="00233C2F" w:rsidRPr="00233C2F" w:rsidRDefault="00233C2F" w:rsidP="00233C2F">
      <w:pPr>
        <w:jc w:val="both"/>
      </w:pPr>
      <w:r w:rsidRPr="00233C2F">
        <w:t xml:space="preserve">Marcellin-Little, D. (2009). </w:t>
      </w:r>
      <w:r w:rsidRPr="00233C2F">
        <w:rPr>
          <w:i/>
          <w:iCs/>
        </w:rPr>
        <w:t>Hind Limb Orthopedic Problems In The Feline Patient</w:t>
      </w:r>
      <w:r w:rsidRPr="00233C2F">
        <w:t>. NAVC Conference, Small Animal – Orthopedics.</w:t>
      </w:r>
    </w:p>
    <w:p w14:paraId="0CC3BB08" w14:textId="77777777" w:rsidR="00233C2F" w:rsidRPr="00233C2F" w:rsidRDefault="00233C2F" w:rsidP="00233C2F">
      <w:pPr>
        <w:jc w:val="both"/>
      </w:pPr>
      <w:r w:rsidRPr="00233C2F">
        <w:t>Scott, H.W., McLaughlin, R. (2007).</w:t>
      </w:r>
      <w:r w:rsidRPr="00233C2F">
        <w:rPr>
          <w:i/>
          <w:iCs/>
        </w:rPr>
        <w:t xml:space="preserve"> Introduction to Feline Orthopedic Surgery. In: Feline Orthopedics</w:t>
      </w:r>
      <w:r w:rsidRPr="00233C2F">
        <w:t>. Manson Publishing, London, pp. 9-16.</w:t>
      </w:r>
    </w:p>
    <w:p w14:paraId="4BEACDF7" w14:textId="77777777" w:rsidR="00233C2F" w:rsidRPr="00233C2F" w:rsidRDefault="00233C2F" w:rsidP="00233C2F">
      <w:pPr>
        <w:jc w:val="both"/>
      </w:pPr>
      <w:r w:rsidRPr="00233C2F">
        <w:t xml:space="preserve">Scott, H.W., McLaughlin, R. (2007). </w:t>
      </w:r>
      <w:r w:rsidRPr="00233C2F">
        <w:rPr>
          <w:i/>
          <w:iCs/>
        </w:rPr>
        <w:t>Fractures and Disorders of the hindlimb. In: Feline Orthopedics</w:t>
      </w:r>
      <w:r w:rsidRPr="00233C2F">
        <w:t>. Manson Publishing, London, pp. 184-191.</w:t>
      </w:r>
    </w:p>
    <w:p w14:paraId="09EC4F15" w14:textId="77777777" w:rsidR="00233C2F" w:rsidRPr="00233C2F" w:rsidRDefault="00233C2F" w:rsidP="00233C2F">
      <w:pPr>
        <w:jc w:val="both"/>
      </w:pPr>
      <w:r w:rsidRPr="00233C2F">
        <w:t xml:space="preserve">Voss, K., Steffen, F. (2009). Patient assessment. In: P. M. Montavon, K. Voss, S. J. Langley-Hobbs. </w:t>
      </w:r>
      <w:r w:rsidRPr="00233C2F">
        <w:rPr>
          <w:i/>
          <w:iCs/>
        </w:rPr>
        <w:t>Feline Orthopedic Surgery and Musculoskeletal Disease</w:t>
      </w:r>
      <w:r w:rsidRPr="00233C2F">
        <w:t>. Elsevier Saunders, Philadelphia, pp. 3-19.</w:t>
      </w:r>
    </w:p>
    <w:p w14:paraId="49A27DA5" w14:textId="77777777" w:rsidR="00233C2F" w:rsidRPr="00233C2F" w:rsidRDefault="00233C2F" w:rsidP="00233C2F">
      <w:pPr>
        <w:jc w:val="both"/>
      </w:pPr>
      <w:r w:rsidRPr="00233C2F">
        <w:rPr>
          <w:b/>
          <w:bCs/>
        </w:rPr>
        <w:lastRenderedPageBreak/>
        <w:t>The Use of Stem Cells in the Repair of Fractures in Companion Animals</w:t>
      </w:r>
    </w:p>
    <w:p w14:paraId="79BAF270" w14:textId="77777777" w:rsidR="00233C2F" w:rsidRPr="00233C2F" w:rsidRDefault="00233C2F" w:rsidP="00233C2F">
      <w:pPr>
        <w:jc w:val="both"/>
      </w:pPr>
      <w:r w:rsidRPr="00233C2F">
        <w:t>Ntavarouka Dimitra</w:t>
      </w:r>
      <w:r w:rsidRPr="00233C2F">
        <w:rPr>
          <w:vertAlign w:val="superscript"/>
        </w:rPr>
        <w:t>1</w:t>
      </w:r>
      <w:r w:rsidRPr="00233C2F">
        <w:t>, Petrakou Anthoula</w:t>
      </w:r>
      <w:r w:rsidRPr="00233C2F">
        <w:rPr>
          <w:vertAlign w:val="superscript"/>
        </w:rPr>
        <w:t>1</w:t>
      </w:r>
      <w:r w:rsidRPr="00233C2F">
        <w:t>, Sideri Aikaterini</w:t>
      </w:r>
      <w:r w:rsidRPr="00233C2F">
        <w:rPr>
          <w:vertAlign w:val="superscript"/>
        </w:rPr>
        <w:t>2</w:t>
      </w:r>
    </w:p>
    <w:p w14:paraId="13F3A82E" w14:textId="77777777" w:rsidR="00233C2F" w:rsidRPr="00233C2F" w:rsidRDefault="00233C2F">
      <w:pPr>
        <w:numPr>
          <w:ilvl w:val="0"/>
          <w:numId w:val="59"/>
        </w:numPr>
        <w:jc w:val="both"/>
      </w:pPr>
      <w:r w:rsidRPr="00233C2F">
        <w:t>Undergraduate Student, Department of Veterinary Medicine, School of Health Sciences, University of Thessaly</w:t>
      </w:r>
    </w:p>
    <w:p w14:paraId="058798FF" w14:textId="77777777" w:rsidR="00233C2F" w:rsidRDefault="00233C2F">
      <w:pPr>
        <w:numPr>
          <w:ilvl w:val="0"/>
          <w:numId w:val="59"/>
        </w:numPr>
        <w:jc w:val="both"/>
      </w:pPr>
      <w:r w:rsidRPr="00233C2F">
        <w:t>Associate Professor, Animal Surgery and Anesthesiology, Department of Veterinary Medicine, School of Health Sciences, University of Thessaly</w:t>
      </w:r>
    </w:p>
    <w:p w14:paraId="01FAEEB2" w14:textId="77777777" w:rsidR="00233C2F" w:rsidRPr="00233C2F" w:rsidRDefault="00233C2F" w:rsidP="00233C2F">
      <w:pPr>
        <w:ind w:left="720"/>
        <w:jc w:val="both"/>
      </w:pPr>
    </w:p>
    <w:p w14:paraId="3E052F86" w14:textId="77777777" w:rsidR="00233C2F" w:rsidRPr="00233C2F" w:rsidRDefault="00233C2F" w:rsidP="00233C2F">
      <w:pPr>
        <w:jc w:val="both"/>
      </w:pPr>
      <w:r w:rsidRPr="00233C2F">
        <w:rPr>
          <w:b/>
          <w:bCs/>
        </w:rPr>
        <w:t>Abstract</w:t>
      </w:r>
    </w:p>
    <w:p w14:paraId="67FD0D0E" w14:textId="77777777" w:rsidR="00233C2F" w:rsidRDefault="00233C2F" w:rsidP="00233C2F">
      <w:pPr>
        <w:jc w:val="both"/>
      </w:pPr>
      <w:r w:rsidRPr="00233C2F">
        <w:t>Stem cells are pluripotent cells that can proliferate and differentiate into diverse cell types, thereby contributing to tissue regeneration and repair. At the same time, they have immunomodulatory and angiogenic properties, also affecting the function of immune system cells. The use of stem cells in orthopaedics is a modern therapeutic approach aimed at regenerating and repairing damaged tissues. In fracture repair, it constitutes an innovative method both in terms of the mechanism of bone healing and the time required for complete repair of the fracture. Recent  literature demonstrates that stem cells, especially mesenchymal cells, are a particularly promising therapeutic approach in the field of orthopedics, contributing significantly to the development of regenerative medicine.</w:t>
      </w:r>
    </w:p>
    <w:p w14:paraId="3260B47F" w14:textId="77777777" w:rsidR="00233C2F" w:rsidRDefault="00233C2F" w:rsidP="00233C2F">
      <w:pPr>
        <w:jc w:val="both"/>
      </w:pPr>
    </w:p>
    <w:p w14:paraId="07B682AB" w14:textId="1B29FB08" w:rsidR="00233C2F" w:rsidRPr="00233C2F" w:rsidRDefault="00233C2F" w:rsidP="00233C2F">
      <w:pPr>
        <w:jc w:val="both"/>
        <w:rPr>
          <w:b/>
          <w:bCs/>
        </w:rPr>
      </w:pPr>
      <w:r>
        <w:rPr>
          <w:b/>
          <w:bCs/>
          <w:lang w:val="en-GB"/>
        </w:rPr>
        <w:t>Bibliography</w:t>
      </w:r>
    </w:p>
    <w:p w14:paraId="17D8D388" w14:textId="620B0762" w:rsidR="00233C2F" w:rsidRDefault="00233C2F" w:rsidP="00233C2F">
      <w:pPr>
        <w:jc w:val="both"/>
      </w:pPr>
      <w:r>
        <w:t>Ανατολίτου, Α. Α. (2023). Συγκριτική μελέτη της θεραπευτικής εφαρμογής βλαστοκυττάρων από ετερόλογους δότες ιστούς, στην ανάπλαση του αρθρικού χόνδρου σε πειραματικό μοντέλο κονίκλου (</w:t>
      </w:r>
      <w:r>
        <w:rPr>
          <w:lang w:val="en-GB"/>
        </w:rPr>
        <w:t>Doctoral</w:t>
      </w:r>
      <w:r w:rsidRPr="00233C2F">
        <w:t xml:space="preserve"> </w:t>
      </w:r>
      <w:r>
        <w:rPr>
          <w:lang w:val="en-GB"/>
        </w:rPr>
        <w:t>dissertation</w:t>
      </w:r>
      <w:r w:rsidRPr="00233C2F">
        <w:t xml:space="preserve">, </w:t>
      </w:r>
      <w:r>
        <w:t>Αριστοτέλειο Πανεπιστήμιο Θεσσαλονίκης).</w:t>
      </w:r>
    </w:p>
    <w:p w14:paraId="39637DFA" w14:textId="4A223713" w:rsidR="00233C2F" w:rsidRPr="002617A2" w:rsidRDefault="00233C2F" w:rsidP="00233C2F">
      <w:pPr>
        <w:jc w:val="both"/>
        <w:rPr>
          <w:lang w:val="fr-FR"/>
        </w:rPr>
      </w:pPr>
      <w:r w:rsidRPr="00233C2F">
        <w:t xml:space="preserve">Markoski M. M. (2016). </w:t>
      </w:r>
      <w:r w:rsidRPr="00233C2F">
        <w:rPr>
          <w:i/>
          <w:iCs/>
        </w:rPr>
        <w:t>Advances in the Use of Stem Cells in Veterinary Medicine: From Basic Research to Clinical Practice</w:t>
      </w:r>
      <w:r w:rsidRPr="00233C2F">
        <w:t>. </w:t>
      </w:r>
      <w:r w:rsidRPr="00233C2F">
        <w:rPr>
          <w:i/>
          <w:iCs/>
        </w:rPr>
        <w:t>Scientifica</w:t>
      </w:r>
      <w:r w:rsidRPr="00233C2F">
        <w:t>, </w:t>
      </w:r>
      <w:r w:rsidRPr="00233C2F">
        <w:rPr>
          <w:i/>
          <w:iCs/>
        </w:rPr>
        <w:t>2016</w:t>
      </w:r>
      <w:r w:rsidRPr="00233C2F">
        <w:t>, 4516920. </w:t>
      </w:r>
    </w:p>
    <w:p w14:paraId="497934F8" w14:textId="77777777" w:rsidR="00233C2F" w:rsidRDefault="00233C2F" w:rsidP="00233C2F">
      <w:pPr>
        <w:jc w:val="both"/>
        <w:rPr>
          <w:lang w:val="en-GB"/>
        </w:rPr>
      </w:pPr>
      <w:r w:rsidRPr="002617A2">
        <w:rPr>
          <w:lang w:val="fr-FR"/>
        </w:rPr>
        <w:t xml:space="preserve">Anatolitou, A. A., Sideri, K. I., &amp; Prassinos, N.N. (2020). </w:t>
      </w:r>
      <w:r>
        <w:rPr>
          <w:lang w:val="en-GB"/>
        </w:rPr>
        <w:t>Current research and application of stem cells in the dog and cat [Review of Current research and application of stem cells in the dog and cat].</w:t>
      </w:r>
    </w:p>
    <w:p w14:paraId="4DB52511" w14:textId="77777777" w:rsidR="00233C2F" w:rsidRDefault="00233C2F" w:rsidP="00233C2F">
      <w:pPr>
        <w:jc w:val="both"/>
        <w:rPr>
          <w:lang w:val="en-GB"/>
        </w:rPr>
      </w:pPr>
      <w:r>
        <w:rPr>
          <w:lang w:val="en-GB"/>
        </w:rPr>
        <w:t>Nantavisai, S., Egusa, H., Osathanon, T., &amp; Sawangmake, C. (2019). Mesenchymal stem cell-based bone tissue engineering for veterinary practice. Heliyon, 5(11), e02808.</w:t>
      </w:r>
    </w:p>
    <w:p w14:paraId="19957ABA" w14:textId="5B8EFB70" w:rsidR="00233C2F" w:rsidRPr="00233C2F" w:rsidRDefault="00233C2F" w:rsidP="00233C2F">
      <w:pPr>
        <w:jc w:val="both"/>
      </w:pPr>
      <w:r w:rsidRPr="00233C2F">
        <w:t xml:space="preserve">Knight, M. N., &amp; Hankenson, K. D. (2013). </w:t>
      </w:r>
      <w:r w:rsidRPr="00233C2F">
        <w:rPr>
          <w:i/>
          <w:iCs/>
        </w:rPr>
        <w:t>Mesenchymal stem cells in bone regeneration. Advances in wound care</w:t>
      </w:r>
      <w:r w:rsidRPr="00233C2F">
        <w:t>, </w:t>
      </w:r>
      <w:r w:rsidRPr="00233C2F">
        <w:rPr>
          <w:i/>
          <w:iCs/>
        </w:rPr>
        <w:t>2</w:t>
      </w:r>
      <w:r w:rsidRPr="00233C2F">
        <w:t>(6), 306-316.</w:t>
      </w:r>
    </w:p>
    <w:p w14:paraId="765A6B89" w14:textId="1750DB58" w:rsidR="00233C2F" w:rsidRPr="00233C2F" w:rsidRDefault="00233C2F" w:rsidP="00233C2F">
      <w:pPr>
        <w:jc w:val="both"/>
      </w:pPr>
      <w:r w:rsidRPr="00233C2F">
        <w:t xml:space="preserve">Dias, I. E., Cardoso, D. F., Soares, C. S., Barros, L. C., Viegas, C. A., Carvalho, P. P., &amp; Dias, I. R. (2021). </w:t>
      </w:r>
      <w:r w:rsidRPr="00233C2F">
        <w:rPr>
          <w:i/>
          <w:iCs/>
        </w:rPr>
        <w:t>Clinical application of mesenchymal stem cell therapy in musculoskeletal injuries in dogs: a review of the scientific literature</w:t>
      </w:r>
      <w:r w:rsidRPr="00233C2F">
        <w:t>. </w:t>
      </w:r>
      <w:r w:rsidRPr="00233C2F">
        <w:rPr>
          <w:i/>
          <w:iCs/>
        </w:rPr>
        <w:t>Open Veterinary Journal</w:t>
      </w:r>
      <w:r w:rsidRPr="00233C2F">
        <w:t>, </w:t>
      </w:r>
      <w:r w:rsidRPr="00233C2F">
        <w:rPr>
          <w:i/>
          <w:iCs/>
        </w:rPr>
        <w:t>11</w:t>
      </w:r>
      <w:r w:rsidRPr="00233C2F">
        <w:t>(2), 188–202. </w:t>
      </w:r>
    </w:p>
    <w:p w14:paraId="146FD53A" w14:textId="77777777" w:rsidR="00233C2F" w:rsidRDefault="00233C2F" w:rsidP="00233C2F">
      <w:pPr>
        <w:jc w:val="both"/>
      </w:pPr>
      <w:r w:rsidRPr="00233C2F">
        <w:t>Webster, R. A., Blaber, S. P., Herbert, B. R., Wilkins, M. R., &amp; Vesey, G. (2012).</w:t>
      </w:r>
      <w:r w:rsidRPr="00233C2F">
        <w:rPr>
          <w:i/>
          <w:iCs/>
        </w:rPr>
        <w:t xml:space="preserve"> The role of mesenchymal stem cells in veterinary therapeutics - a review. New Zealand veterinary journal</w:t>
      </w:r>
      <w:r w:rsidRPr="00233C2F">
        <w:t>, </w:t>
      </w:r>
      <w:r w:rsidRPr="00233C2F">
        <w:rPr>
          <w:i/>
          <w:iCs/>
        </w:rPr>
        <w:t>60</w:t>
      </w:r>
      <w:r w:rsidRPr="00233C2F">
        <w:t>(5), 265–272. </w:t>
      </w:r>
    </w:p>
    <w:p w14:paraId="3B0ED875" w14:textId="0CA7979B" w:rsidR="00233C2F" w:rsidRPr="00233C2F" w:rsidRDefault="00233C2F" w:rsidP="00233C2F">
      <w:pPr>
        <w:jc w:val="both"/>
      </w:pPr>
      <w:r w:rsidRPr="00233C2F">
        <w:lastRenderedPageBreak/>
        <w:t xml:space="preserve">Viktorova, E. V., Platonova, S. A., Shagova, N. V., &amp; Savchenkova, I. P. (2021, March). </w:t>
      </w:r>
      <w:r w:rsidRPr="00233C2F">
        <w:rPr>
          <w:i/>
          <w:iCs/>
        </w:rPr>
        <w:t>The treatment of tibia fracture by mesenchymal stem cells (Clinical case)</w:t>
      </w:r>
      <w:r w:rsidRPr="00233C2F">
        <w:t>. In </w:t>
      </w:r>
      <w:r w:rsidRPr="00233C2F">
        <w:rPr>
          <w:i/>
          <w:iCs/>
        </w:rPr>
        <w:t>IOP Conference Series: Earth and Environmental Science</w:t>
      </w:r>
      <w:r w:rsidRPr="00233C2F">
        <w:t> (Vol. 677, No. 4, p. 042069). IOP Publishing.</w:t>
      </w:r>
    </w:p>
    <w:p w14:paraId="4392DFBD" w14:textId="77777777" w:rsidR="00233C2F" w:rsidRDefault="00233C2F" w:rsidP="00233C2F">
      <w:pPr>
        <w:jc w:val="both"/>
      </w:pPr>
      <w:r w:rsidRPr="00233C2F">
        <w:t xml:space="preserve">Pappa, E. I., Barbagianni, M. S., Georgiou, S. G., Athanasiou, L. V., Psalla, D., Vekios, D., Katsarou, E. I., Vasileiou, N. G. C., Gouletsou, P. G., Galatos, A. D., Prassinos, N. N., Gougoulis, D. A., Angelidou, M., Tsioli, V., Fthenakis, G. C., &amp; Sideri, A. I. (2023). </w:t>
      </w:r>
      <w:r w:rsidRPr="00233C2F">
        <w:rPr>
          <w:i/>
          <w:iCs/>
        </w:rPr>
        <w:t>The Use of Stromal Vascular Fraction in Long Bone Defect Healing in Sheep.</w:t>
      </w:r>
      <w:r w:rsidRPr="00233C2F">
        <w:t> </w:t>
      </w:r>
      <w:r w:rsidRPr="00233C2F">
        <w:rPr>
          <w:i/>
          <w:iCs/>
        </w:rPr>
        <w:t>Animals</w:t>
      </w:r>
      <w:r w:rsidRPr="00233C2F">
        <w:t>, </w:t>
      </w:r>
      <w:r w:rsidRPr="00233C2F">
        <w:rPr>
          <w:i/>
          <w:iCs/>
        </w:rPr>
        <w:t>13</w:t>
      </w:r>
      <w:r w:rsidRPr="00233C2F">
        <w:t>(18), 2871. </w:t>
      </w:r>
    </w:p>
    <w:p w14:paraId="2575418B" w14:textId="77777777" w:rsidR="00233C2F" w:rsidRDefault="00233C2F" w:rsidP="00233C2F">
      <w:pPr>
        <w:jc w:val="both"/>
      </w:pPr>
    </w:p>
    <w:p w14:paraId="6B4BC10C" w14:textId="77777777" w:rsidR="00233C2F" w:rsidRDefault="00233C2F" w:rsidP="00233C2F">
      <w:pPr>
        <w:jc w:val="both"/>
      </w:pPr>
    </w:p>
    <w:p w14:paraId="49C28D84" w14:textId="77777777" w:rsidR="00233C2F" w:rsidRDefault="00233C2F" w:rsidP="00233C2F">
      <w:pPr>
        <w:jc w:val="both"/>
      </w:pPr>
    </w:p>
    <w:p w14:paraId="0ADFA547" w14:textId="77777777" w:rsidR="00233C2F" w:rsidRDefault="00233C2F" w:rsidP="00233C2F">
      <w:pPr>
        <w:jc w:val="both"/>
      </w:pPr>
    </w:p>
    <w:p w14:paraId="2BB7274D" w14:textId="77777777" w:rsidR="00233C2F" w:rsidRDefault="00233C2F" w:rsidP="00233C2F">
      <w:pPr>
        <w:jc w:val="both"/>
      </w:pPr>
    </w:p>
    <w:p w14:paraId="306A6BC0" w14:textId="77777777" w:rsidR="00233C2F" w:rsidRDefault="00233C2F" w:rsidP="00233C2F">
      <w:pPr>
        <w:jc w:val="both"/>
      </w:pPr>
    </w:p>
    <w:p w14:paraId="6B68398E" w14:textId="77777777" w:rsidR="00D531C3" w:rsidRDefault="00D531C3" w:rsidP="00233C2F">
      <w:pPr>
        <w:jc w:val="both"/>
      </w:pPr>
    </w:p>
    <w:p w14:paraId="59215994" w14:textId="77777777" w:rsidR="00D531C3" w:rsidRDefault="00D531C3" w:rsidP="00233C2F">
      <w:pPr>
        <w:jc w:val="both"/>
      </w:pPr>
    </w:p>
    <w:p w14:paraId="2A6C9C40" w14:textId="77777777" w:rsidR="00D531C3" w:rsidRDefault="00D531C3" w:rsidP="00233C2F">
      <w:pPr>
        <w:jc w:val="both"/>
      </w:pPr>
    </w:p>
    <w:p w14:paraId="26C3ABCF" w14:textId="77777777" w:rsidR="00D531C3" w:rsidRDefault="00D531C3" w:rsidP="00233C2F">
      <w:pPr>
        <w:jc w:val="both"/>
      </w:pPr>
    </w:p>
    <w:p w14:paraId="746934CA" w14:textId="77777777" w:rsidR="00D531C3" w:rsidRDefault="00D531C3" w:rsidP="00233C2F">
      <w:pPr>
        <w:jc w:val="both"/>
      </w:pPr>
    </w:p>
    <w:p w14:paraId="411A93A4" w14:textId="77777777" w:rsidR="00D531C3" w:rsidRDefault="00D531C3" w:rsidP="00233C2F">
      <w:pPr>
        <w:jc w:val="both"/>
      </w:pPr>
    </w:p>
    <w:p w14:paraId="6DCF667C" w14:textId="77777777" w:rsidR="00D531C3" w:rsidRDefault="00D531C3" w:rsidP="00233C2F">
      <w:pPr>
        <w:jc w:val="both"/>
      </w:pPr>
    </w:p>
    <w:p w14:paraId="14CFEBA4" w14:textId="77777777" w:rsidR="00D531C3" w:rsidRDefault="00D531C3" w:rsidP="00233C2F">
      <w:pPr>
        <w:jc w:val="both"/>
      </w:pPr>
    </w:p>
    <w:p w14:paraId="2BF3A37E" w14:textId="77777777" w:rsidR="00D531C3" w:rsidRDefault="00D531C3" w:rsidP="00233C2F">
      <w:pPr>
        <w:jc w:val="both"/>
      </w:pPr>
    </w:p>
    <w:p w14:paraId="2982690C" w14:textId="77777777" w:rsidR="00D531C3" w:rsidRDefault="00D531C3" w:rsidP="00233C2F">
      <w:pPr>
        <w:jc w:val="both"/>
      </w:pPr>
    </w:p>
    <w:p w14:paraId="4DA746BB" w14:textId="77777777" w:rsidR="00D531C3" w:rsidRDefault="00D531C3" w:rsidP="00233C2F">
      <w:pPr>
        <w:jc w:val="both"/>
      </w:pPr>
    </w:p>
    <w:p w14:paraId="3BE20DF0" w14:textId="77777777" w:rsidR="00D531C3" w:rsidRDefault="00D531C3" w:rsidP="00233C2F">
      <w:pPr>
        <w:jc w:val="both"/>
      </w:pPr>
    </w:p>
    <w:p w14:paraId="54B16E0D" w14:textId="77777777" w:rsidR="00D531C3" w:rsidRDefault="00D531C3" w:rsidP="00233C2F">
      <w:pPr>
        <w:jc w:val="both"/>
      </w:pPr>
    </w:p>
    <w:p w14:paraId="3415E00B" w14:textId="77777777" w:rsidR="00D531C3" w:rsidRDefault="00D531C3" w:rsidP="00233C2F">
      <w:pPr>
        <w:jc w:val="both"/>
      </w:pPr>
    </w:p>
    <w:p w14:paraId="3EB5EA7F" w14:textId="77777777" w:rsidR="00D531C3" w:rsidRDefault="00D531C3" w:rsidP="00233C2F">
      <w:pPr>
        <w:jc w:val="both"/>
      </w:pPr>
    </w:p>
    <w:p w14:paraId="51876235" w14:textId="77777777" w:rsidR="00D531C3" w:rsidRDefault="00D531C3" w:rsidP="00233C2F">
      <w:pPr>
        <w:jc w:val="both"/>
      </w:pPr>
    </w:p>
    <w:p w14:paraId="1DCD6B3A" w14:textId="77777777" w:rsidR="00D531C3" w:rsidRDefault="00D531C3" w:rsidP="00233C2F">
      <w:pPr>
        <w:jc w:val="both"/>
      </w:pPr>
    </w:p>
    <w:p w14:paraId="05401E6B" w14:textId="77777777" w:rsidR="00D531C3" w:rsidRDefault="00D531C3" w:rsidP="00233C2F">
      <w:pPr>
        <w:jc w:val="both"/>
      </w:pPr>
    </w:p>
    <w:p w14:paraId="10DBB767" w14:textId="77777777" w:rsidR="00D531C3" w:rsidRDefault="00D531C3" w:rsidP="00233C2F">
      <w:pPr>
        <w:jc w:val="both"/>
      </w:pPr>
    </w:p>
    <w:p w14:paraId="76BBF11D" w14:textId="77777777" w:rsidR="00D531C3" w:rsidRPr="00233C2F" w:rsidRDefault="00D531C3" w:rsidP="00233C2F">
      <w:pPr>
        <w:jc w:val="both"/>
      </w:pPr>
    </w:p>
    <w:p w14:paraId="749E2A54" w14:textId="77777777" w:rsidR="00233C2F" w:rsidRPr="00233C2F" w:rsidRDefault="00233C2F" w:rsidP="00233C2F">
      <w:pPr>
        <w:jc w:val="both"/>
      </w:pPr>
      <w:r w:rsidRPr="00233C2F">
        <w:rPr>
          <w:b/>
          <w:bCs/>
        </w:rPr>
        <w:lastRenderedPageBreak/>
        <w:t>Surgical Treatment of Cranial Cruciate Ligament Rupture in the Dog: A Review and Comparison of Modern Techniques</w:t>
      </w:r>
    </w:p>
    <w:p w14:paraId="72CABC18" w14:textId="77777777" w:rsidR="00233C2F" w:rsidRPr="00233C2F" w:rsidRDefault="00233C2F" w:rsidP="00233C2F">
      <w:pPr>
        <w:jc w:val="both"/>
      </w:pPr>
      <w:r w:rsidRPr="00233C2F">
        <w:t>Gakis Konstantinos</w:t>
      </w:r>
      <w:r w:rsidRPr="00233C2F">
        <w:rPr>
          <w:vertAlign w:val="superscript"/>
        </w:rPr>
        <w:t>1</w:t>
      </w:r>
      <w:r w:rsidRPr="00233C2F">
        <w:t>, Moumtzidellis Konstantinos</w:t>
      </w:r>
      <w:r w:rsidRPr="00233C2F">
        <w:rPr>
          <w:vertAlign w:val="superscript"/>
        </w:rPr>
        <w:t>1</w:t>
      </w:r>
      <w:r w:rsidRPr="00233C2F">
        <w:t>, Bagias Sotirios</w:t>
      </w:r>
      <w:r w:rsidRPr="00233C2F">
        <w:rPr>
          <w:vertAlign w:val="superscript"/>
        </w:rPr>
        <w:t>2</w:t>
      </w:r>
    </w:p>
    <w:p w14:paraId="669ECDFE" w14:textId="77777777" w:rsidR="00233C2F" w:rsidRPr="00233C2F" w:rsidRDefault="00233C2F">
      <w:pPr>
        <w:numPr>
          <w:ilvl w:val="0"/>
          <w:numId w:val="60"/>
        </w:numPr>
        <w:jc w:val="both"/>
      </w:pPr>
      <w:r w:rsidRPr="00233C2F">
        <w:t>Undergraduate student, Department of Veterinary Medicine, School of Health Sciences, Aristotle University of Thessaloniki</w:t>
      </w:r>
    </w:p>
    <w:p w14:paraId="75516B0D" w14:textId="77777777" w:rsidR="00233C2F" w:rsidRDefault="00233C2F">
      <w:pPr>
        <w:numPr>
          <w:ilvl w:val="0"/>
          <w:numId w:val="60"/>
        </w:numPr>
        <w:jc w:val="both"/>
      </w:pPr>
      <w:r w:rsidRPr="00233C2F">
        <w:t>DVM, CertSAS ESAVS University of Luxembourg</w:t>
      </w:r>
    </w:p>
    <w:p w14:paraId="4BFAE14E" w14:textId="77777777" w:rsidR="00D531C3" w:rsidRPr="00233C2F" w:rsidRDefault="00D531C3" w:rsidP="00D531C3">
      <w:pPr>
        <w:ind w:left="720"/>
        <w:jc w:val="both"/>
      </w:pPr>
    </w:p>
    <w:p w14:paraId="4F84D37F" w14:textId="77777777" w:rsidR="00233C2F" w:rsidRPr="00233C2F" w:rsidRDefault="00233C2F" w:rsidP="00233C2F">
      <w:pPr>
        <w:jc w:val="both"/>
      </w:pPr>
      <w:r w:rsidRPr="00233C2F">
        <w:rPr>
          <w:b/>
          <w:bCs/>
        </w:rPr>
        <w:t>Abstract</w:t>
      </w:r>
    </w:p>
    <w:p w14:paraId="35B2A00E" w14:textId="77777777" w:rsidR="00233C2F" w:rsidRDefault="00233C2F" w:rsidP="00233C2F">
      <w:pPr>
        <w:jc w:val="both"/>
      </w:pPr>
      <w:r w:rsidRPr="00233C2F">
        <w:t>Cranial cruciate ligament rupture (CrCLD) constitutes one of the primary causes of lameness in dogs. Surgical management is recommended for the majority of dogs with CrCLD. A wide spectrum of surgical techniques has been described for dogs with cranial cruciate ligament disease. These can be classified into static constraint or dynamic stabilization (geometry-modifying) methods. Two of the most frequently applied geometry-modifying techniques are Tibial Plateau Leveling Osteotomy (TPLO) and Tibial Tuberosity Advancement (TTA). Regarding TTA, this method aims to stabilize the stifle joint without the need for the cranial cruciate ligament. On the other hand, in TPLO, rather than replacing the ligament, the method alters the geometry of the stifle to neutralize the forces that cause instability. The objective of this study is to highlight the significance of the cranial cruciate ligament, as well as the two techniques that we mentioned before (TTA and TPLO) in its functional restoration.</w:t>
      </w:r>
    </w:p>
    <w:p w14:paraId="56DEF787" w14:textId="77777777" w:rsidR="00D531C3" w:rsidRPr="00233C2F" w:rsidRDefault="00D531C3" w:rsidP="00233C2F">
      <w:pPr>
        <w:jc w:val="both"/>
      </w:pPr>
    </w:p>
    <w:p w14:paraId="20B308A9" w14:textId="77777777" w:rsidR="00233C2F" w:rsidRPr="00233C2F" w:rsidRDefault="00233C2F" w:rsidP="00233C2F">
      <w:pPr>
        <w:jc w:val="both"/>
      </w:pPr>
      <w:r w:rsidRPr="00233C2F">
        <w:rPr>
          <w:b/>
          <w:bCs/>
        </w:rPr>
        <w:t>Bibliography</w:t>
      </w:r>
    </w:p>
    <w:p w14:paraId="738BB6EF" w14:textId="42CAD354" w:rsidR="00233C2F" w:rsidRPr="00233C2F" w:rsidRDefault="00233C2F" w:rsidP="00233C2F">
      <w:pPr>
        <w:jc w:val="both"/>
      </w:pPr>
      <w:r w:rsidRPr="00233C2F">
        <w:t>Nanda, A., &amp; Hans, E. C. (2019).</w:t>
      </w:r>
      <w:r w:rsidRPr="00233C2F">
        <w:rPr>
          <w:i/>
          <w:iCs/>
        </w:rPr>
        <w:t xml:space="preserve"> Tibial plateau leveling osteotomy for cranial cruciate ligament rupture in canines: Patient selection and reported outcomes. Veterinary Medicine: Research and Reports, 10</w:t>
      </w:r>
      <w:r w:rsidRPr="00233C2F">
        <w:t>, 249–255. </w:t>
      </w:r>
    </w:p>
    <w:p w14:paraId="5F30DBB5" w14:textId="7A1A1CD2" w:rsidR="00233C2F" w:rsidRPr="00233C2F" w:rsidRDefault="00233C2F" w:rsidP="00233C2F">
      <w:pPr>
        <w:jc w:val="both"/>
      </w:pPr>
      <w:r w:rsidRPr="00233C2F">
        <w:t xml:space="preserve">Palmer, R. H., &amp; Pozzi, A. (2009). </w:t>
      </w:r>
      <w:r w:rsidRPr="00233C2F">
        <w:rPr>
          <w:i/>
          <w:iCs/>
        </w:rPr>
        <w:t>TPLO vs. TTA: Which technique is best?</w:t>
      </w:r>
      <w:r w:rsidRPr="00233C2F">
        <w:t xml:space="preserve"> </w:t>
      </w:r>
      <w:r w:rsidRPr="00233C2F">
        <w:rPr>
          <w:i/>
          <w:iCs/>
        </w:rPr>
        <w:t>World Small Animal Veterinary Association World Congress Proceedings</w:t>
      </w:r>
      <w:r w:rsidRPr="00233C2F">
        <w:t>. </w:t>
      </w:r>
    </w:p>
    <w:p w14:paraId="7069981A" w14:textId="77777777" w:rsidR="00233C2F" w:rsidRDefault="00233C2F" w:rsidP="00233C2F">
      <w:pPr>
        <w:jc w:val="both"/>
      </w:pPr>
      <w:r w:rsidRPr="00233C2F">
        <w:t xml:space="preserve">Vezzoni, A. (2004). TPLO by Slocum: </w:t>
      </w:r>
      <w:r w:rsidRPr="00233C2F">
        <w:rPr>
          <w:i/>
          <w:iCs/>
        </w:rPr>
        <w:t>A successful approach in the treatment of cranial cruciate ligament injuries.</w:t>
      </w:r>
      <w:r w:rsidRPr="00233C2F">
        <w:t xml:space="preserve"> </w:t>
      </w:r>
      <w:r w:rsidRPr="00233C2F">
        <w:rPr>
          <w:i/>
          <w:iCs/>
        </w:rPr>
        <w:t>World Small Animal Veterinary Association World Congress Proceedings</w:t>
      </w:r>
      <w:r w:rsidRPr="00233C2F">
        <w:t>. </w:t>
      </w:r>
    </w:p>
    <w:p w14:paraId="1D88446B" w14:textId="77777777" w:rsidR="00D531C3" w:rsidRDefault="00D531C3" w:rsidP="00233C2F">
      <w:pPr>
        <w:jc w:val="both"/>
      </w:pPr>
    </w:p>
    <w:p w14:paraId="420AD0D1" w14:textId="77777777" w:rsidR="00D531C3" w:rsidRDefault="00D531C3" w:rsidP="00233C2F">
      <w:pPr>
        <w:jc w:val="both"/>
      </w:pPr>
    </w:p>
    <w:p w14:paraId="112BE2C8" w14:textId="77777777" w:rsidR="00D531C3" w:rsidRDefault="00D531C3" w:rsidP="00233C2F">
      <w:pPr>
        <w:jc w:val="both"/>
      </w:pPr>
    </w:p>
    <w:p w14:paraId="4D5D840D" w14:textId="77777777" w:rsidR="00D531C3" w:rsidRDefault="00D531C3" w:rsidP="00233C2F">
      <w:pPr>
        <w:jc w:val="both"/>
      </w:pPr>
    </w:p>
    <w:p w14:paraId="668B8768" w14:textId="77777777" w:rsidR="00D531C3" w:rsidRDefault="00D531C3" w:rsidP="00233C2F">
      <w:pPr>
        <w:jc w:val="both"/>
      </w:pPr>
    </w:p>
    <w:p w14:paraId="6D250C2E" w14:textId="77777777" w:rsidR="00D531C3" w:rsidRDefault="00D531C3" w:rsidP="00233C2F">
      <w:pPr>
        <w:jc w:val="both"/>
      </w:pPr>
    </w:p>
    <w:p w14:paraId="63261A58" w14:textId="77777777" w:rsidR="00D531C3" w:rsidRDefault="00D531C3" w:rsidP="00233C2F">
      <w:pPr>
        <w:jc w:val="both"/>
      </w:pPr>
    </w:p>
    <w:p w14:paraId="34CAFB11" w14:textId="77777777" w:rsidR="00D531C3" w:rsidRPr="00233C2F" w:rsidRDefault="00D531C3" w:rsidP="00233C2F">
      <w:pPr>
        <w:jc w:val="both"/>
      </w:pPr>
    </w:p>
    <w:p w14:paraId="1DFD061F" w14:textId="77777777" w:rsidR="00233C2F" w:rsidRPr="00233C2F" w:rsidRDefault="00233C2F" w:rsidP="00233C2F">
      <w:pPr>
        <w:jc w:val="both"/>
      </w:pPr>
      <w:r w:rsidRPr="00233C2F">
        <w:rPr>
          <w:b/>
          <w:bCs/>
        </w:rPr>
        <w:lastRenderedPageBreak/>
        <w:t>Complications Associated with Tibial Plateau Leveling Osteotomy in the Treatment of Cranial Cruciate Ligament Rupture in Dog.</w:t>
      </w:r>
    </w:p>
    <w:p w14:paraId="0EE0A3AA" w14:textId="77777777" w:rsidR="00233C2F" w:rsidRPr="00233C2F" w:rsidRDefault="00233C2F" w:rsidP="00233C2F">
      <w:pPr>
        <w:jc w:val="both"/>
      </w:pPr>
      <w:r w:rsidRPr="00233C2F">
        <w:t>Gratsaki Aikaterini</w:t>
      </w:r>
      <w:r w:rsidRPr="00233C2F">
        <w:rPr>
          <w:vertAlign w:val="superscript"/>
        </w:rPr>
        <w:t>1</w:t>
      </w:r>
      <w:r w:rsidRPr="00233C2F">
        <w:t>, Prassinos N. Nikitas</w:t>
      </w:r>
      <w:r w:rsidRPr="00233C2F">
        <w:rPr>
          <w:vertAlign w:val="superscript"/>
        </w:rPr>
        <w:t>2</w:t>
      </w:r>
      <w:r w:rsidRPr="00233C2F">
        <w:t>, Krystalli Androniki</w:t>
      </w:r>
      <w:r w:rsidRPr="00233C2F">
        <w:rPr>
          <w:vertAlign w:val="superscript"/>
        </w:rPr>
        <w:t>3</w:t>
      </w:r>
    </w:p>
    <w:p w14:paraId="5AF36069" w14:textId="77777777" w:rsidR="00233C2F" w:rsidRPr="00233C2F" w:rsidRDefault="00233C2F">
      <w:pPr>
        <w:numPr>
          <w:ilvl w:val="0"/>
          <w:numId w:val="61"/>
        </w:numPr>
        <w:jc w:val="both"/>
      </w:pPr>
      <w:r w:rsidRPr="00233C2F">
        <w:t>Undergraduate student, School of Veterinary Medicine, Faculty of Health Sciences, Aristotle University of Thessaloniki, Greece</w:t>
      </w:r>
    </w:p>
    <w:p w14:paraId="45C68A10" w14:textId="77777777" w:rsidR="00233C2F" w:rsidRPr="00233C2F" w:rsidRDefault="00233C2F">
      <w:pPr>
        <w:numPr>
          <w:ilvl w:val="0"/>
          <w:numId w:val="61"/>
        </w:numPr>
        <w:jc w:val="both"/>
      </w:pPr>
      <w:r w:rsidRPr="00233C2F">
        <w:t>Veterinarian, PhD, Professor, Surgery &amp; Obstetrics Unit, Companion Animal Clinic, School of Veterinary Medicine, Faculty of Health Sciences, Aristotle University of Thessaloniki, Greece</w:t>
      </w:r>
    </w:p>
    <w:p w14:paraId="6CAB738F" w14:textId="77777777" w:rsidR="00233C2F" w:rsidRDefault="00233C2F">
      <w:pPr>
        <w:numPr>
          <w:ilvl w:val="0"/>
          <w:numId w:val="61"/>
        </w:numPr>
        <w:jc w:val="both"/>
      </w:pPr>
      <w:r w:rsidRPr="00233C2F">
        <w:t>Veterinarian, PhD, Adjunct Lecturer, Surgery &amp; Obstetrics Unit, Companion Animal Clinic, School of Veterinary Medicine, Faculty of Health Sciences, Aristotle University of Thessaloniki, Greece</w:t>
      </w:r>
    </w:p>
    <w:p w14:paraId="493311C2" w14:textId="77777777" w:rsidR="00D531C3" w:rsidRPr="00233C2F" w:rsidRDefault="00D531C3" w:rsidP="00D531C3">
      <w:pPr>
        <w:ind w:left="720"/>
        <w:jc w:val="both"/>
      </w:pPr>
    </w:p>
    <w:p w14:paraId="087D166F" w14:textId="77777777" w:rsidR="00233C2F" w:rsidRPr="00233C2F" w:rsidRDefault="00233C2F" w:rsidP="00233C2F">
      <w:pPr>
        <w:jc w:val="both"/>
      </w:pPr>
      <w:r w:rsidRPr="00233C2F">
        <w:rPr>
          <w:b/>
          <w:bCs/>
        </w:rPr>
        <w:t>Abstract</w:t>
      </w:r>
    </w:p>
    <w:p w14:paraId="41D25FF0" w14:textId="77777777" w:rsidR="00233C2F" w:rsidRPr="00233C2F" w:rsidRDefault="00233C2F" w:rsidP="00233C2F">
      <w:pPr>
        <w:jc w:val="both"/>
      </w:pPr>
      <w:r w:rsidRPr="00233C2F">
        <w:t>Tibial Plateau Leveling Osteotomy (TPLO) is widely regarded as the gold standard in global veterinary orthopedics for managing cranial cruciate ligament (CCL) rupture in dogs. While the biomechanical superiority of the TPLO technique facilitates rapid functional recovery, its surgical complexity renders it susceptible to a diverse spectrum of complications. These complications are categorized by chronicity and severity:</w:t>
      </w:r>
    </w:p>
    <w:p w14:paraId="3EB75C32" w14:textId="77777777" w:rsidR="00233C2F" w:rsidRPr="00233C2F" w:rsidRDefault="00233C2F">
      <w:pPr>
        <w:numPr>
          <w:ilvl w:val="0"/>
          <w:numId w:val="62"/>
        </w:numPr>
        <w:jc w:val="both"/>
      </w:pPr>
      <w:r w:rsidRPr="00233C2F">
        <w:t>Intraoperative complications: incorrect osteotomy, iatrogenic fractures, and bleeding from branches of the genicular artery.</w:t>
      </w:r>
    </w:p>
    <w:p w14:paraId="1B58B41F" w14:textId="77777777" w:rsidR="00233C2F" w:rsidRPr="00233C2F" w:rsidRDefault="00233C2F">
      <w:pPr>
        <w:numPr>
          <w:ilvl w:val="0"/>
          <w:numId w:val="63"/>
        </w:numPr>
        <w:jc w:val="both"/>
      </w:pPr>
      <w:r w:rsidRPr="00233C2F">
        <w:t>Immediate postoperative complications: surgical site infection and inflammation, seroma formation, and tibial tuberosity fracture and</w:t>
      </w:r>
    </w:p>
    <w:p w14:paraId="3502C774" w14:textId="77777777" w:rsidR="00233C2F" w:rsidRPr="00233C2F" w:rsidRDefault="00233C2F">
      <w:pPr>
        <w:numPr>
          <w:ilvl w:val="0"/>
          <w:numId w:val="64"/>
        </w:numPr>
        <w:jc w:val="both"/>
      </w:pPr>
      <w:r w:rsidRPr="00233C2F">
        <w:t>Delayed postoperative complications: implant failure or loosening of the fixation materials, secondary meniscal injury, and progression of osteoarthritis.</w:t>
      </w:r>
    </w:p>
    <w:p w14:paraId="46AA7DD7" w14:textId="77777777" w:rsidR="00233C2F" w:rsidRDefault="00233C2F" w:rsidP="00233C2F">
      <w:pPr>
        <w:jc w:val="both"/>
      </w:pPr>
      <w:r w:rsidRPr="00233C2F">
        <w:t>A profound understanding of potential TPLO complications and their associated risk factors is paramount for surgical success. Diligent adherence to orthopedic asepsis, meticulous preoperative planning (templating), and the selection of appropriate internal fixation materials are critical. By integrating these practices, surgeons can minimize morbidity, effectively manage unavoidable complications, and ensure the long-term joint stability and quality of life for the dog.</w:t>
      </w:r>
    </w:p>
    <w:p w14:paraId="0F6E19AD" w14:textId="77777777" w:rsidR="00D531C3" w:rsidRPr="00233C2F" w:rsidRDefault="00D531C3" w:rsidP="00233C2F">
      <w:pPr>
        <w:jc w:val="both"/>
      </w:pPr>
    </w:p>
    <w:p w14:paraId="15AA6CA3" w14:textId="77777777" w:rsidR="00233C2F" w:rsidRPr="00233C2F" w:rsidRDefault="00233C2F" w:rsidP="00233C2F">
      <w:pPr>
        <w:jc w:val="both"/>
      </w:pPr>
      <w:r w:rsidRPr="00233C2F">
        <w:rPr>
          <w:b/>
          <w:bCs/>
        </w:rPr>
        <w:t>Bibliography</w:t>
      </w:r>
    </w:p>
    <w:p w14:paraId="6378BDC3" w14:textId="0DDBC297" w:rsidR="00233C2F" w:rsidRPr="00233C2F" w:rsidRDefault="00233C2F" w:rsidP="00233C2F">
      <w:pPr>
        <w:jc w:val="both"/>
      </w:pPr>
      <w:r w:rsidRPr="00233C2F">
        <w:t xml:space="preserve">Ben-Amotz, R., &amp; Zuckerman, J. S. (2021). </w:t>
      </w:r>
      <w:r w:rsidRPr="00233C2F">
        <w:rPr>
          <w:i/>
          <w:iCs/>
        </w:rPr>
        <w:t>Complications associated with tibial plateau leveling osteotomy</w:t>
      </w:r>
      <w:r w:rsidRPr="00233C2F">
        <w:t xml:space="preserve">. In R. Ben-Amotz &amp; D. L. Dycus (Eds.), </w:t>
      </w:r>
      <w:r w:rsidRPr="00233C2F">
        <w:rPr>
          <w:i/>
          <w:iCs/>
        </w:rPr>
        <w:t>Complications in canine cranial cruciate ligament surgery</w:t>
      </w:r>
      <w:r w:rsidRPr="00233C2F">
        <w:t xml:space="preserve"> (pp. 163–185). Wiley Blackwell. </w:t>
      </w:r>
    </w:p>
    <w:p w14:paraId="2A14DB9A" w14:textId="77777777" w:rsidR="00233C2F" w:rsidRPr="00233C2F" w:rsidRDefault="00233C2F" w:rsidP="00233C2F">
      <w:pPr>
        <w:jc w:val="both"/>
      </w:pPr>
      <w:r w:rsidRPr="00233C2F">
        <w:t xml:space="preserve">Coletti, T. J., Anderson, M., Gorse, M. J., &amp; Madsen, R. (2014). </w:t>
      </w:r>
      <w:r w:rsidRPr="00233C2F">
        <w:rPr>
          <w:i/>
          <w:iCs/>
        </w:rPr>
        <w:t>Complications associated with tibial plateau leveling osteotomy: A retrospective of 1519 procedures</w:t>
      </w:r>
      <w:r w:rsidRPr="00233C2F">
        <w:t xml:space="preserve">. </w:t>
      </w:r>
      <w:r w:rsidRPr="00233C2F">
        <w:rPr>
          <w:i/>
          <w:iCs/>
        </w:rPr>
        <w:t>Canadian Veterinary Journal, 55</w:t>
      </w:r>
      <w:r w:rsidRPr="00233C2F">
        <w:t>(3), 249–254. </w:t>
      </w:r>
    </w:p>
    <w:p w14:paraId="7D395CC9" w14:textId="77777777" w:rsidR="00233C2F" w:rsidRPr="00233C2F" w:rsidRDefault="00233C2F" w:rsidP="00233C2F">
      <w:pPr>
        <w:jc w:val="both"/>
      </w:pPr>
    </w:p>
    <w:p w14:paraId="309C4C74" w14:textId="42C4CBEF" w:rsidR="00233C2F" w:rsidRPr="00233C2F" w:rsidRDefault="00233C2F" w:rsidP="00233C2F">
      <w:pPr>
        <w:jc w:val="both"/>
      </w:pPr>
      <w:r w:rsidRPr="00233C2F">
        <w:lastRenderedPageBreak/>
        <w:t xml:space="preserve">Dycus, D. L., Biskup, J., Conzemius, M. G., &amp; Ben-Amotz, R. (2021). </w:t>
      </w:r>
      <w:r w:rsidRPr="00233C2F">
        <w:rPr>
          <w:i/>
          <w:iCs/>
        </w:rPr>
        <w:t>Pathology, diagnosis and treatment goals of cranial cruciate ligament rupture and defining complications</w:t>
      </w:r>
      <w:r w:rsidRPr="00233C2F">
        <w:t xml:space="preserve">. In R. Ben-Amotz &amp; D. L. Dycus (Eds.), </w:t>
      </w:r>
      <w:r w:rsidRPr="00233C2F">
        <w:rPr>
          <w:i/>
          <w:iCs/>
        </w:rPr>
        <w:t>Complications in canine cranial cruciate ligament surgery</w:t>
      </w:r>
      <w:r w:rsidRPr="00233C2F">
        <w:t xml:space="preserve"> (pp. 3–14). Wiley Blackwell. </w:t>
      </w:r>
    </w:p>
    <w:p w14:paraId="33173D20" w14:textId="12D068B1" w:rsidR="00233C2F" w:rsidRPr="00233C2F" w:rsidRDefault="00233C2F" w:rsidP="00233C2F">
      <w:pPr>
        <w:jc w:val="both"/>
      </w:pPr>
      <w:r w:rsidRPr="00233C2F">
        <w:t xml:space="preserve">Engdahl, K. S., Boge, G. S., Bergström, A. F., Moldal, E. R., &amp; Höglund, O. V. (2021). </w:t>
      </w:r>
      <w:r w:rsidRPr="00233C2F">
        <w:rPr>
          <w:i/>
          <w:iCs/>
        </w:rPr>
        <w:t>Risk factors for severe postoperative complications in dogs with cranial cruciate ligament disease: A survival analysis</w:t>
      </w:r>
      <w:r w:rsidRPr="00233C2F">
        <w:t xml:space="preserve">. </w:t>
      </w:r>
      <w:r w:rsidRPr="00233C2F">
        <w:rPr>
          <w:i/>
          <w:iCs/>
        </w:rPr>
        <w:t>Preventive Veterinary Medicine, 191</w:t>
      </w:r>
      <w:r w:rsidRPr="00233C2F">
        <w:t>, 105350. </w:t>
      </w:r>
    </w:p>
    <w:p w14:paraId="1D90CE51" w14:textId="77777777" w:rsidR="00233C2F" w:rsidRPr="00233C2F" w:rsidRDefault="00233C2F" w:rsidP="00233C2F">
      <w:pPr>
        <w:jc w:val="both"/>
      </w:pPr>
      <w:r w:rsidRPr="00233C2F">
        <w:t xml:space="preserve">Hayashi, K., Manley, P. A., &amp; Muir, P. (2004). </w:t>
      </w:r>
      <w:r w:rsidRPr="00233C2F">
        <w:rPr>
          <w:i/>
          <w:iCs/>
        </w:rPr>
        <w:t>Cranial cruciate ligament pathophysiology in dogs with cruciate disease</w:t>
      </w:r>
      <w:r w:rsidRPr="00233C2F">
        <w:t xml:space="preserve">: A review. </w:t>
      </w:r>
      <w:r w:rsidRPr="00233C2F">
        <w:rPr>
          <w:i/>
          <w:iCs/>
        </w:rPr>
        <w:t>Journal of the American Animal Hospital Association, 40</w:t>
      </w:r>
      <w:r w:rsidRPr="00233C2F">
        <w:t>(5), 385–390. </w:t>
      </w:r>
    </w:p>
    <w:p w14:paraId="7630AF86" w14:textId="604D121C" w:rsidR="00233C2F" w:rsidRPr="00233C2F" w:rsidRDefault="00233C2F" w:rsidP="00233C2F">
      <w:pPr>
        <w:jc w:val="both"/>
      </w:pPr>
      <w:r w:rsidRPr="00233C2F">
        <w:t xml:space="preserve">Husi, B., Overesch, G., Forterre, F., &amp; Rytz, U. (2023). </w:t>
      </w:r>
      <w:r w:rsidRPr="00233C2F">
        <w:rPr>
          <w:i/>
          <w:iCs/>
        </w:rPr>
        <w:t>Surgical site infection after 769 tibial plateau leveling osteotomies</w:t>
      </w:r>
      <w:r w:rsidRPr="00233C2F">
        <w:t xml:space="preserve">. </w:t>
      </w:r>
      <w:r w:rsidRPr="00233C2F">
        <w:rPr>
          <w:i/>
          <w:iCs/>
        </w:rPr>
        <w:t>Frontiers in Veterinary Science, 10</w:t>
      </w:r>
      <w:r w:rsidRPr="00233C2F">
        <w:t>, 1133813. </w:t>
      </w:r>
    </w:p>
    <w:p w14:paraId="44CA9B85" w14:textId="77777777" w:rsidR="00233C2F" w:rsidRDefault="00233C2F" w:rsidP="00233C2F">
      <w:pPr>
        <w:jc w:val="both"/>
      </w:pPr>
      <w:r w:rsidRPr="00233C2F">
        <w:t xml:space="preserve">Nanda, A., &amp; Hans, E. C. (2019). </w:t>
      </w:r>
      <w:r w:rsidRPr="00233C2F">
        <w:rPr>
          <w:i/>
          <w:iCs/>
        </w:rPr>
        <w:t>Tibial plateau leveling osteotomy for cranial cruciate ligament rupture in canines: Patient selection and reported outcomes</w:t>
      </w:r>
      <w:r w:rsidRPr="00233C2F">
        <w:t xml:space="preserve">. </w:t>
      </w:r>
      <w:r w:rsidRPr="00233C2F">
        <w:rPr>
          <w:i/>
          <w:iCs/>
        </w:rPr>
        <w:t>Veterinary Medicine: Research and Reports, 10</w:t>
      </w:r>
      <w:r w:rsidRPr="00233C2F">
        <w:t>, 249–255. </w:t>
      </w:r>
    </w:p>
    <w:p w14:paraId="6B0A0948" w14:textId="77777777" w:rsidR="00D531C3" w:rsidRDefault="00D531C3" w:rsidP="00233C2F">
      <w:pPr>
        <w:jc w:val="both"/>
      </w:pPr>
    </w:p>
    <w:p w14:paraId="244139C1" w14:textId="77777777" w:rsidR="00D531C3" w:rsidRDefault="00D531C3" w:rsidP="00233C2F">
      <w:pPr>
        <w:jc w:val="both"/>
      </w:pPr>
    </w:p>
    <w:p w14:paraId="51683A01" w14:textId="77777777" w:rsidR="00D531C3" w:rsidRDefault="00D531C3" w:rsidP="00233C2F">
      <w:pPr>
        <w:jc w:val="both"/>
      </w:pPr>
    </w:p>
    <w:p w14:paraId="7ED7392F" w14:textId="77777777" w:rsidR="00D531C3" w:rsidRDefault="00D531C3" w:rsidP="00233C2F">
      <w:pPr>
        <w:jc w:val="both"/>
      </w:pPr>
    </w:p>
    <w:p w14:paraId="6AF3197D" w14:textId="77777777" w:rsidR="00D531C3" w:rsidRDefault="00D531C3" w:rsidP="00233C2F">
      <w:pPr>
        <w:jc w:val="both"/>
      </w:pPr>
    </w:p>
    <w:p w14:paraId="44F1C682" w14:textId="77777777" w:rsidR="00D531C3" w:rsidRDefault="00D531C3" w:rsidP="00233C2F">
      <w:pPr>
        <w:jc w:val="both"/>
      </w:pPr>
    </w:p>
    <w:p w14:paraId="1E5D4A1E" w14:textId="77777777" w:rsidR="00D531C3" w:rsidRDefault="00D531C3" w:rsidP="00233C2F">
      <w:pPr>
        <w:jc w:val="both"/>
      </w:pPr>
    </w:p>
    <w:p w14:paraId="6B11D3C2" w14:textId="77777777" w:rsidR="00D531C3" w:rsidRDefault="00D531C3" w:rsidP="00233C2F">
      <w:pPr>
        <w:jc w:val="both"/>
      </w:pPr>
    </w:p>
    <w:p w14:paraId="5EF818EC" w14:textId="77777777" w:rsidR="00D531C3" w:rsidRDefault="00D531C3" w:rsidP="00233C2F">
      <w:pPr>
        <w:jc w:val="both"/>
      </w:pPr>
    </w:p>
    <w:p w14:paraId="481CB783" w14:textId="77777777" w:rsidR="00D531C3" w:rsidRDefault="00D531C3" w:rsidP="00233C2F">
      <w:pPr>
        <w:jc w:val="both"/>
      </w:pPr>
    </w:p>
    <w:p w14:paraId="224E7195" w14:textId="77777777" w:rsidR="00D531C3" w:rsidRDefault="00D531C3" w:rsidP="00233C2F">
      <w:pPr>
        <w:jc w:val="both"/>
      </w:pPr>
    </w:p>
    <w:p w14:paraId="5743926C" w14:textId="77777777" w:rsidR="00D531C3" w:rsidRDefault="00D531C3" w:rsidP="00233C2F">
      <w:pPr>
        <w:jc w:val="both"/>
      </w:pPr>
    </w:p>
    <w:p w14:paraId="17F4DB26" w14:textId="77777777" w:rsidR="00D531C3" w:rsidRDefault="00D531C3" w:rsidP="00233C2F">
      <w:pPr>
        <w:jc w:val="both"/>
      </w:pPr>
    </w:p>
    <w:p w14:paraId="255743F8" w14:textId="77777777" w:rsidR="00D531C3" w:rsidRDefault="00D531C3" w:rsidP="00233C2F">
      <w:pPr>
        <w:jc w:val="both"/>
      </w:pPr>
    </w:p>
    <w:p w14:paraId="207B3A85" w14:textId="77777777" w:rsidR="00D531C3" w:rsidRDefault="00D531C3" w:rsidP="00233C2F">
      <w:pPr>
        <w:jc w:val="both"/>
      </w:pPr>
    </w:p>
    <w:p w14:paraId="11C59EA8" w14:textId="77777777" w:rsidR="00D531C3" w:rsidRDefault="00D531C3" w:rsidP="00233C2F">
      <w:pPr>
        <w:jc w:val="both"/>
      </w:pPr>
    </w:p>
    <w:p w14:paraId="5683D1C6" w14:textId="77777777" w:rsidR="00D531C3" w:rsidRDefault="00D531C3" w:rsidP="00233C2F">
      <w:pPr>
        <w:jc w:val="both"/>
      </w:pPr>
    </w:p>
    <w:p w14:paraId="7629CC9E" w14:textId="77777777" w:rsidR="00D531C3" w:rsidRDefault="00D531C3" w:rsidP="00233C2F">
      <w:pPr>
        <w:jc w:val="both"/>
      </w:pPr>
    </w:p>
    <w:p w14:paraId="3C5BCFAE" w14:textId="77777777" w:rsidR="00D531C3" w:rsidRPr="00233C2F" w:rsidRDefault="00D531C3" w:rsidP="00233C2F">
      <w:pPr>
        <w:jc w:val="both"/>
      </w:pPr>
    </w:p>
    <w:p w14:paraId="2BBD1043" w14:textId="77777777" w:rsidR="00233C2F" w:rsidRPr="00233C2F" w:rsidRDefault="00233C2F" w:rsidP="00233C2F">
      <w:pPr>
        <w:jc w:val="both"/>
      </w:pPr>
      <w:r w:rsidRPr="00233C2F">
        <w:rPr>
          <w:b/>
          <w:bCs/>
        </w:rPr>
        <w:lastRenderedPageBreak/>
        <w:t>The Neuromuscular Dimension of Cranial Cruciate Ligament Rupture in Dogs: From Mechanical Stability to Functional Recovery</w:t>
      </w:r>
    </w:p>
    <w:p w14:paraId="0F25B71B" w14:textId="77777777" w:rsidR="00233C2F" w:rsidRPr="00233C2F" w:rsidRDefault="00233C2F" w:rsidP="00233C2F">
      <w:pPr>
        <w:jc w:val="both"/>
      </w:pPr>
      <w:r w:rsidRPr="00233C2F">
        <w:t>Roukas Petros</w:t>
      </w:r>
      <w:r w:rsidRPr="00233C2F">
        <w:rPr>
          <w:vertAlign w:val="superscript"/>
        </w:rPr>
        <w:t>1</w:t>
      </w:r>
      <w:r w:rsidRPr="00233C2F">
        <w:t>, Sideri Aikaterini</w:t>
      </w:r>
      <w:r w:rsidRPr="00233C2F">
        <w:rPr>
          <w:vertAlign w:val="superscript"/>
        </w:rPr>
        <w:t>2</w:t>
      </w:r>
    </w:p>
    <w:p w14:paraId="34EE3557" w14:textId="77777777" w:rsidR="00233C2F" w:rsidRPr="00233C2F" w:rsidRDefault="00233C2F">
      <w:pPr>
        <w:numPr>
          <w:ilvl w:val="0"/>
          <w:numId w:val="65"/>
        </w:numPr>
        <w:jc w:val="both"/>
      </w:pPr>
      <w:r w:rsidRPr="00233C2F">
        <w:t>Undergraduate Student, Faculty of Veterinary Science, School of Health Sciences, University of Thessaly, Karditsa, Greece</w:t>
      </w:r>
    </w:p>
    <w:p w14:paraId="31811CBA" w14:textId="77777777" w:rsidR="00233C2F" w:rsidRDefault="00233C2F">
      <w:pPr>
        <w:numPr>
          <w:ilvl w:val="0"/>
          <w:numId w:val="65"/>
        </w:numPr>
        <w:jc w:val="both"/>
      </w:pPr>
      <w:r w:rsidRPr="00233C2F">
        <w:t>Associate Professor, Animal Surgery and Anesthesiology, Department of Veterinary Medicine, School of Health Sciences, University of Thessaly</w:t>
      </w:r>
    </w:p>
    <w:p w14:paraId="5BAB4B82" w14:textId="77777777" w:rsidR="00D531C3" w:rsidRPr="00233C2F" w:rsidRDefault="00D531C3" w:rsidP="00D531C3">
      <w:pPr>
        <w:ind w:left="720"/>
        <w:jc w:val="both"/>
      </w:pPr>
    </w:p>
    <w:p w14:paraId="4137E868" w14:textId="77777777" w:rsidR="00233C2F" w:rsidRPr="00233C2F" w:rsidRDefault="00233C2F" w:rsidP="00233C2F">
      <w:pPr>
        <w:jc w:val="both"/>
      </w:pPr>
      <w:r w:rsidRPr="00233C2F">
        <w:rPr>
          <w:b/>
          <w:bCs/>
        </w:rPr>
        <w:t>Abstract</w:t>
      </w:r>
    </w:p>
    <w:p w14:paraId="18DBB9A5" w14:textId="77777777" w:rsidR="00233C2F" w:rsidRDefault="00233C2F" w:rsidP="00233C2F">
      <w:pPr>
        <w:jc w:val="both"/>
      </w:pPr>
      <w:r w:rsidRPr="00233C2F">
        <w:t>The cranial cruciate ligament (CCL) is one of the most significant stabilizing ligaments of the stifle joint. Its rupture represents a major cause of joint instability and, consequently, lameness in dogs. Recent studies approach CCL as a complex sensory organ, since, due to its mechanoreceptors it appears to play a crucial role in proprioception and the neuromuscular control of the limb.The loss of these “sensors” after the rupture of the CCL is followed by a series of consequences that are related with the disruption of posterior chain mobility, the onset of early osteoarthritis, and the restriction of the joint's range of motion. This literature review aims to highlight that the unidimensional surgical stabilization is not sufficient on its own. The neuromuscular rehabilitation is not imperative for the retraining of the neuromuscular system and the holistic health of the joint.</w:t>
      </w:r>
    </w:p>
    <w:p w14:paraId="26B0C8B4" w14:textId="77777777" w:rsidR="00D531C3" w:rsidRPr="00233C2F" w:rsidRDefault="00D531C3" w:rsidP="00233C2F">
      <w:pPr>
        <w:jc w:val="both"/>
      </w:pPr>
    </w:p>
    <w:p w14:paraId="406DBCF1" w14:textId="77777777" w:rsidR="00233C2F" w:rsidRPr="00233C2F" w:rsidRDefault="00233C2F" w:rsidP="00233C2F">
      <w:pPr>
        <w:jc w:val="both"/>
      </w:pPr>
      <w:r w:rsidRPr="00233C2F">
        <w:rPr>
          <w:b/>
          <w:bCs/>
        </w:rPr>
        <w:t>Bibliography </w:t>
      </w:r>
    </w:p>
    <w:p w14:paraId="1F057F2F" w14:textId="67106F04" w:rsidR="00233C2F" w:rsidRPr="00233C2F" w:rsidRDefault="00233C2F" w:rsidP="00233C2F">
      <w:pPr>
        <w:jc w:val="both"/>
      </w:pPr>
      <w:r w:rsidRPr="00233C2F">
        <w:t xml:space="preserve">Aitken, S. J. &amp; Palmer, R. H. (2014). </w:t>
      </w:r>
      <w:r w:rsidRPr="00233C2F">
        <w:rPr>
          <w:i/>
          <w:iCs/>
        </w:rPr>
        <w:t>Radiographic assessment of the progression of osteoarthrosis in the contralateral stifle joint of dogs with a ruptured cranial cruciate ligament</w:t>
      </w:r>
      <w:r w:rsidRPr="00233C2F">
        <w:t xml:space="preserve">. </w:t>
      </w:r>
      <w:r w:rsidRPr="00233C2F">
        <w:rPr>
          <w:i/>
          <w:iCs/>
        </w:rPr>
        <w:t>Veterinary Radiology &amp; Ultrasound</w:t>
      </w:r>
      <w:r w:rsidRPr="00233C2F">
        <w:t>.</w:t>
      </w:r>
    </w:p>
    <w:p w14:paraId="0B78C5AE" w14:textId="7C7FCD2F" w:rsidR="00233C2F" w:rsidRPr="00233C2F" w:rsidRDefault="00233C2F" w:rsidP="00233C2F">
      <w:pPr>
        <w:jc w:val="both"/>
      </w:pPr>
      <w:r w:rsidRPr="00233C2F">
        <w:t xml:space="preserve">Beard, W. L. et al. (2005). </w:t>
      </w:r>
      <w:r w:rsidRPr="00233C2F">
        <w:rPr>
          <w:i/>
          <w:iCs/>
        </w:rPr>
        <w:t>Most agility dogs with cranial cruciate ligament rupture return to competition within 2 years of injury.</w:t>
      </w:r>
      <w:r w:rsidRPr="00233C2F">
        <w:t xml:space="preserve"> </w:t>
      </w:r>
      <w:r w:rsidRPr="00233C2F">
        <w:rPr>
          <w:i/>
          <w:iCs/>
        </w:rPr>
        <w:t>Journal of the American Veterinary Medical Association</w:t>
      </w:r>
      <w:r w:rsidRPr="00233C2F">
        <w:t>.</w:t>
      </w:r>
    </w:p>
    <w:p w14:paraId="62C78B5F" w14:textId="4DEF7105" w:rsidR="00233C2F" w:rsidRPr="00233C2F" w:rsidRDefault="00233C2F" w:rsidP="00233C2F">
      <w:pPr>
        <w:jc w:val="both"/>
      </w:pPr>
      <w:r w:rsidRPr="00233C2F">
        <w:t xml:space="preserve">Boudreau, A. E. et al. (2012). </w:t>
      </w:r>
      <w:r w:rsidRPr="00233C2F">
        <w:rPr>
          <w:i/>
          <w:iCs/>
        </w:rPr>
        <w:t>Risk factors for severe postoperative complications in dogs with cranial cruciate ligament disease – A survival analysis</w:t>
      </w:r>
      <w:r w:rsidRPr="00233C2F">
        <w:t xml:space="preserve">. </w:t>
      </w:r>
      <w:r w:rsidRPr="00233C2F">
        <w:rPr>
          <w:i/>
          <w:iCs/>
        </w:rPr>
        <w:t>Veterinary Surgery</w:t>
      </w:r>
      <w:r w:rsidRPr="00233C2F">
        <w:t>.</w:t>
      </w:r>
    </w:p>
    <w:p w14:paraId="10B0F627" w14:textId="75CFAAD9" w:rsidR="00233C2F" w:rsidRPr="00233C2F" w:rsidRDefault="00233C2F" w:rsidP="00233C2F">
      <w:pPr>
        <w:jc w:val="both"/>
      </w:pPr>
      <w:r w:rsidRPr="00233C2F">
        <w:t>Budsberg, S. C. et al. (1988).</w:t>
      </w:r>
      <w:r w:rsidRPr="00233C2F">
        <w:rPr>
          <w:i/>
          <w:iCs/>
        </w:rPr>
        <w:t xml:space="preserve"> Serial force plate analyses of dogs with unilateral knee instability, with or without interruption of the sensory input from the ipsilateral limb.</w:t>
      </w:r>
      <w:r w:rsidRPr="00233C2F">
        <w:t xml:space="preserve"> </w:t>
      </w:r>
      <w:r w:rsidRPr="00233C2F">
        <w:rPr>
          <w:i/>
          <w:iCs/>
        </w:rPr>
        <w:t>American Journal of Veterinary Research</w:t>
      </w:r>
      <w:r w:rsidRPr="00233C2F">
        <w:t>.</w:t>
      </w:r>
    </w:p>
    <w:p w14:paraId="7C4F8DE5" w14:textId="3ADA4576" w:rsidR="00233C2F" w:rsidRPr="00233C2F" w:rsidRDefault="00233C2F" w:rsidP="00233C2F">
      <w:pPr>
        <w:jc w:val="both"/>
      </w:pPr>
      <w:r w:rsidRPr="00233C2F">
        <w:t xml:space="preserve">Canapp, S. O. (2007). </w:t>
      </w:r>
      <w:r w:rsidRPr="00233C2F">
        <w:rPr>
          <w:i/>
          <w:iCs/>
        </w:rPr>
        <w:t>Cranial Cruciate Ligament Rupture in Dogs: Review on Biomechanics, Etiopathogenetic Factors and Rehabilitation. Veterinary Clinics: Small Animal Practice</w:t>
      </w:r>
      <w:r w:rsidRPr="00233C2F">
        <w:t>.</w:t>
      </w:r>
    </w:p>
    <w:p w14:paraId="085A2808" w14:textId="62A798CE" w:rsidR="00233C2F" w:rsidRPr="00233C2F" w:rsidRDefault="00233C2F" w:rsidP="00233C2F">
      <w:pPr>
        <w:jc w:val="both"/>
      </w:pPr>
      <w:r w:rsidRPr="00233C2F">
        <w:t xml:space="preserve">Conzemius, M. G. et al. (2005). </w:t>
      </w:r>
      <w:r w:rsidRPr="00233C2F">
        <w:rPr>
          <w:i/>
          <w:iCs/>
        </w:rPr>
        <w:t>Long-term functional outcome after surgical repair of cranial cruciate ligament disease in dogs</w:t>
      </w:r>
      <w:r w:rsidRPr="00233C2F">
        <w:t xml:space="preserve">. </w:t>
      </w:r>
      <w:r w:rsidRPr="00233C2F">
        <w:rPr>
          <w:i/>
          <w:iCs/>
        </w:rPr>
        <w:t>Veterinary Surgery</w:t>
      </w:r>
      <w:r w:rsidRPr="00233C2F">
        <w:t>.</w:t>
      </w:r>
    </w:p>
    <w:p w14:paraId="7458A5E2" w14:textId="529E07FA" w:rsidR="00233C2F" w:rsidRPr="00233C2F" w:rsidRDefault="00233C2F" w:rsidP="00233C2F">
      <w:pPr>
        <w:jc w:val="both"/>
      </w:pPr>
      <w:r w:rsidRPr="00233C2F">
        <w:t xml:space="preserve">DeCamp, C. E. (1997). </w:t>
      </w:r>
      <w:r w:rsidRPr="00233C2F">
        <w:rPr>
          <w:i/>
          <w:iCs/>
        </w:rPr>
        <w:t>Gait Changes Resulting from Orthopedic and Neurologic Problems in Companion Animals</w:t>
      </w:r>
      <w:r w:rsidRPr="00233C2F">
        <w:t xml:space="preserve">. </w:t>
      </w:r>
      <w:r w:rsidRPr="00233C2F">
        <w:rPr>
          <w:i/>
          <w:iCs/>
        </w:rPr>
        <w:t>Veterinary Clinics of North America: Small Animal Practice</w:t>
      </w:r>
      <w:r w:rsidRPr="00233C2F">
        <w:t>.</w:t>
      </w:r>
    </w:p>
    <w:p w14:paraId="07E0D42E" w14:textId="77777777" w:rsidR="00233C2F" w:rsidRPr="00233C2F" w:rsidRDefault="00233C2F" w:rsidP="00233C2F">
      <w:pPr>
        <w:jc w:val="both"/>
      </w:pPr>
      <w:r w:rsidRPr="00233C2F">
        <w:t xml:space="preserve">Fink, C. et al. (2001). </w:t>
      </w:r>
      <w:r w:rsidRPr="00233C2F">
        <w:rPr>
          <w:i/>
          <w:iCs/>
        </w:rPr>
        <w:t>Evaluation of proprioception in patients who underwent ACL reconstruction: measurement in functional position</w:t>
      </w:r>
      <w:r w:rsidRPr="00233C2F">
        <w:t xml:space="preserve">. </w:t>
      </w:r>
      <w:r w:rsidRPr="00233C2F">
        <w:rPr>
          <w:i/>
          <w:iCs/>
        </w:rPr>
        <w:t>Knee Surgery, Sports Traumatology, Arthroscopy</w:t>
      </w:r>
      <w:r w:rsidRPr="00233C2F">
        <w:t>.</w:t>
      </w:r>
    </w:p>
    <w:p w14:paraId="57388C9A" w14:textId="77777777" w:rsidR="00233C2F" w:rsidRPr="00233C2F" w:rsidRDefault="00233C2F" w:rsidP="00233C2F">
      <w:pPr>
        <w:jc w:val="both"/>
      </w:pPr>
    </w:p>
    <w:p w14:paraId="7B30954D" w14:textId="13A4E64D" w:rsidR="00233C2F" w:rsidRPr="00233C2F" w:rsidRDefault="00233C2F" w:rsidP="00233C2F">
      <w:pPr>
        <w:jc w:val="both"/>
      </w:pPr>
      <w:r w:rsidRPr="00233C2F">
        <w:t xml:space="preserve">Giotis, C. et al. (2022). </w:t>
      </w:r>
      <w:r w:rsidRPr="00233C2F">
        <w:rPr>
          <w:i/>
          <w:iCs/>
        </w:rPr>
        <w:t>EVALUATING THE IMPACT OF PHYSIOTHERAPY AFTER CRANIAL CRUCIATE LIGAMENT INJURY IN DOGS</w:t>
      </w:r>
      <w:r w:rsidRPr="00233C2F">
        <w:t>. (Journal/Conference Paper).</w:t>
      </w:r>
    </w:p>
    <w:p w14:paraId="57B42522" w14:textId="3823E1B4" w:rsidR="00233C2F" w:rsidRPr="00233C2F" w:rsidRDefault="00233C2F" w:rsidP="00233C2F">
      <w:pPr>
        <w:jc w:val="both"/>
      </w:pPr>
      <w:r w:rsidRPr="00233C2F">
        <w:t xml:space="preserve">Griffin, M. et al. (2021). </w:t>
      </w:r>
      <w:r w:rsidRPr="00233C2F">
        <w:rPr>
          <w:i/>
          <w:iCs/>
        </w:rPr>
        <w:t>A new approach to treatment selection in dogs with cranial cruciate ligament rupture: patient-specific treatment recommendations</w:t>
      </w:r>
      <w:r w:rsidRPr="00233C2F">
        <w:t xml:space="preserve">. </w:t>
      </w:r>
      <w:r w:rsidRPr="00233C2F">
        <w:rPr>
          <w:i/>
          <w:iCs/>
        </w:rPr>
        <w:t>Journal of the American Veterinary Medical Association</w:t>
      </w:r>
      <w:r w:rsidRPr="00233C2F">
        <w:t>.</w:t>
      </w:r>
    </w:p>
    <w:p w14:paraId="135528CF" w14:textId="5396860A" w:rsidR="00233C2F" w:rsidRPr="00233C2F" w:rsidRDefault="00233C2F" w:rsidP="00233C2F">
      <w:pPr>
        <w:jc w:val="both"/>
      </w:pPr>
      <w:r w:rsidRPr="00233C2F">
        <w:t xml:space="preserve">Hoglund, O. V. et al. (2020). </w:t>
      </w:r>
      <w:r w:rsidRPr="00233C2F">
        <w:rPr>
          <w:i/>
          <w:iCs/>
        </w:rPr>
        <w:t>Effects of postoperative rehabilitation on limb function after cranial cruciate ligament repair in dogs</w:t>
      </w:r>
      <w:r w:rsidRPr="00233C2F">
        <w:t xml:space="preserve">. </w:t>
      </w:r>
      <w:r w:rsidRPr="00233C2F">
        <w:rPr>
          <w:i/>
          <w:iCs/>
        </w:rPr>
        <w:t>Veterinary and Comparative Orthopaedics and Traumatology</w:t>
      </w:r>
      <w:r w:rsidRPr="00233C2F">
        <w:t>.</w:t>
      </w:r>
    </w:p>
    <w:p w14:paraId="450B4D56" w14:textId="77777777" w:rsidR="00233C2F" w:rsidRPr="00233C2F" w:rsidRDefault="00233C2F" w:rsidP="00233C2F">
      <w:pPr>
        <w:jc w:val="both"/>
      </w:pPr>
      <w:r w:rsidRPr="00233C2F">
        <w:t xml:space="preserve">Jerram, R. M. &amp; Walker, A. M. (2003). </w:t>
      </w:r>
      <w:r w:rsidRPr="00233C2F">
        <w:rPr>
          <w:i/>
          <w:iCs/>
        </w:rPr>
        <w:t>Cranial cruciate ligament injury in the dog: Pathophysiology, diagnosis and treatment</w:t>
      </w:r>
      <w:r w:rsidRPr="00233C2F">
        <w:t xml:space="preserve">. </w:t>
      </w:r>
      <w:r w:rsidRPr="00233C2F">
        <w:rPr>
          <w:i/>
          <w:iCs/>
        </w:rPr>
        <w:t>New Zealand Veterinary Journal</w:t>
      </w:r>
    </w:p>
    <w:p w14:paraId="48F8F53A" w14:textId="50A10AB1" w:rsidR="00233C2F" w:rsidRPr="00233C2F" w:rsidRDefault="00233C2F" w:rsidP="00233C2F">
      <w:pPr>
        <w:jc w:val="both"/>
      </w:pPr>
      <w:r w:rsidRPr="00233C2F">
        <w:t xml:space="preserve">Johansson, H. et al. (1991). Receptors in the knee joint ligaments and their role in the biomechanics of the joint. </w:t>
      </w:r>
      <w:r w:rsidRPr="00233C2F">
        <w:rPr>
          <w:i/>
          <w:iCs/>
        </w:rPr>
        <w:t>Basic Science and Clinical Applications</w:t>
      </w:r>
      <w:r w:rsidRPr="00233C2F">
        <w:t>.</w:t>
      </w:r>
    </w:p>
    <w:p w14:paraId="09D7E44D" w14:textId="4D241911" w:rsidR="00233C2F" w:rsidRPr="00233C2F" w:rsidRDefault="00233C2F" w:rsidP="00233C2F">
      <w:pPr>
        <w:jc w:val="both"/>
      </w:pPr>
      <w:r w:rsidRPr="00233C2F">
        <w:t xml:space="preserve">Korr, I. M. (1975). </w:t>
      </w:r>
      <w:r w:rsidRPr="00233C2F">
        <w:rPr>
          <w:i/>
          <w:iCs/>
        </w:rPr>
        <w:t>Role of Knee Ligaments in Proprioception and Regulation of Muscle Stiffness</w:t>
      </w:r>
      <w:r w:rsidRPr="00233C2F">
        <w:t xml:space="preserve">. </w:t>
      </w:r>
      <w:r w:rsidRPr="00233C2F">
        <w:rPr>
          <w:i/>
          <w:iCs/>
        </w:rPr>
        <w:t>Journal of the American Osteopathic Association</w:t>
      </w:r>
      <w:r w:rsidRPr="00233C2F">
        <w:t>.</w:t>
      </w:r>
    </w:p>
    <w:p w14:paraId="450CC33E" w14:textId="7CE2892C" w:rsidR="00233C2F" w:rsidRPr="00233C2F" w:rsidRDefault="00233C2F" w:rsidP="00233C2F">
      <w:pPr>
        <w:jc w:val="both"/>
      </w:pPr>
      <w:r w:rsidRPr="00233C2F">
        <w:t xml:space="preserve">Korvick, D. L. et al. (1994). </w:t>
      </w:r>
      <w:r w:rsidRPr="00233C2F">
        <w:rPr>
          <w:i/>
          <w:iCs/>
        </w:rPr>
        <w:t>Kinematics of the ACL-deficient canine knee during gait: serial changes over two years</w:t>
      </w:r>
      <w:r w:rsidRPr="00233C2F">
        <w:t xml:space="preserve">. </w:t>
      </w:r>
      <w:r w:rsidRPr="00233C2F">
        <w:rPr>
          <w:i/>
          <w:iCs/>
        </w:rPr>
        <w:t>Journal of Orthopaedic Research</w:t>
      </w:r>
      <w:r w:rsidRPr="00233C2F">
        <w:t>.</w:t>
      </w:r>
    </w:p>
    <w:p w14:paraId="5D291D0F" w14:textId="19B561AF" w:rsidR="00233C2F" w:rsidRPr="00233C2F" w:rsidRDefault="00233C2F" w:rsidP="00233C2F">
      <w:pPr>
        <w:jc w:val="both"/>
      </w:pPr>
      <w:r w:rsidRPr="00233C2F">
        <w:t xml:space="preserve">Monibi, A. S. et al. (2018). </w:t>
      </w:r>
      <w:r w:rsidRPr="00233C2F">
        <w:rPr>
          <w:i/>
          <w:iCs/>
        </w:rPr>
        <w:t>Does cranial cruciate ligament repair by tibial plateau leveling osteotomy surgery restore dog’s natural kinematics? – A case series</w:t>
      </w:r>
      <w:r w:rsidRPr="00233C2F">
        <w:t xml:space="preserve">. </w:t>
      </w:r>
      <w:r w:rsidRPr="00233C2F">
        <w:rPr>
          <w:i/>
          <w:iCs/>
        </w:rPr>
        <w:t>Frontiers in Veterinary Science</w:t>
      </w:r>
      <w:r w:rsidRPr="00233C2F">
        <w:t>.</w:t>
      </w:r>
    </w:p>
    <w:p w14:paraId="4F42CAD5" w14:textId="5E71446C" w:rsidR="00233C2F" w:rsidRPr="00233C2F" w:rsidRDefault="00233C2F" w:rsidP="00233C2F">
      <w:pPr>
        <w:jc w:val="both"/>
      </w:pPr>
      <w:r w:rsidRPr="00233C2F">
        <w:t xml:space="preserve">Prot, L. et al. (2020). </w:t>
      </w:r>
      <w:r w:rsidRPr="00233C2F">
        <w:rPr>
          <w:i/>
          <w:iCs/>
        </w:rPr>
        <w:t>Complications associated with tibial plateau leveling osteotomy: A retrospective of 1519 procedures</w:t>
      </w:r>
      <w:r w:rsidRPr="00233C2F">
        <w:t xml:space="preserve">. </w:t>
      </w:r>
      <w:r w:rsidRPr="00233C2F">
        <w:rPr>
          <w:i/>
          <w:iCs/>
        </w:rPr>
        <w:t>Veterinary Surgery</w:t>
      </w:r>
      <w:r w:rsidRPr="00233C2F">
        <w:t>.</w:t>
      </w:r>
    </w:p>
    <w:p w14:paraId="5F602A11" w14:textId="3A5AD8DF" w:rsidR="00233C2F" w:rsidRPr="00233C2F" w:rsidRDefault="00233C2F" w:rsidP="00233C2F">
      <w:pPr>
        <w:jc w:val="both"/>
      </w:pPr>
      <w:r w:rsidRPr="00233C2F">
        <w:t xml:space="preserve">Schultz, R. A. et al. (1984). </w:t>
      </w:r>
      <w:r w:rsidRPr="00233C2F">
        <w:rPr>
          <w:i/>
          <w:iCs/>
        </w:rPr>
        <w:t>Mechanoreceptors of the ligaments and tendons around the knee</w:t>
      </w:r>
      <w:r w:rsidRPr="00233C2F">
        <w:t xml:space="preserve">. </w:t>
      </w:r>
      <w:r w:rsidRPr="00233C2F">
        <w:rPr>
          <w:i/>
          <w:iCs/>
        </w:rPr>
        <w:t>The Journal of Bone &amp; Joint Surgery</w:t>
      </w:r>
      <w:r w:rsidRPr="00233C2F">
        <w:t>.</w:t>
      </w:r>
    </w:p>
    <w:p w14:paraId="073ABB80" w14:textId="77777777" w:rsidR="00233C2F" w:rsidRPr="00233C2F" w:rsidRDefault="00233C2F" w:rsidP="00233C2F">
      <w:pPr>
        <w:jc w:val="both"/>
      </w:pPr>
      <w:r w:rsidRPr="00233C2F">
        <w:t xml:space="preserve">Shakoor, N. et al. (2002). </w:t>
      </w:r>
      <w:r w:rsidRPr="00233C2F">
        <w:rPr>
          <w:i/>
          <w:iCs/>
        </w:rPr>
        <w:t>Anterior and Posterior Cruciate Ligaments Mechanoreceptors: A Review of Basic Science</w:t>
      </w:r>
      <w:r w:rsidRPr="00233C2F">
        <w:t xml:space="preserve">. </w:t>
      </w:r>
      <w:r w:rsidRPr="00233C2F">
        <w:rPr>
          <w:i/>
          <w:iCs/>
        </w:rPr>
        <w:t>Journal of Orthopaedic Research</w:t>
      </w:r>
      <w:r w:rsidRPr="00233C2F">
        <w:t>.</w:t>
      </w:r>
    </w:p>
    <w:p w14:paraId="3F6CF796" w14:textId="4A3EC398" w:rsidR="00233C2F" w:rsidRPr="00233C2F" w:rsidRDefault="00233C2F" w:rsidP="00233C2F">
      <w:pPr>
        <w:jc w:val="both"/>
      </w:pPr>
      <w:r w:rsidRPr="00233C2F">
        <w:t xml:space="preserve">Vilensky, J. A. et al. (2002). Quantification of mechanoreceptors in the canine anterior cruciate ligament. </w:t>
      </w:r>
      <w:r w:rsidRPr="00233C2F">
        <w:rPr>
          <w:i/>
          <w:iCs/>
        </w:rPr>
        <w:t>The Anatomical Record</w:t>
      </w:r>
      <w:r w:rsidRPr="00233C2F">
        <w:t>.</w:t>
      </w:r>
    </w:p>
    <w:p w14:paraId="3EAEB1C6" w14:textId="64E27D3A" w:rsidR="00233C2F" w:rsidRPr="00233C2F" w:rsidRDefault="00233C2F" w:rsidP="00233C2F">
      <w:pPr>
        <w:jc w:val="both"/>
      </w:pPr>
      <w:r w:rsidRPr="00233C2F">
        <w:t xml:space="preserve">Wang, J. et al. (2024). </w:t>
      </w:r>
      <w:r w:rsidRPr="00233C2F">
        <w:rPr>
          <w:i/>
          <w:iCs/>
        </w:rPr>
        <w:t>Brain activation after repairing the anterior cruciate ligament injury in rabbits with piezoelectric nanomaterial: A fMRI study</w:t>
      </w:r>
      <w:r w:rsidRPr="00233C2F">
        <w:t xml:space="preserve">. </w:t>
      </w:r>
      <w:r w:rsidRPr="00233C2F">
        <w:rPr>
          <w:i/>
          <w:iCs/>
        </w:rPr>
        <w:t>Journal of Neuroengineering and Rehabilitation</w:t>
      </w:r>
      <w:r w:rsidRPr="00233C2F">
        <w:t>.</w:t>
      </w:r>
    </w:p>
    <w:p w14:paraId="07842900" w14:textId="5FEB0032" w:rsidR="00233C2F" w:rsidRPr="00233C2F" w:rsidRDefault="00233C2F" w:rsidP="00233C2F">
      <w:pPr>
        <w:jc w:val="both"/>
      </w:pPr>
      <w:r w:rsidRPr="00233C2F">
        <w:t xml:space="preserve">Zidorn, T. et al. (2021). </w:t>
      </w:r>
      <w:r w:rsidRPr="00233C2F">
        <w:rPr>
          <w:i/>
          <w:iCs/>
        </w:rPr>
        <w:t>Disrupted sensorimotor control after ACL injury: from mechanoreceptor degeneration to neuroplasticity-oriented rehabilitation</w:t>
      </w:r>
      <w:r w:rsidRPr="00233C2F">
        <w:t xml:space="preserve">. </w:t>
      </w:r>
      <w:r w:rsidRPr="00233C2F">
        <w:rPr>
          <w:i/>
          <w:iCs/>
        </w:rPr>
        <w:t>Frontiers in Human Neuroscience</w:t>
      </w:r>
      <w:r w:rsidRPr="00233C2F">
        <w:t>.</w:t>
      </w:r>
    </w:p>
    <w:p w14:paraId="7425A91B" w14:textId="77777777" w:rsidR="00233C2F" w:rsidRPr="00233C2F" w:rsidRDefault="00233C2F" w:rsidP="00233C2F">
      <w:pPr>
        <w:jc w:val="both"/>
      </w:pPr>
      <w:r w:rsidRPr="00233C2F">
        <w:t xml:space="preserve">Vasseur, P. B. et al. (1985). </w:t>
      </w:r>
      <w:r w:rsidRPr="00233C2F">
        <w:rPr>
          <w:i/>
          <w:iCs/>
        </w:rPr>
        <w:t>Morphologic and Functional Features of the Canine Cruciate Ligaments.</w:t>
      </w:r>
      <w:r w:rsidRPr="00233C2F">
        <w:t xml:space="preserve"> </w:t>
      </w:r>
      <w:r w:rsidRPr="00233C2F">
        <w:rPr>
          <w:i/>
          <w:iCs/>
        </w:rPr>
        <w:t>Veterinary Surgery</w:t>
      </w:r>
    </w:p>
    <w:p w14:paraId="5E1F5B3D" w14:textId="56406867" w:rsidR="00D531C3" w:rsidRDefault="00233C2F" w:rsidP="00233C2F">
      <w:pPr>
        <w:jc w:val="both"/>
      </w:pPr>
      <w:r w:rsidRPr="00233C2F">
        <w:br/>
      </w:r>
    </w:p>
    <w:p w14:paraId="7FF2276F" w14:textId="77777777" w:rsidR="00D531C3" w:rsidRDefault="00D531C3">
      <w:r>
        <w:br w:type="page"/>
      </w:r>
    </w:p>
    <w:p w14:paraId="0A8F7C4B" w14:textId="77777777" w:rsidR="00D531C3" w:rsidRPr="00D531C3" w:rsidRDefault="00D531C3" w:rsidP="00D531C3">
      <w:pPr>
        <w:jc w:val="both"/>
      </w:pPr>
      <w:r w:rsidRPr="00D531C3">
        <w:rPr>
          <w:b/>
          <w:bCs/>
        </w:rPr>
        <w:lastRenderedPageBreak/>
        <w:t>Chronic Kidney Disease: The role of stem cells in kidney regeneration</w:t>
      </w:r>
    </w:p>
    <w:p w14:paraId="3D9FF8E7" w14:textId="77777777" w:rsidR="00D531C3" w:rsidRPr="00D531C3" w:rsidRDefault="00D531C3" w:rsidP="00D531C3">
      <w:pPr>
        <w:jc w:val="both"/>
      </w:pPr>
      <w:r w:rsidRPr="00D531C3">
        <w:t>Rigga Alexia</w:t>
      </w:r>
      <w:r w:rsidRPr="00D531C3">
        <w:rPr>
          <w:vertAlign w:val="superscript"/>
        </w:rPr>
        <w:t>1</w:t>
      </w:r>
      <w:r w:rsidRPr="00D531C3">
        <w:t>, Dimogli Xeni – Eleutheria</w:t>
      </w:r>
      <w:r w:rsidRPr="00D531C3">
        <w:rPr>
          <w:vertAlign w:val="superscript"/>
        </w:rPr>
        <w:t>1</w:t>
      </w:r>
      <w:r w:rsidRPr="00D531C3">
        <w:t>, Chatzis Emmanouil</w:t>
      </w:r>
      <w:r w:rsidRPr="00D531C3">
        <w:rPr>
          <w:vertAlign w:val="superscript"/>
        </w:rPr>
        <w:t>2</w:t>
      </w:r>
      <w:r w:rsidRPr="00D531C3">
        <w:t>, Pappas Ioannis</w:t>
      </w:r>
      <w:r w:rsidRPr="00D531C3">
        <w:rPr>
          <w:vertAlign w:val="superscript"/>
        </w:rPr>
        <w:t>3</w:t>
      </w:r>
      <w:r w:rsidRPr="00D531C3">
        <w:t>, Pappa Elena</w:t>
      </w:r>
      <w:r w:rsidRPr="00D531C3">
        <w:rPr>
          <w:vertAlign w:val="superscript"/>
        </w:rPr>
        <w:t>4</w:t>
      </w:r>
    </w:p>
    <w:p w14:paraId="3D1C7D7A" w14:textId="77777777" w:rsidR="00D531C3" w:rsidRPr="00D531C3" w:rsidRDefault="00D531C3">
      <w:pPr>
        <w:numPr>
          <w:ilvl w:val="0"/>
          <w:numId w:val="66"/>
        </w:numPr>
        <w:jc w:val="both"/>
      </w:pPr>
      <w:r w:rsidRPr="00D531C3">
        <w:t>Undergraduate student, Department of Veterinary Medicine, School of Health Sciences, University of Thessaly</w:t>
      </w:r>
    </w:p>
    <w:p w14:paraId="090676B5" w14:textId="77777777" w:rsidR="00D531C3" w:rsidRPr="00D531C3" w:rsidRDefault="00D531C3">
      <w:pPr>
        <w:numPr>
          <w:ilvl w:val="0"/>
          <w:numId w:val="66"/>
        </w:numPr>
        <w:jc w:val="both"/>
      </w:pPr>
      <w:r w:rsidRPr="00D531C3">
        <w:t>Postdoctoral Lecturer, Academic Fellow, Companion Animal Pathology, Department of Veterinary Medicine, School of Health Sciences, University of Thessaly.</w:t>
      </w:r>
    </w:p>
    <w:p w14:paraId="5804B8DF" w14:textId="77777777" w:rsidR="00D531C3" w:rsidRPr="00D531C3" w:rsidRDefault="00D531C3">
      <w:pPr>
        <w:numPr>
          <w:ilvl w:val="0"/>
          <w:numId w:val="66"/>
        </w:numPr>
        <w:jc w:val="both"/>
      </w:pPr>
      <w:r w:rsidRPr="00D531C3">
        <w:t>Professor, Pharmacology and Toxicology Laboratory, Department of Veterinary Medicine, School of Health Sciences, University of Thessaly</w:t>
      </w:r>
    </w:p>
    <w:p w14:paraId="483528EA" w14:textId="77777777" w:rsidR="00D531C3" w:rsidRDefault="00D531C3">
      <w:pPr>
        <w:numPr>
          <w:ilvl w:val="0"/>
          <w:numId w:val="66"/>
        </w:numPr>
        <w:jc w:val="both"/>
      </w:pPr>
      <w:r w:rsidRPr="00D531C3">
        <w:t>Veterinarian, Doctor of Surgery, Contract Lecturer, Department of Veterinary Medicine, School of Health Sciences, University of Thessaly</w:t>
      </w:r>
    </w:p>
    <w:p w14:paraId="6A8E9DDD" w14:textId="77777777" w:rsidR="00D531C3" w:rsidRPr="00D531C3" w:rsidRDefault="00D531C3" w:rsidP="00D531C3">
      <w:pPr>
        <w:ind w:left="720"/>
        <w:jc w:val="both"/>
      </w:pPr>
    </w:p>
    <w:p w14:paraId="3A6F740C" w14:textId="77777777" w:rsidR="00D531C3" w:rsidRPr="00D531C3" w:rsidRDefault="00D531C3" w:rsidP="00D531C3">
      <w:pPr>
        <w:jc w:val="both"/>
      </w:pPr>
      <w:r w:rsidRPr="00D531C3">
        <w:rPr>
          <w:b/>
          <w:bCs/>
        </w:rPr>
        <w:t>Abstract</w:t>
      </w:r>
    </w:p>
    <w:p w14:paraId="60C3BE6F" w14:textId="77777777" w:rsidR="00D531C3" w:rsidRDefault="00D531C3" w:rsidP="00D531C3">
      <w:pPr>
        <w:jc w:val="both"/>
      </w:pPr>
      <w:r w:rsidRPr="00D531C3">
        <w:t>Chronic Kidney Disease (CKD) is a progressive and irreversible condition with a significant impact on the health of dogs and cats, as it leads to a gradual loss of kidney function. Conventional treatment options are limited and do not aim for a complete cure, therefore, it is necessary to explore new therapeutic approaches. The possibility of regenerating renal tissue using stem cells is one such prospect, however, further research is necessary focusing on their mechanisms of action and their potential application in CKD. Stem cells exhibit regenerative and immunomodulatory properties, contributing to the reduction of inflammation and fibrosis, as well as the restoration of renal function. Despite the encouraging results from experimental and clinical studies, the efficacy and safety of the treatment have not yet been fully documented. Therefore, defining protocols and the evaluation of the long-term effect of the treatment are essential. The use of stem cells may in the future constitute an innovative therapeutic approach aimed not only at slowing down but also at reversing CKD.</w:t>
      </w:r>
    </w:p>
    <w:p w14:paraId="69E07BF6" w14:textId="77777777" w:rsidR="00D531C3" w:rsidRPr="00D531C3" w:rsidRDefault="00D531C3" w:rsidP="00D531C3">
      <w:pPr>
        <w:jc w:val="both"/>
      </w:pPr>
    </w:p>
    <w:p w14:paraId="506D8C81" w14:textId="77777777" w:rsidR="00D531C3" w:rsidRPr="00D531C3" w:rsidRDefault="00D531C3" w:rsidP="00D531C3">
      <w:pPr>
        <w:jc w:val="both"/>
      </w:pPr>
      <w:r w:rsidRPr="00D531C3">
        <w:rPr>
          <w:b/>
          <w:bCs/>
        </w:rPr>
        <w:t>Bibliography </w:t>
      </w:r>
    </w:p>
    <w:p w14:paraId="3633D6C3" w14:textId="64006E4C" w:rsidR="00D531C3" w:rsidRPr="00D531C3" w:rsidRDefault="00D531C3" w:rsidP="00D531C3">
      <w:pPr>
        <w:jc w:val="both"/>
      </w:pPr>
      <w:r w:rsidRPr="00D531C3">
        <w:t>Banndi Geetika, Katam Partha Saradhi, Abiramy Prabavathy, and P Vijayalakshmi. Chronic kidney disease in Dogs: A comprehensive review. Int. J. Adv. Biochem. Res. 2024;8(12S):1099-1105.</w:t>
      </w:r>
    </w:p>
    <w:p w14:paraId="7DC2D266" w14:textId="77777777" w:rsidR="00D531C3" w:rsidRPr="00D531C3" w:rsidRDefault="00D531C3" w:rsidP="00D531C3">
      <w:pPr>
        <w:jc w:val="both"/>
      </w:pPr>
      <w:r w:rsidRPr="00D531C3">
        <w:t>da Silva Meirelles L, Bieback K and Bolontrade MF (2021) Editorial: Current Progress in Mesenchymal Stem/Stromal Cell Research. Front. Cell Dev. Biol. 9:658903. </w:t>
      </w:r>
    </w:p>
    <w:p w14:paraId="360E91E9" w14:textId="77777777" w:rsidR="00D531C3" w:rsidRPr="00D531C3" w:rsidRDefault="00D531C3" w:rsidP="00D531C3">
      <w:pPr>
        <w:jc w:val="both"/>
      </w:pPr>
      <w:r w:rsidRPr="00D531C3">
        <w:t>Dadousis, C.; Whetton, A.D.; Mwacalimba, K.; Merlo, A.; Wright, A.; Geifman, N. Renal Disease in Cats and Dogs —Lessons Learned from Text-Mined Trends in Humans. Animals 2024, 14, 3349. </w:t>
      </w:r>
    </w:p>
    <w:p w14:paraId="68005F0D" w14:textId="77777777" w:rsidR="00D531C3" w:rsidRPr="00D531C3" w:rsidRDefault="00D531C3" w:rsidP="00D531C3">
      <w:pPr>
        <w:jc w:val="both"/>
      </w:pPr>
      <w:r w:rsidRPr="00D531C3">
        <w:t>International Renal Interest Society, IRIS Staging System, https://www.iris-kidney.com/iris-staging-system</w:t>
      </w:r>
    </w:p>
    <w:p w14:paraId="714B5388" w14:textId="77777777" w:rsidR="00D531C3" w:rsidRPr="00D531C3" w:rsidRDefault="00D531C3" w:rsidP="00D531C3">
      <w:pPr>
        <w:jc w:val="both"/>
      </w:pPr>
      <w:r w:rsidRPr="00D531C3">
        <w:t>Joseph W. Bartges,Chronic Kidney Disease in Dogs and Cats,Veterinary Clinics of North America: Small Animal Practice, Volume 42, Issue 4, 2012, Pages 669-692, ISSN 0195-5616.</w:t>
      </w:r>
    </w:p>
    <w:p w14:paraId="71D07221" w14:textId="77777777" w:rsidR="00D531C3" w:rsidRPr="00D531C3" w:rsidRDefault="00D531C3" w:rsidP="00D531C3">
      <w:pPr>
        <w:jc w:val="both"/>
      </w:pPr>
      <w:r w:rsidRPr="00D531C3">
        <w:t>Morawska-Kozłowska, M.; Pitas, M.; Zhalniarovich, Y. Mesenchymal Stem Cells in Veterinary Medicine—Still Untapped Potential. Animals 2025, 15, 1175. </w:t>
      </w:r>
    </w:p>
    <w:p w14:paraId="64B74137" w14:textId="77777777" w:rsidR="00D531C3" w:rsidRPr="00D531C3" w:rsidRDefault="00D531C3" w:rsidP="00D531C3">
      <w:pPr>
        <w:jc w:val="both"/>
      </w:pPr>
      <w:r w:rsidRPr="00D531C3">
        <w:lastRenderedPageBreak/>
        <w:t>NOGUEIRA, A., PIRES, M. J., &amp; OLIVEIRA, P. A. (2017). Pathophysiological Mechanisms of Renal Fibrosis: A Review of Animal Models and Therapeutic Strategies. In Vivo, 31(1), 1. </w:t>
      </w:r>
    </w:p>
    <w:p w14:paraId="654DC41A" w14:textId="77777777" w:rsidR="00D531C3" w:rsidRPr="00D531C3" w:rsidRDefault="00D531C3" w:rsidP="00D531C3">
      <w:pPr>
        <w:jc w:val="both"/>
      </w:pPr>
      <w:r w:rsidRPr="00D531C3">
        <w:t>Quimby, J. M. (2019). Stem Cell Therapy. Veterinary Clinics of North America: Small Animal Practice, 49(2), 223– 231. </w:t>
      </w:r>
    </w:p>
    <w:p w14:paraId="73691393" w14:textId="77777777" w:rsidR="00D531C3" w:rsidRPr="00D531C3" w:rsidRDefault="00D531C3" w:rsidP="00D531C3">
      <w:pPr>
        <w:jc w:val="both"/>
      </w:pPr>
      <w:r w:rsidRPr="00D531C3">
        <w:t>Rachel Cianciolo, Jessica Hokamp, Mary Nabity, Advances in the evaluation of canine renal disease, The Veterinary Journal, Volume 215, 2016, Pages 21-29, ISSN 1090- 0233.</w:t>
      </w:r>
    </w:p>
    <w:p w14:paraId="2120F174" w14:textId="77777777" w:rsidR="00D531C3" w:rsidRPr="00D531C3" w:rsidRDefault="00D531C3" w:rsidP="00D531C3">
      <w:pPr>
        <w:jc w:val="both"/>
      </w:pPr>
      <w:r w:rsidRPr="00D531C3">
        <w:t>Voga M, Adamic N, Vengust M and Majdic G (2020) Stem Cells in Veterinary Medicine—Current State and Treatment Options. Front. Vet. Sci. 7:278.</w:t>
      </w:r>
    </w:p>
    <w:p w14:paraId="07DBBD25" w14:textId="77777777" w:rsidR="00D531C3" w:rsidRPr="00D531C3" w:rsidRDefault="00D531C3" w:rsidP="00D531C3">
      <w:pPr>
        <w:jc w:val="both"/>
      </w:pPr>
      <w:r w:rsidRPr="00D531C3">
        <w:t>Wang, Yanjun, Luo, Pengli, Wuren, Tana, Narrative Review of Mesenchymal Stem Cell Therapy in Renal Diseases: Mechanisms, Clinical Applications, and Future Directions, Stem Cells International, 2024, 8658246, 11 pages, 2024. </w:t>
      </w:r>
    </w:p>
    <w:p w14:paraId="13F3EB4B" w14:textId="77777777" w:rsidR="00D531C3" w:rsidRDefault="00D531C3" w:rsidP="00D531C3">
      <w:pPr>
        <w:jc w:val="both"/>
      </w:pPr>
      <w:r w:rsidRPr="00D531C3">
        <w:t>Yasuda, K., Ozaki, T., Saka, Y., Yamamoto, T., Gotoh, M., Ito, Y., Yuzawa, Y., Matsuo, S., &amp; Maruyama, S. (2012). Autologous cell therapy for cisplatin-induced acute kidney injury by using non-expanded adipose tissue-derived cells. Cytotherapy, 14(9), 1089–1100.</w:t>
      </w:r>
    </w:p>
    <w:p w14:paraId="75D999AD" w14:textId="77777777" w:rsidR="00D531C3" w:rsidRDefault="00D531C3" w:rsidP="00D531C3">
      <w:pPr>
        <w:jc w:val="both"/>
      </w:pPr>
    </w:p>
    <w:p w14:paraId="12C4CEC4" w14:textId="77777777" w:rsidR="00D531C3" w:rsidRDefault="00D531C3" w:rsidP="00D531C3">
      <w:pPr>
        <w:jc w:val="both"/>
      </w:pPr>
    </w:p>
    <w:p w14:paraId="76C4DE31" w14:textId="77777777" w:rsidR="00D531C3" w:rsidRDefault="00D531C3" w:rsidP="00D531C3">
      <w:pPr>
        <w:jc w:val="both"/>
      </w:pPr>
    </w:p>
    <w:p w14:paraId="322CD059" w14:textId="77777777" w:rsidR="00D531C3" w:rsidRDefault="00D531C3" w:rsidP="00D531C3">
      <w:pPr>
        <w:jc w:val="both"/>
      </w:pPr>
    </w:p>
    <w:p w14:paraId="00A732F9" w14:textId="77777777" w:rsidR="00D531C3" w:rsidRDefault="00D531C3" w:rsidP="00D531C3">
      <w:pPr>
        <w:jc w:val="both"/>
      </w:pPr>
    </w:p>
    <w:p w14:paraId="286B8D9B" w14:textId="77777777" w:rsidR="00D531C3" w:rsidRDefault="00D531C3" w:rsidP="00D531C3">
      <w:pPr>
        <w:jc w:val="both"/>
      </w:pPr>
    </w:p>
    <w:p w14:paraId="24D23908" w14:textId="77777777" w:rsidR="00D531C3" w:rsidRDefault="00D531C3" w:rsidP="00D531C3">
      <w:pPr>
        <w:jc w:val="both"/>
      </w:pPr>
    </w:p>
    <w:p w14:paraId="26470F8E" w14:textId="77777777" w:rsidR="00D531C3" w:rsidRDefault="00D531C3" w:rsidP="00D531C3">
      <w:pPr>
        <w:jc w:val="both"/>
      </w:pPr>
    </w:p>
    <w:p w14:paraId="3B3017D1" w14:textId="77777777" w:rsidR="00D531C3" w:rsidRDefault="00D531C3" w:rsidP="00D531C3">
      <w:pPr>
        <w:jc w:val="both"/>
      </w:pPr>
    </w:p>
    <w:p w14:paraId="27EDE610" w14:textId="77777777" w:rsidR="00D531C3" w:rsidRDefault="00D531C3" w:rsidP="00D531C3">
      <w:pPr>
        <w:jc w:val="both"/>
      </w:pPr>
    </w:p>
    <w:p w14:paraId="46F80FFD" w14:textId="77777777" w:rsidR="00D531C3" w:rsidRDefault="00D531C3" w:rsidP="00D531C3">
      <w:pPr>
        <w:jc w:val="both"/>
      </w:pPr>
    </w:p>
    <w:p w14:paraId="14F857AE" w14:textId="77777777" w:rsidR="00D531C3" w:rsidRDefault="00D531C3" w:rsidP="00D531C3">
      <w:pPr>
        <w:jc w:val="both"/>
      </w:pPr>
    </w:p>
    <w:p w14:paraId="73765BFC" w14:textId="77777777" w:rsidR="00D531C3" w:rsidRDefault="00D531C3" w:rsidP="00D531C3">
      <w:pPr>
        <w:jc w:val="both"/>
      </w:pPr>
    </w:p>
    <w:p w14:paraId="70E5C14F" w14:textId="77777777" w:rsidR="00D531C3" w:rsidRDefault="00D531C3" w:rsidP="00D531C3">
      <w:pPr>
        <w:jc w:val="both"/>
      </w:pPr>
    </w:p>
    <w:p w14:paraId="6387B15C" w14:textId="77777777" w:rsidR="00D531C3" w:rsidRDefault="00D531C3" w:rsidP="00D531C3">
      <w:pPr>
        <w:jc w:val="both"/>
      </w:pPr>
    </w:p>
    <w:p w14:paraId="4B779D24" w14:textId="77777777" w:rsidR="00D531C3" w:rsidRDefault="00D531C3" w:rsidP="00D531C3">
      <w:pPr>
        <w:jc w:val="both"/>
      </w:pPr>
    </w:p>
    <w:p w14:paraId="56BE4C3A" w14:textId="77777777" w:rsidR="00D531C3" w:rsidRDefault="00D531C3" w:rsidP="00D531C3">
      <w:pPr>
        <w:jc w:val="both"/>
      </w:pPr>
    </w:p>
    <w:p w14:paraId="7274A545" w14:textId="77777777" w:rsidR="00D531C3" w:rsidRDefault="00D531C3" w:rsidP="00D531C3">
      <w:pPr>
        <w:jc w:val="both"/>
      </w:pPr>
    </w:p>
    <w:p w14:paraId="7EBA3E0E" w14:textId="77777777" w:rsidR="00D531C3" w:rsidRDefault="00D531C3" w:rsidP="00D531C3">
      <w:pPr>
        <w:jc w:val="both"/>
      </w:pPr>
    </w:p>
    <w:p w14:paraId="6F9B2802" w14:textId="77777777" w:rsidR="00D531C3" w:rsidRPr="00D531C3" w:rsidRDefault="00D531C3" w:rsidP="00D531C3">
      <w:pPr>
        <w:jc w:val="both"/>
      </w:pPr>
    </w:p>
    <w:p w14:paraId="0F964E3A" w14:textId="77777777" w:rsidR="00D531C3" w:rsidRPr="00D531C3" w:rsidRDefault="00D531C3" w:rsidP="00D531C3">
      <w:pPr>
        <w:jc w:val="both"/>
      </w:pPr>
      <w:r w:rsidRPr="00D531C3">
        <w:rPr>
          <w:b/>
          <w:bCs/>
        </w:rPr>
        <w:lastRenderedPageBreak/>
        <w:t>Protein-losing enteropathy: Pathophysiology, Diagnosis and Clinical management </w:t>
      </w:r>
    </w:p>
    <w:p w14:paraId="1443C078" w14:textId="5D798438" w:rsidR="00D531C3" w:rsidRPr="00D531C3" w:rsidRDefault="00D531C3" w:rsidP="00D531C3">
      <w:pPr>
        <w:jc w:val="both"/>
      </w:pPr>
      <w:r w:rsidRPr="00D531C3">
        <w:t>Theofanis Svets</w:t>
      </w:r>
      <w:r w:rsidRPr="00D531C3">
        <w:rPr>
          <w:u w:val="single"/>
          <w:vertAlign w:val="superscript"/>
        </w:rPr>
        <w:t>1</w:t>
      </w:r>
      <w:r w:rsidRPr="00D531C3">
        <w:t>, Εleni Gkika</w:t>
      </w:r>
      <w:r w:rsidRPr="00D531C3">
        <w:rPr>
          <w:vertAlign w:val="superscript"/>
        </w:rPr>
        <w:t>1</w:t>
      </w:r>
      <w:r w:rsidRPr="00D531C3">
        <w:t>,</w:t>
      </w:r>
      <w:r>
        <w:t xml:space="preserve"> </w:t>
      </w:r>
      <w:r w:rsidRPr="00D531C3">
        <w:t>Manolis Xatzis</w:t>
      </w:r>
      <w:r w:rsidRPr="00D531C3">
        <w:rPr>
          <w:vertAlign w:val="superscript"/>
        </w:rPr>
        <w:t>2 </w:t>
      </w:r>
    </w:p>
    <w:p w14:paraId="063B7451" w14:textId="2F6ECBA9" w:rsidR="00D531C3" w:rsidRPr="00D531C3" w:rsidRDefault="00D531C3">
      <w:pPr>
        <w:numPr>
          <w:ilvl w:val="0"/>
          <w:numId w:val="67"/>
        </w:numPr>
        <w:jc w:val="both"/>
      </w:pPr>
      <w:r w:rsidRPr="00D531C3">
        <w:t>Undergraduate Student, Faculty of Veterinary Medicine, School of Health Sciences, University of Thessaly.</w:t>
      </w:r>
    </w:p>
    <w:p w14:paraId="31EA0E29" w14:textId="77777777" w:rsidR="00D531C3" w:rsidRDefault="00D531C3">
      <w:pPr>
        <w:numPr>
          <w:ilvl w:val="0"/>
          <w:numId w:val="67"/>
        </w:numPr>
        <w:jc w:val="both"/>
      </w:pPr>
      <w:r w:rsidRPr="00D531C3">
        <w:rPr>
          <w:vertAlign w:val="superscript"/>
        </w:rPr>
        <w:t> </w:t>
      </w:r>
      <w:r w:rsidRPr="00D531C3">
        <w:t>Postdoctoral Lecturer, Internal Medicine Department, Faculty of Veterinary Medicine,School of Health Sciences, University of Thessaly </w:t>
      </w:r>
    </w:p>
    <w:p w14:paraId="21E606D1" w14:textId="77777777" w:rsidR="00D531C3" w:rsidRPr="00D531C3" w:rsidRDefault="00D531C3" w:rsidP="00D531C3">
      <w:pPr>
        <w:ind w:left="720"/>
        <w:jc w:val="both"/>
      </w:pPr>
    </w:p>
    <w:p w14:paraId="7B2E005A" w14:textId="77777777" w:rsidR="00D531C3" w:rsidRPr="00D531C3" w:rsidRDefault="00D531C3" w:rsidP="00D531C3">
      <w:pPr>
        <w:jc w:val="both"/>
      </w:pPr>
      <w:r w:rsidRPr="00D531C3">
        <w:rPr>
          <w:b/>
          <w:bCs/>
        </w:rPr>
        <w:t>Abstract</w:t>
      </w:r>
    </w:p>
    <w:p w14:paraId="2ED06526" w14:textId="77777777" w:rsidR="00D531C3" w:rsidRPr="00D531C3" w:rsidRDefault="00D531C3" w:rsidP="00D531C3">
      <w:pPr>
        <w:jc w:val="both"/>
      </w:pPr>
      <w:r w:rsidRPr="00D531C3">
        <w:t>Protein-losing enteropathy (PLE) is not a single disease, but rather a syndrome of diverse etiology, characterized by a wide range of clinical manifestations and a high likelihood of complications. It is commonly observed in dogs and less frequently in cats. Idiopathic inflammatory bowel disease (IBD), lymphangiectasia, and intestinal lymphoma are among the most common underlying causes of this syndrome.</w:t>
      </w:r>
    </w:p>
    <w:p w14:paraId="0BC51E60" w14:textId="77777777" w:rsidR="00D531C3" w:rsidRPr="00D531C3" w:rsidRDefault="00D531C3" w:rsidP="00D531C3">
      <w:pPr>
        <w:jc w:val="both"/>
      </w:pPr>
      <w:r w:rsidRPr="00D531C3">
        <w:t>Clinical signs vary depending on the underlying condition but are typically associated with diarrhea and weight loss. In this literature review, we will focus on the pathophysiology and the underlying causes of this syndrome in both young and adult animals, as well as on the management of each specific cause and the implementation of effective therapeutic approaches. Finally, reference will be made to the potential complications that may arise.</w:t>
      </w:r>
    </w:p>
    <w:p w14:paraId="242B0BDD" w14:textId="77777777" w:rsidR="00D531C3" w:rsidRPr="00D531C3" w:rsidRDefault="00D531C3" w:rsidP="00D531C3">
      <w:pPr>
        <w:jc w:val="both"/>
      </w:pPr>
    </w:p>
    <w:p w14:paraId="2272DF99" w14:textId="77777777" w:rsidR="00D531C3" w:rsidRPr="00D531C3" w:rsidRDefault="00D531C3" w:rsidP="00D531C3">
      <w:pPr>
        <w:jc w:val="both"/>
      </w:pPr>
      <w:r w:rsidRPr="00D531C3">
        <w:rPr>
          <w:b/>
          <w:bCs/>
        </w:rPr>
        <w:t>Bibliography </w:t>
      </w:r>
    </w:p>
    <w:p w14:paraId="2BF8C0E8" w14:textId="77777777" w:rsidR="00D531C3" w:rsidRPr="00D531C3" w:rsidRDefault="00D531C3" w:rsidP="00D531C3">
      <w:pPr>
        <w:jc w:val="both"/>
      </w:pPr>
      <w:r w:rsidRPr="00D531C3">
        <w:t>Craven, M. D., &amp; Washabau, R. J. (2019). Comparative pathophysiology and management of protein-losing enteropathy. Journal of Veterinary Internal Medicine, 33(2), 383–402. </w:t>
      </w:r>
    </w:p>
    <w:p w14:paraId="010D5356" w14:textId="77777777" w:rsidR="00D531C3" w:rsidRPr="00D531C3" w:rsidRDefault="00D531C3" w:rsidP="00D531C3">
      <w:pPr>
        <w:jc w:val="both"/>
      </w:pPr>
      <w:r w:rsidRPr="00D531C3">
        <w:t xml:space="preserve">Dandrieux, J. R. S. (2016). Inflammatory bowel disease </w:t>
      </w:r>
      <w:r w:rsidRPr="00D531C3">
        <w:rPr>
          <w:i/>
          <w:iCs/>
        </w:rPr>
        <w:t>versus</w:t>
      </w:r>
      <w:r w:rsidRPr="00D531C3">
        <w:t xml:space="preserve"> chronic enteropathy in dogs: are they one and the same? </w:t>
      </w:r>
      <w:r w:rsidRPr="00D531C3">
        <w:rPr>
          <w:i/>
          <w:iCs/>
        </w:rPr>
        <w:t>Journal of Small Animal Practice</w:t>
      </w:r>
      <w:r w:rsidRPr="00D531C3">
        <w:t xml:space="preserve">, </w:t>
      </w:r>
      <w:r w:rsidRPr="00D531C3">
        <w:rPr>
          <w:i/>
          <w:iCs/>
        </w:rPr>
        <w:t>57</w:t>
      </w:r>
      <w:r w:rsidRPr="00D531C3">
        <w:t>(11), 589–599. </w:t>
      </w:r>
    </w:p>
    <w:p w14:paraId="7742AF8E" w14:textId="77777777" w:rsidR="00D531C3" w:rsidRPr="00D531C3" w:rsidRDefault="00D531C3" w:rsidP="00D531C3">
      <w:pPr>
        <w:jc w:val="both"/>
      </w:pPr>
      <w:r w:rsidRPr="00D531C3">
        <w:t xml:space="preserve">Fong, K. Y. M., Oikonomidis, I. L., Leong, D., Lo, G., Heal, J., &amp; Woods, G. (2024). Hypoalbuminaemia and its association with disease and clinical outcomes in cats. </w:t>
      </w:r>
      <w:r w:rsidRPr="00D531C3">
        <w:rPr>
          <w:i/>
          <w:iCs/>
        </w:rPr>
        <w:t>Journal of Small Animal Practice</w:t>
      </w:r>
      <w:r w:rsidRPr="00D531C3">
        <w:t xml:space="preserve">, </w:t>
      </w:r>
      <w:r w:rsidRPr="00D531C3">
        <w:rPr>
          <w:i/>
          <w:iCs/>
        </w:rPr>
        <w:t>65</w:t>
      </w:r>
      <w:r w:rsidRPr="00D531C3">
        <w:t>(10), 721–729.</w:t>
      </w:r>
    </w:p>
    <w:p w14:paraId="5455C5F5" w14:textId="77777777" w:rsidR="00D531C3" w:rsidRPr="00D531C3" w:rsidRDefault="00D531C3" w:rsidP="00D531C3">
      <w:pPr>
        <w:jc w:val="both"/>
      </w:pPr>
      <w:r w:rsidRPr="00D531C3">
        <w:t xml:space="preserve">Heilmann, R. M., Jergens, A. E., Kathrani, A., Allenspach, K., Salavati Schmitz, S., Priestnall, S. L., Dandrieux, J. R. S., &amp; O’Connor, A. M. (2026). ACVIM–endorsed statement: consensus statement and systematic review on guidelines for the diagnosis and treatment of chronic inflammatory enteropathy in dogs. </w:t>
      </w:r>
      <w:r w:rsidRPr="00D531C3">
        <w:rPr>
          <w:i/>
          <w:iCs/>
        </w:rPr>
        <w:t>Journal of Veterinary Internal Medicine</w:t>
      </w:r>
      <w:r w:rsidRPr="00D531C3">
        <w:t xml:space="preserve">, </w:t>
      </w:r>
      <w:r w:rsidRPr="00D531C3">
        <w:rPr>
          <w:i/>
          <w:iCs/>
        </w:rPr>
        <w:t>40</w:t>
      </w:r>
      <w:r w:rsidRPr="00D531C3">
        <w:t>(1).</w:t>
      </w:r>
    </w:p>
    <w:p w14:paraId="7998389E" w14:textId="77777777" w:rsidR="00D531C3" w:rsidRPr="00D531C3" w:rsidRDefault="00D531C3" w:rsidP="00D531C3">
      <w:pPr>
        <w:jc w:val="both"/>
      </w:pPr>
      <w:r w:rsidRPr="00D531C3">
        <w:t xml:space="preserve">Jablonski, S. A., Mazepa, A. S. W., &amp; Tolbert, M. K. (2024). Use of octreotide for the treatment of protein-losing enteropathy in dogs: Retrospective study of 18 cases. </w:t>
      </w:r>
      <w:r w:rsidRPr="00D531C3">
        <w:rPr>
          <w:i/>
          <w:iCs/>
        </w:rPr>
        <w:t>Journal of Veterinary Internal Medicine</w:t>
      </w:r>
      <w:r w:rsidRPr="00D531C3">
        <w:t xml:space="preserve">, </w:t>
      </w:r>
      <w:r w:rsidRPr="00D531C3">
        <w:rPr>
          <w:i/>
          <w:iCs/>
        </w:rPr>
        <w:t>38</w:t>
      </w:r>
      <w:r w:rsidRPr="00D531C3">
        <w:t>(1), 145–151. </w:t>
      </w:r>
    </w:p>
    <w:p w14:paraId="5FC105D3" w14:textId="77777777" w:rsidR="00D531C3" w:rsidRPr="00D531C3" w:rsidRDefault="00D531C3" w:rsidP="00D531C3">
      <w:pPr>
        <w:jc w:val="both"/>
      </w:pPr>
      <w:r w:rsidRPr="00D531C3">
        <w:t xml:space="preserve">Mostovyi, Ye., Holovakha, V., Piddubniak, O., Sliusarenko, S., Sliusarenko, A., &amp; Samorai, M. (2020). The treating dogs for enteropathy with PLE. </w:t>
      </w:r>
      <w:r w:rsidRPr="00D531C3">
        <w:rPr>
          <w:i/>
          <w:iCs/>
        </w:rPr>
        <w:t>Scientific Messenger of LNU of Veterinary Medicine and Biotechnologies</w:t>
      </w:r>
      <w:r w:rsidRPr="00D531C3">
        <w:t xml:space="preserve">, </w:t>
      </w:r>
      <w:r w:rsidRPr="00D531C3">
        <w:rPr>
          <w:i/>
          <w:iCs/>
        </w:rPr>
        <w:t>22</w:t>
      </w:r>
      <w:r w:rsidRPr="00D531C3">
        <w:t>(98), 94–99. </w:t>
      </w:r>
    </w:p>
    <w:p w14:paraId="0B095662" w14:textId="77777777" w:rsidR="00D531C3" w:rsidRPr="00D531C3" w:rsidRDefault="00D531C3" w:rsidP="00D531C3">
      <w:pPr>
        <w:jc w:val="both"/>
      </w:pPr>
      <w:r w:rsidRPr="00D531C3">
        <w:t xml:space="preserve">Nelson, R. W., &amp; Couto, C. G. (Eds.). (2020). </w:t>
      </w:r>
      <w:r w:rsidRPr="00D531C3">
        <w:rPr>
          <w:i/>
          <w:iCs/>
        </w:rPr>
        <w:t>Small animal internal medicine</w:t>
      </w:r>
      <w:r w:rsidRPr="00D531C3">
        <w:t xml:space="preserve"> (sixth edition). Elsevier/Mosby.</w:t>
      </w:r>
    </w:p>
    <w:p w14:paraId="0043A235" w14:textId="77777777" w:rsidR="00D531C3" w:rsidRPr="00D531C3" w:rsidRDefault="00D531C3" w:rsidP="00D531C3">
      <w:pPr>
        <w:jc w:val="both"/>
      </w:pPr>
      <w:r w:rsidRPr="00D531C3">
        <w:lastRenderedPageBreak/>
        <w:t xml:space="preserve">Oishi, N., Ohta, H., Tamura, M., Hanazono, K., Miyoshi, K., Yokoyama, N., &amp; Shinbo, G. (2025). Prospective Estimation of the Prevalence of Thromboembolism in Dogs With Inflammatory Protein-Losing Enteropathy. </w:t>
      </w:r>
      <w:r w:rsidRPr="00D531C3">
        <w:rPr>
          <w:i/>
          <w:iCs/>
        </w:rPr>
        <w:t>Journal of Veterinary Internal Medicine</w:t>
      </w:r>
      <w:r w:rsidRPr="00D531C3">
        <w:t xml:space="preserve">, </w:t>
      </w:r>
      <w:r w:rsidRPr="00D531C3">
        <w:rPr>
          <w:i/>
          <w:iCs/>
        </w:rPr>
        <w:t>39</w:t>
      </w:r>
      <w:r w:rsidRPr="00D531C3">
        <w:t>(3), jvim70098. </w:t>
      </w:r>
    </w:p>
    <w:p w14:paraId="3DB26BFF" w14:textId="77777777" w:rsidR="00D531C3" w:rsidRPr="00D531C3" w:rsidRDefault="00D531C3" w:rsidP="00D531C3">
      <w:pPr>
        <w:jc w:val="both"/>
      </w:pPr>
      <w:r w:rsidRPr="00D531C3">
        <w:t xml:space="preserve">Owens, S., &amp; Indianopolis, M. (n.d.). </w:t>
      </w:r>
      <w:r w:rsidRPr="00D531C3">
        <w:rPr>
          <w:i/>
          <w:iCs/>
        </w:rPr>
        <w:t>Management of PLE in Dogs</w:t>
      </w:r>
      <w:r w:rsidRPr="00D531C3">
        <w:t>.</w:t>
      </w:r>
    </w:p>
    <w:p w14:paraId="00E5FDF1" w14:textId="77777777" w:rsidR="00D531C3" w:rsidRPr="00D531C3" w:rsidRDefault="00D531C3" w:rsidP="00D531C3">
      <w:pPr>
        <w:jc w:val="both"/>
      </w:pPr>
      <w:r w:rsidRPr="00D531C3">
        <w:t xml:space="preserve">Peterson, P. B., &amp; Willard, M. D. (2003). Protein-losing enteropathies. </w:t>
      </w:r>
      <w:r w:rsidRPr="00D531C3">
        <w:rPr>
          <w:i/>
          <w:iCs/>
        </w:rPr>
        <w:t>Veterinary Clinics of North America: Small Animal Practice</w:t>
      </w:r>
      <w:r w:rsidRPr="00D531C3">
        <w:t xml:space="preserve">, </w:t>
      </w:r>
      <w:r w:rsidRPr="00D531C3">
        <w:rPr>
          <w:i/>
          <w:iCs/>
        </w:rPr>
        <w:t>33</w:t>
      </w:r>
      <w:r w:rsidRPr="00D531C3">
        <w:t>(5), 1061–1082. </w:t>
      </w:r>
    </w:p>
    <w:p w14:paraId="124BC26C" w14:textId="77777777" w:rsidR="00D531C3" w:rsidRPr="00D531C3" w:rsidRDefault="00D531C3" w:rsidP="00D531C3">
      <w:pPr>
        <w:jc w:val="both"/>
      </w:pPr>
      <w:r w:rsidRPr="00D531C3">
        <w:rPr>
          <w:i/>
          <w:iCs/>
        </w:rPr>
        <w:t>PLE in dogs: causes and treatments</w:t>
      </w:r>
      <w:r w:rsidRPr="00D531C3">
        <w:t>. (n.d.). Retrieved April 4, 2026, from https://academy.royalcanin.com/en/veterinary/ple-in-dogs-causes-and-treatments</w:t>
      </w:r>
    </w:p>
    <w:p w14:paraId="7F6E61BA" w14:textId="77777777" w:rsidR="00D531C3" w:rsidRPr="00D531C3" w:rsidRDefault="00D531C3" w:rsidP="00D531C3">
      <w:pPr>
        <w:jc w:val="both"/>
      </w:pPr>
      <w:r w:rsidRPr="00D531C3">
        <w:t xml:space="preserve">Salavati Schmitz, S., Gow, A., Bommer, N., Morrison, L., &amp; Mellanby, R. (2019). Diagnostic features, treatment, and outcome of dogs with inflammatory protein-losing enteropathy. </w:t>
      </w:r>
      <w:r w:rsidRPr="00D531C3">
        <w:rPr>
          <w:i/>
          <w:iCs/>
        </w:rPr>
        <w:t>Journal of Veterinary Internal Medicine</w:t>
      </w:r>
      <w:r w:rsidRPr="00D531C3">
        <w:t xml:space="preserve">, </w:t>
      </w:r>
      <w:r w:rsidRPr="00D531C3">
        <w:rPr>
          <w:i/>
          <w:iCs/>
        </w:rPr>
        <w:t>33</w:t>
      </w:r>
      <w:r w:rsidRPr="00D531C3">
        <w:t>(5), 2005–2013. </w:t>
      </w:r>
    </w:p>
    <w:p w14:paraId="48A826A0" w14:textId="77777777" w:rsidR="00D531C3" w:rsidRDefault="00D531C3" w:rsidP="00D531C3">
      <w:pPr>
        <w:jc w:val="both"/>
      </w:pPr>
      <w:r w:rsidRPr="00D531C3">
        <w:t xml:space="preserve">Simmerson, S. M., Armstrong, P. J., Wünschmann, A., Jessen, C. R., Crews, L. J., &amp; Washabau, R. J. (2014). Clinical Features, Intestinal Histopathology, and Outcome in Protein-Losing Enteropathy in Yorkshire Terrier Dogs. </w:t>
      </w:r>
      <w:r w:rsidRPr="00D531C3">
        <w:rPr>
          <w:i/>
          <w:iCs/>
        </w:rPr>
        <w:t>Journal of Veterinary Internal Medicine</w:t>
      </w:r>
      <w:r w:rsidRPr="00D531C3">
        <w:t xml:space="preserve">, </w:t>
      </w:r>
      <w:r w:rsidRPr="00D531C3">
        <w:rPr>
          <w:i/>
          <w:iCs/>
        </w:rPr>
        <w:t>28</w:t>
      </w:r>
      <w:r w:rsidRPr="00D531C3">
        <w:t xml:space="preserve">(2), 331–337. </w:t>
      </w:r>
    </w:p>
    <w:p w14:paraId="6D930012" w14:textId="77777777" w:rsidR="00D531C3" w:rsidRDefault="00D531C3" w:rsidP="00D531C3">
      <w:pPr>
        <w:jc w:val="both"/>
      </w:pPr>
    </w:p>
    <w:p w14:paraId="4FD72142" w14:textId="77777777" w:rsidR="00D531C3" w:rsidRDefault="00D531C3" w:rsidP="00D531C3">
      <w:pPr>
        <w:jc w:val="both"/>
      </w:pPr>
    </w:p>
    <w:p w14:paraId="7577CD72" w14:textId="77777777" w:rsidR="00D531C3" w:rsidRDefault="00D531C3" w:rsidP="00D531C3">
      <w:pPr>
        <w:jc w:val="both"/>
      </w:pPr>
    </w:p>
    <w:p w14:paraId="0DDDE676" w14:textId="77777777" w:rsidR="00D531C3" w:rsidRDefault="00D531C3" w:rsidP="00D531C3">
      <w:pPr>
        <w:jc w:val="both"/>
      </w:pPr>
    </w:p>
    <w:p w14:paraId="46D9DB99" w14:textId="77777777" w:rsidR="00D531C3" w:rsidRDefault="00D531C3" w:rsidP="00D531C3">
      <w:pPr>
        <w:jc w:val="both"/>
      </w:pPr>
    </w:p>
    <w:p w14:paraId="24E08DB5" w14:textId="77777777" w:rsidR="00D531C3" w:rsidRDefault="00D531C3" w:rsidP="00D531C3">
      <w:pPr>
        <w:jc w:val="both"/>
      </w:pPr>
    </w:p>
    <w:p w14:paraId="554EF6AD" w14:textId="77777777" w:rsidR="00D531C3" w:rsidRDefault="00D531C3" w:rsidP="00D531C3">
      <w:pPr>
        <w:jc w:val="both"/>
      </w:pPr>
    </w:p>
    <w:p w14:paraId="0CAE098D" w14:textId="77777777" w:rsidR="00D531C3" w:rsidRDefault="00D531C3" w:rsidP="00D531C3">
      <w:pPr>
        <w:jc w:val="both"/>
      </w:pPr>
    </w:p>
    <w:p w14:paraId="22596F0A" w14:textId="77777777" w:rsidR="00D531C3" w:rsidRDefault="00D531C3" w:rsidP="00D531C3">
      <w:pPr>
        <w:jc w:val="both"/>
      </w:pPr>
    </w:p>
    <w:p w14:paraId="5F0FE2A3" w14:textId="77777777" w:rsidR="00D531C3" w:rsidRDefault="00D531C3" w:rsidP="00D531C3">
      <w:pPr>
        <w:jc w:val="both"/>
      </w:pPr>
    </w:p>
    <w:p w14:paraId="7FF11427" w14:textId="77777777" w:rsidR="00D531C3" w:rsidRDefault="00D531C3" w:rsidP="00D531C3">
      <w:pPr>
        <w:jc w:val="both"/>
      </w:pPr>
    </w:p>
    <w:p w14:paraId="19CDF1BA" w14:textId="77777777" w:rsidR="00D531C3" w:rsidRDefault="00D531C3" w:rsidP="00D531C3">
      <w:pPr>
        <w:jc w:val="both"/>
      </w:pPr>
    </w:p>
    <w:p w14:paraId="1BB318BB" w14:textId="77777777" w:rsidR="00D531C3" w:rsidRDefault="00D531C3" w:rsidP="00D531C3">
      <w:pPr>
        <w:jc w:val="both"/>
      </w:pPr>
    </w:p>
    <w:p w14:paraId="680F1425" w14:textId="77777777" w:rsidR="00D531C3" w:rsidRDefault="00D531C3" w:rsidP="00D531C3">
      <w:pPr>
        <w:jc w:val="both"/>
      </w:pPr>
    </w:p>
    <w:p w14:paraId="725E2746" w14:textId="77777777" w:rsidR="00D531C3" w:rsidRDefault="00D531C3" w:rsidP="00D531C3">
      <w:pPr>
        <w:jc w:val="both"/>
      </w:pPr>
    </w:p>
    <w:p w14:paraId="58043463" w14:textId="77777777" w:rsidR="00D531C3" w:rsidRDefault="00D531C3" w:rsidP="00D531C3">
      <w:pPr>
        <w:jc w:val="both"/>
      </w:pPr>
    </w:p>
    <w:p w14:paraId="12BCADD0" w14:textId="77777777" w:rsidR="00D531C3" w:rsidRDefault="00D531C3" w:rsidP="00D531C3">
      <w:pPr>
        <w:jc w:val="both"/>
      </w:pPr>
    </w:p>
    <w:p w14:paraId="11908DD6" w14:textId="77777777" w:rsidR="00D531C3" w:rsidRDefault="00D531C3" w:rsidP="00D531C3">
      <w:pPr>
        <w:jc w:val="both"/>
      </w:pPr>
    </w:p>
    <w:p w14:paraId="53BE8C92" w14:textId="77777777" w:rsidR="00D531C3" w:rsidRDefault="00D531C3" w:rsidP="00D531C3">
      <w:pPr>
        <w:jc w:val="both"/>
      </w:pPr>
    </w:p>
    <w:p w14:paraId="7EE4987A" w14:textId="77777777" w:rsidR="00D531C3" w:rsidRPr="00D531C3" w:rsidRDefault="00D531C3" w:rsidP="00D531C3">
      <w:pPr>
        <w:jc w:val="both"/>
      </w:pPr>
    </w:p>
    <w:p w14:paraId="75DEA8B4" w14:textId="77777777" w:rsidR="00D531C3" w:rsidRPr="00D531C3" w:rsidRDefault="00D531C3" w:rsidP="00D531C3">
      <w:pPr>
        <w:jc w:val="both"/>
      </w:pPr>
      <w:r w:rsidRPr="00D531C3">
        <w:rPr>
          <w:b/>
          <w:bCs/>
        </w:rPr>
        <w:lastRenderedPageBreak/>
        <w:t>From hyperadrenocorticism to hypoaldosteronism: a rare complication of trilostane therapy</w:t>
      </w:r>
    </w:p>
    <w:p w14:paraId="79FB06C3" w14:textId="77777777" w:rsidR="00D531C3" w:rsidRPr="00D531C3" w:rsidRDefault="00D531C3" w:rsidP="00D531C3">
      <w:pPr>
        <w:jc w:val="both"/>
      </w:pPr>
      <w:r w:rsidRPr="00D531C3">
        <w:t>Vasiou Foteini</w:t>
      </w:r>
      <w:r w:rsidRPr="00D531C3">
        <w:rPr>
          <w:vertAlign w:val="superscript"/>
        </w:rPr>
        <w:t>1</w:t>
      </w:r>
      <w:r w:rsidRPr="00D531C3">
        <w:t>, Smirnaios Georgios</w:t>
      </w:r>
      <w:r w:rsidRPr="00D531C3">
        <w:rPr>
          <w:vertAlign w:val="superscript"/>
        </w:rPr>
        <w:t>1</w:t>
      </w:r>
      <w:r w:rsidRPr="00D531C3">
        <w:rPr>
          <w:u w:val="single"/>
        </w:rPr>
        <w:t>,</w:t>
      </w:r>
      <w:r w:rsidRPr="00D531C3">
        <w:t xml:space="preserve"> Vasiou M.</w:t>
      </w:r>
      <w:r w:rsidRPr="00D531C3">
        <w:rPr>
          <w:vertAlign w:val="superscript"/>
        </w:rPr>
        <w:t>2</w:t>
      </w:r>
      <w:r w:rsidRPr="00D531C3">
        <w:t>, Soumpasis Nektarios</w:t>
      </w:r>
      <w:r w:rsidRPr="00D531C3">
        <w:rPr>
          <w:vertAlign w:val="superscript"/>
        </w:rPr>
        <w:t>3</w:t>
      </w:r>
    </w:p>
    <w:p w14:paraId="2E3F4CF8" w14:textId="77777777" w:rsidR="00D531C3" w:rsidRPr="00D531C3" w:rsidRDefault="00D531C3">
      <w:pPr>
        <w:numPr>
          <w:ilvl w:val="0"/>
          <w:numId w:val="68"/>
        </w:numPr>
        <w:jc w:val="both"/>
      </w:pPr>
      <w:r w:rsidRPr="00D531C3">
        <w:t>Undergraduate Student, Department of Veterinary Medicine, School of Health Sciences, Aristotle University of Thessaloniki</w:t>
      </w:r>
    </w:p>
    <w:p w14:paraId="4D788FBF" w14:textId="77777777" w:rsidR="00D531C3" w:rsidRPr="00D531C3" w:rsidRDefault="00D531C3">
      <w:pPr>
        <w:numPr>
          <w:ilvl w:val="0"/>
          <w:numId w:val="68"/>
        </w:numPr>
        <w:jc w:val="both"/>
      </w:pPr>
      <w:r w:rsidRPr="00D531C3">
        <w:t>Veterinarian, Postgraduate Student, Companion Animals Clinic, Department of Veterinary Medicine, School of Health Sciences, Aristotle University of Thessaloniki</w:t>
      </w:r>
    </w:p>
    <w:p w14:paraId="252F816F" w14:textId="77777777" w:rsidR="00D531C3" w:rsidRPr="00D531C3" w:rsidRDefault="00D531C3">
      <w:pPr>
        <w:numPr>
          <w:ilvl w:val="0"/>
          <w:numId w:val="68"/>
        </w:numPr>
        <w:jc w:val="both"/>
      </w:pPr>
      <w:r w:rsidRPr="00D531C3">
        <w:t>Associate Professor of Companion Animal Internal Medicine, Department of Veterinary Medicine, School of Health Sciences, Aristotle University of Thessaloniki</w:t>
      </w:r>
    </w:p>
    <w:p w14:paraId="2A853A25" w14:textId="77777777" w:rsidR="00D531C3" w:rsidRPr="00D531C3" w:rsidRDefault="00D531C3" w:rsidP="00D531C3">
      <w:pPr>
        <w:jc w:val="both"/>
      </w:pPr>
    </w:p>
    <w:p w14:paraId="54146778" w14:textId="77777777" w:rsidR="00D531C3" w:rsidRPr="00D531C3" w:rsidRDefault="00D531C3" w:rsidP="00D531C3">
      <w:pPr>
        <w:jc w:val="both"/>
      </w:pPr>
      <w:r w:rsidRPr="00D531C3">
        <w:rPr>
          <w:b/>
          <w:bCs/>
        </w:rPr>
        <w:t>Abstract</w:t>
      </w:r>
    </w:p>
    <w:p w14:paraId="2DD2521E" w14:textId="77777777" w:rsidR="00D531C3" w:rsidRPr="00D531C3" w:rsidRDefault="00D531C3" w:rsidP="00D531C3">
      <w:pPr>
        <w:jc w:val="both"/>
      </w:pPr>
      <w:r w:rsidRPr="00D531C3">
        <w:t>Iatrogenic hypoaldosteronism constitutes a rare complication of therapy in dogs diagnosed with hyperadrenocorticism and undergoing treatment with trilostane. The most commonly observed clinical manifestations include anorexia, vomiting, diarrhea, lethargy, and weakness, while the predominant laboratory abnormalities are hyponatremia and hyperkalemia. The tetracosactide (synthetic ACTH) stimulation test is the diagnostic test of choice for confirming hypoaldosteronism. Treatment is divided into two phases: the acute management of an adrenocortical crisis and the subsequent long-term treatment following stabilization of the patient. The present case involves a 6.5-year-old spayed female Cocker Spaniel that was brought to the clinic due to anorexia. The patient had been receiving trilostane therapy for two years following a diagnosis of hyperadrenocorticism. No abnormalities were detected during the physical examination. Laboratory evaluation demonstrated hyponatremia and a decreased sodium-to-potassium ratio (Na</w:t>
      </w:r>
      <w:r w:rsidRPr="00D531C3">
        <w:rPr>
          <w:rFonts w:ascii="Cambria Math" w:hAnsi="Cambria Math" w:cs="Cambria Math"/>
        </w:rPr>
        <w:t>⁺</w:t>
      </w:r>
      <w:r w:rsidRPr="00D531C3">
        <w:t>/K</w:t>
      </w:r>
      <w:r w:rsidRPr="00D531C3">
        <w:rPr>
          <w:rFonts w:ascii="Cambria Math" w:hAnsi="Cambria Math" w:cs="Cambria Math"/>
        </w:rPr>
        <w:t>⁺</w:t>
      </w:r>
      <w:r w:rsidRPr="00D531C3">
        <w:t xml:space="preserve"> = 22). During the tetracosactide stimulation test, cortisol concentrations were within reference intervals, whereas aldosterone levels were markedly decreased. Based on these findings, a diagnosis of iatrogenic hypoaldosteronism was established, and treatment with desoxycorticosterone was initiated. Follow-up assessments demonstrated both clinical and laboratory improvement, with the Na</w:t>
      </w:r>
      <w:r w:rsidRPr="00D531C3">
        <w:rPr>
          <w:rFonts w:ascii="Cambria Math" w:hAnsi="Cambria Math" w:cs="Cambria Math"/>
        </w:rPr>
        <w:t>⁺</w:t>
      </w:r>
      <w:r w:rsidRPr="00D531C3">
        <w:t>/K</w:t>
      </w:r>
      <w:r w:rsidRPr="00D531C3">
        <w:rPr>
          <w:rFonts w:ascii="Cambria Math" w:hAnsi="Cambria Math" w:cs="Cambria Math"/>
        </w:rPr>
        <w:t>⁺</w:t>
      </w:r>
      <w:r w:rsidRPr="00D531C3">
        <w:t xml:space="preserve"> ratio consistently maintained within reference limits. In conclusion, dogs receiving trilostane therapy may develop hypoaldosteronism as a treatment-related complication without concurrent disruption of cortisol concentrations, likely attributable to selective impairment or destruction of the zona glomerulosa of the adrenal cortex.</w:t>
      </w:r>
    </w:p>
    <w:p w14:paraId="78A51579" w14:textId="77777777" w:rsidR="00D531C3" w:rsidRPr="00D531C3" w:rsidRDefault="00D531C3" w:rsidP="00D531C3">
      <w:pPr>
        <w:jc w:val="both"/>
      </w:pPr>
    </w:p>
    <w:p w14:paraId="7035B538" w14:textId="77777777" w:rsidR="00D531C3" w:rsidRPr="00D531C3" w:rsidRDefault="00D531C3" w:rsidP="00D531C3">
      <w:pPr>
        <w:jc w:val="both"/>
      </w:pPr>
      <w:r w:rsidRPr="00D531C3">
        <w:rPr>
          <w:b/>
          <w:bCs/>
        </w:rPr>
        <w:t>Bibliography</w:t>
      </w:r>
    </w:p>
    <w:p w14:paraId="6A90FD58" w14:textId="22BA86F8" w:rsidR="00D531C3" w:rsidRPr="00D531C3" w:rsidRDefault="00D531C3" w:rsidP="00D531C3">
      <w:pPr>
        <w:jc w:val="both"/>
      </w:pPr>
      <w:r w:rsidRPr="00D531C3">
        <w:t xml:space="preserve">Galac, S., Buijtels, J. J. C. W. M., Mol, J. A., &amp; Kooistra, H. S. (2010). Effects of trilostane on the pituitary-adrenocortical and renin-aldosterone axis in dogs with pituitary-dependent hypercortisolism. </w:t>
      </w:r>
      <w:r w:rsidRPr="00D531C3">
        <w:rPr>
          <w:i/>
          <w:iCs/>
        </w:rPr>
        <w:t>The Veterinary Journal, 183</w:t>
      </w:r>
      <w:r w:rsidRPr="00D531C3">
        <w:t>(1), 75–80.</w:t>
      </w:r>
    </w:p>
    <w:p w14:paraId="501461A1" w14:textId="68D89B4D" w:rsidR="00D531C3" w:rsidRPr="00D531C3" w:rsidRDefault="00D531C3" w:rsidP="00D531C3">
      <w:pPr>
        <w:jc w:val="both"/>
      </w:pPr>
      <w:r w:rsidRPr="00D531C3">
        <w:t xml:space="preserve">Galac, S., Fracassi, F., &amp; Feldman, E. C. (2025). </w:t>
      </w:r>
      <w:r w:rsidRPr="00D531C3">
        <w:rPr>
          <w:i/>
          <w:iCs/>
        </w:rPr>
        <w:t>Canine Endocrinology</w:t>
      </w:r>
      <w:r w:rsidRPr="00D531C3">
        <w:t>. Edra Publishing.</w:t>
      </w:r>
    </w:p>
    <w:p w14:paraId="38F248F0" w14:textId="77777777" w:rsidR="00D531C3" w:rsidRPr="00D531C3" w:rsidRDefault="00D531C3" w:rsidP="00D531C3">
      <w:pPr>
        <w:jc w:val="both"/>
      </w:pPr>
      <w:r w:rsidRPr="00D531C3">
        <w:t xml:space="preserve">Lemetayer, J., &amp; Blois, S. (2018). Update on the use of trilostane in dogs. </w:t>
      </w:r>
      <w:r w:rsidRPr="00D531C3">
        <w:rPr>
          <w:i/>
          <w:iCs/>
        </w:rPr>
        <w:t>The Canadian Veterinary Journal, 59</w:t>
      </w:r>
      <w:r w:rsidRPr="00D531C3">
        <w:t>, 397–407.</w:t>
      </w:r>
    </w:p>
    <w:p w14:paraId="052A3623" w14:textId="58CAD68D" w:rsidR="00D531C3" w:rsidRPr="00D531C3" w:rsidRDefault="00D531C3" w:rsidP="00D531C3">
      <w:pPr>
        <w:jc w:val="both"/>
      </w:pPr>
      <w:r w:rsidRPr="00D531C3">
        <w:t xml:space="preserve">Park, S. M., An, J. H., Kim, N. H., Oh, Y. I., Seo, K. W., &amp; Youn, H. Y. (2022). Isolated hypoaldosteronism managed by DOCP in a dog with chronic kidney disease and hypercortisolism. </w:t>
      </w:r>
      <w:r w:rsidRPr="00D531C3">
        <w:rPr>
          <w:i/>
          <w:iCs/>
        </w:rPr>
        <w:t>Veterinary Medicine and Science, 8</w:t>
      </w:r>
      <w:r w:rsidRPr="00D531C3">
        <w:t>, 2292–2296.</w:t>
      </w:r>
      <w:hyperlink r:id="rId76" w:history="1">
        <w:r w:rsidRPr="00D531C3">
          <w:rPr>
            <w:rStyle w:val="-"/>
          </w:rPr>
          <w:t> </w:t>
        </w:r>
      </w:hyperlink>
    </w:p>
    <w:p w14:paraId="1C7BF9FE" w14:textId="7895C98B" w:rsidR="00D531C3" w:rsidRPr="00D531C3" w:rsidRDefault="00D531C3" w:rsidP="00D531C3">
      <w:pPr>
        <w:jc w:val="both"/>
      </w:pPr>
      <w:r w:rsidRPr="00D531C3">
        <w:lastRenderedPageBreak/>
        <w:t xml:space="preserve">Raj, J., Lara, A. S., Bell, R., &amp; Tappin, S. (2021). Canine isolated hypoaldosteronism. </w:t>
      </w:r>
      <w:r w:rsidRPr="00D531C3">
        <w:rPr>
          <w:i/>
          <w:iCs/>
        </w:rPr>
        <w:t>Veterinary Record Case Reports, 9</w:t>
      </w:r>
      <w:r w:rsidRPr="00D531C3">
        <w:t>(2), e0029.</w:t>
      </w:r>
      <w:hyperlink r:id="rId77" w:history="1">
        <w:r w:rsidRPr="00D531C3">
          <w:rPr>
            <w:rStyle w:val="-"/>
          </w:rPr>
          <w:t> </w:t>
        </w:r>
      </w:hyperlink>
    </w:p>
    <w:p w14:paraId="5B3248C8" w14:textId="77777777" w:rsidR="00D531C3" w:rsidRPr="00D531C3" w:rsidRDefault="00D531C3" w:rsidP="00D531C3">
      <w:pPr>
        <w:jc w:val="both"/>
      </w:pPr>
      <w:r w:rsidRPr="00D531C3">
        <w:t xml:space="preserve">Reid, L. E., Behrend, E. N., Martin, L. G., Kemppainen, R. J., Ward, C. R., Lurye, J. C., Donovan, T. C., &amp; Lee, H. P. (2014). Effect of trilostane and mitotane on aldosterone secretory reserve in dogs with pituitary-dependent hyperadrenocorticism. </w:t>
      </w:r>
      <w:r w:rsidRPr="00D531C3">
        <w:rPr>
          <w:i/>
          <w:iCs/>
        </w:rPr>
        <w:t>Journal of Veterinary Internal Medicine, 28</w:t>
      </w:r>
      <w:r w:rsidRPr="00D531C3">
        <w:t>(2), 505–512.</w:t>
      </w:r>
    </w:p>
    <w:p w14:paraId="331F13BF" w14:textId="77777777" w:rsidR="00D531C3" w:rsidRPr="00D531C3" w:rsidRDefault="00D531C3" w:rsidP="00D531C3">
      <w:pPr>
        <w:jc w:val="both"/>
      </w:pPr>
      <w:r w:rsidRPr="00D531C3">
        <w:t xml:space="preserve">Reid, L. E., Behrend, E. N., Martin, L. G., Kemppainen, R. J., Ward, C. R., Lurye, J. C., Donovan, T. C., &amp; Lee, H. P. (2014). Effect of trilostane and mitotane on aldosterone secretory reserve in dogs with pituitary-dependent hyperadrenocorticism. </w:t>
      </w:r>
      <w:r w:rsidRPr="00D531C3">
        <w:rPr>
          <w:i/>
          <w:iCs/>
        </w:rPr>
        <w:t>Journal of Veterinary Internal Medicine, 28</w:t>
      </w:r>
      <w:r w:rsidRPr="00D531C3">
        <w:t>(2), 505–512.</w:t>
      </w:r>
    </w:p>
    <w:p w14:paraId="4A45603A" w14:textId="77777777" w:rsidR="00D531C3" w:rsidRPr="00D531C3" w:rsidRDefault="00D531C3" w:rsidP="00D531C3">
      <w:pPr>
        <w:jc w:val="both"/>
      </w:pPr>
      <w:r w:rsidRPr="00D531C3">
        <w:t xml:space="preserve">Sanders, K., Kooistra, H. S., &amp; Galac, S. (2018). Treating canine Cushing’s syndrome: Current options and future prospects. </w:t>
      </w:r>
      <w:r w:rsidRPr="00D531C3">
        <w:rPr>
          <w:i/>
          <w:iCs/>
        </w:rPr>
        <w:t>The Veterinary Journal, 241</w:t>
      </w:r>
      <w:r w:rsidRPr="00D531C3">
        <w:t>, 42–51.</w:t>
      </w:r>
      <w:hyperlink r:id="rId78" w:history="1">
        <w:r w:rsidRPr="00D531C3">
          <w:rPr>
            <w:rStyle w:val="-"/>
          </w:rPr>
          <w:t> </w:t>
        </w:r>
      </w:hyperlink>
    </w:p>
    <w:p w14:paraId="628962BE" w14:textId="77777777" w:rsidR="00D531C3" w:rsidRPr="00D531C3" w:rsidRDefault="00D531C3" w:rsidP="00D531C3">
      <w:pPr>
        <w:jc w:val="both"/>
      </w:pPr>
      <w:r w:rsidRPr="00D531C3">
        <w:t xml:space="preserve">Wenger, M., Sieber-Ruckstuhl, N. S., Müller, C., &amp; Reusch, C. E. (2004). Effect of trilostane on serum concentrations of aldosterone, cortisol, and potassium in dogs with pituitary-dependent hyperadrenocorticism. </w:t>
      </w:r>
      <w:r w:rsidRPr="00D531C3">
        <w:rPr>
          <w:i/>
          <w:iCs/>
        </w:rPr>
        <w:t>American Journal of Veterinary Research, 65</w:t>
      </w:r>
      <w:r w:rsidRPr="00D531C3">
        <w:t>(9), 1245–1250.</w:t>
      </w:r>
    </w:p>
    <w:p w14:paraId="4B9DEC6A" w14:textId="77777777" w:rsidR="00D531C3" w:rsidRDefault="00D531C3" w:rsidP="00D531C3">
      <w:pPr>
        <w:jc w:val="both"/>
      </w:pPr>
      <w:r w:rsidRPr="00D531C3">
        <w:br/>
      </w:r>
    </w:p>
    <w:p w14:paraId="3476AA88" w14:textId="77777777" w:rsidR="00D531C3" w:rsidRDefault="00D531C3" w:rsidP="00D531C3">
      <w:pPr>
        <w:jc w:val="both"/>
      </w:pPr>
    </w:p>
    <w:p w14:paraId="08CBBDB9" w14:textId="77777777" w:rsidR="00D531C3" w:rsidRDefault="00D531C3" w:rsidP="00D531C3">
      <w:pPr>
        <w:jc w:val="both"/>
      </w:pPr>
    </w:p>
    <w:p w14:paraId="5135EB87" w14:textId="77777777" w:rsidR="00D531C3" w:rsidRDefault="00D531C3" w:rsidP="00D531C3">
      <w:pPr>
        <w:jc w:val="both"/>
      </w:pPr>
    </w:p>
    <w:p w14:paraId="44E8A351" w14:textId="77777777" w:rsidR="00D531C3" w:rsidRDefault="00D531C3" w:rsidP="00D531C3">
      <w:pPr>
        <w:jc w:val="both"/>
      </w:pPr>
    </w:p>
    <w:p w14:paraId="2310AB59" w14:textId="77777777" w:rsidR="00D531C3" w:rsidRDefault="00D531C3" w:rsidP="00D531C3">
      <w:pPr>
        <w:jc w:val="both"/>
      </w:pPr>
    </w:p>
    <w:p w14:paraId="3F62DB4F" w14:textId="77777777" w:rsidR="00D531C3" w:rsidRDefault="00D531C3" w:rsidP="00D531C3">
      <w:pPr>
        <w:jc w:val="both"/>
      </w:pPr>
    </w:p>
    <w:p w14:paraId="3F58E767" w14:textId="77777777" w:rsidR="00D531C3" w:rsidRDefault="00D531C3" w:rsidP="00D531C3">
      <w:pPr>
        <w:jc w:val="both"/>
      </w:pPr>
    </w:p>
    <w:p w14:paraId="61C79FE9" w14:textId="77777777" w:rsidR="00D531C3" w:rsidRDefault="00D531C3" w:rsidP="00D531C3">
      <w:pPr>
        <w:jc w:val="both"/>
      </w:pPr>
    </w:p>
    <w:p w14:paraId="5D34293D" w14:textId="77777777" w:rsidR="00D531C3" w:rsidRDefault="00D531C3" w:rsidP="00D531C3">
      <w:pPr>
        <w:jc w:val="both"/>
      </w:pPr>
    </w:p>
    <w:p w14:paraId="7F10D07C" w14:textId="77777777" w:rsidR="00D531C3" w:rsidRDefault="00D531C3" w:rsidP="00D531C3">
      <w:pPr>
        <w:jc w:val="both"/>
      </w:pPr>
    </w:p>
    <w:p w14:paraId="02DE4086" w14:textId="77777777" w:rsidR="00D531C3" w:rsidRDefault="00D531C3" w:rsidP="00D531C3">
      <w:pPr>
        <w:jc w:val="both"/>
      </w:pPr>
    </w:p>
    <w:p w14:paraId="665AFB82" w14:textId="77777777" w:rsidR="00D531C3" w:rsidRDefault="00D531C3" w:rsidP="00D531C3">
      <w:pPr>
        <w:jc w:val="both"/>
      </w:pPr>
    </w:p>
    <w:p w14:paraId="156B9553" w14:textId="77777777" w:rsidR="00D531C3" w:rsidRDefault="00D531C3" w:rsidP="00D531C3">
      <w:pPr>
        <w:jc w:val="both"/>
      </w:pPr>
    </w:p>
    <w:p w14:paraId="1C0DB6D4" w14:textId="77777777" w:rsidR="00D531C3" w:rsidRDefault="00D531C3" w:rsidP="00D531C3">
      <w:pPr>
        <w:jc w:val="both"/>
      </w:pPr>
    </w:p>
    <w:p w14:paraId="081604F6" w14:textId="77777777" w:rsidR="00D531C3" w:rsidRDefault="00D531C3" w:rsidP="00D531C3">
      <w:pPr>
        <w:jc w:val="both"/>
      </w:pPr>
    </w:p>
    <w:p w14:paraId="6DFF61CF" w14:textId="77777777" w:rsidR="00D531C3" w:rsidRDefault="00D531C3" w:rsidP="00D531C3">
      <w:pPr>
        <w:jc w:val="both"/>
      </w:pPr>
    </w:p>
    <w:p w14:paraId="4A48B78B" w14:textId="77777777" w:rsidR="00D531C3" w:rsidRDefault="00D531C3" w:rsidP="00D531C3">
      <w:pPr>
        <w:jc w:val="both"/>
      </w:pPr>
    </w:p>
    <w:p w14:paraId="024E0F0E" w14:textId="77777777" w:rsidR="00D531C3" w:rsidRPr="00D531C3" w:rsidRDefault="00D531C3" w:rsidP="00D531C3">
      <w:pPr>
        <w:jc w:val="both"/>
      </w:pPr>
    </w:p>
    <w:p w14:paraId="04836CBD" w14:textId="77777777" w:rsidR="00D531C3" w:rsidRPr="00D531C3" w:rsidRDefault="00D531C3" w:rsidP="00D531C3">
      <w:pPr>
        <w:jc w:val="both"/>
      </w:pPr>
      <w:r w:rsidRPr="00D531C3">
        <w:rPr>
          <w:b/>
          <w:bCs/>
        </w:rPr>
        <w:lastRenderedPageBreak/>
        <w:t>Canine discoid lupus erythematosus: A case analysis.</w:t>
      </w:r>
    </w:p>
    <w:p w14:paraId="40EF340D" w14:textId="77777777" w:rsidR="00D531C3" w:rsidRPr="00D531C3" w:rsidRDefault="00D531C3" w:rsidP="00D531C3">
      <w:pPr>
        <w:jc w:val="both"/>
      </w:pPr>
      <w:r w:rsidRPr="00D531C3">
        <w:t>Paraskevi Giachounti</w:t>
      </w:r>
      <w:r w:rsidRPr="00D531C3">
        <w:rPr>
          <w:vertAlign w:val="superscript"/>
        </w:rPr>
        <w:t>1</w:t>
      </w:r>
      <w:r w:rsidRPr="00D531C3">
        <w:t>, Efthymiadou Maria</w:t>
      </w:r>
      <w:r w:rsidRPr="00D531C3">
        <w:rPr>
          <w:vertAlign w:val="superscript"/>
        </w:rPr>
        <w:t>1</w:t>
      </w:r>
      <w:r w:rsidRPr="00D531C3">
        <w:t>, Karantelou Savvina</w:t>
      </w:r>
      <w:r w:rsidRPr="00D531C3">
        <w:rPr>
          <w:vertAlign w:val="superscript"/>
        </w:rPr>
        <w:t>1</w:t>
      </w:r>
      <w:r w:rsidRPr="00D531C3">
        <w:t>, Chatzis Emmanouhl</w:t>
      </w:r>
      <w:r w:rsidRPr="00D531C3">
        <w:rPr>
          <w:vertAlign w:val="superscript"/>
        </w:rPr>
        <w:t>2</w:t>
      </w:r>
    </w:p>
    <w:p w14:paraId="33ACA2B3" w14:textId="77777777" w:rsidR="00D531C3" w:rsidRPr="00D531C3" w:rsidRDefault="00D531C3">
      <w:pPr>
        <w:numPr>
          <w:ilvl w:val="0"/>
          <w:numId w:val="69"/>
        </w:numPr>
        <w:jc w:val="both"/>
      </w:pPr>
      <w:r w:rsidRPr="00D531C3">
        <w:t>Undergraduate student, Department of Veterinary Medicine, School of Health Sciences, University of Thessaly</w:t>
      </w:r>
    </w:p>
    <w:p w14:paraId="00EA8DEA" w14:textId="77777777" w:rsidR="00D531C3" w:rsidRDefault="00D531C3">
      <w:pPr>
        <w:numPr>
          <w:ilvl w:val="0"/>
          <w:numId w:val="69"/>
        </w:numPr>
        <w:jc w:val="both"/>
      </w:pPr>
      <w:r w:rsidRPr="00D531C3">
        <w:t>Postdoctoral lecturer, Department of Veterinary Medicine, School of Health Sciences, University of Thessaly</w:t>
      </w:r>
    </w:p>
    <w:p w14:paraId="42F38B51" w14:textId="77777777" w:rsidR="00D531C3" w:rsidRPr="00D531C3" w:rsidRDefault="00D531C3" w:rsidP="00D531C3">
      <w:pPr>
        <w:ind w:left="720"/>
        <w:jc w:val="both"/>
      </w:pPr>
    </w:p>
    <w:p w14:paraId="4152F82A" w14:textId="77777777" w:rsidR="00D531C3" w:rsidRPr="00D531C3" w:rsidRDefault="00D531C3" w:rsidP="00D531C3">
      <w:pPr>
        <w:jc w:val="both"/>
      </w:pPr>
      <w:r w:rsidRPr="00D531C3">
        <w:rPr>
          <w:b/>
          <w:bCs/>
        </w:rPr>
        <w:t>Abstract</w:t>
      </w:r>
    </w:p>
    <w:p w14:paraId="270738E7" w14:textId="77777777" w:rsidR="00D531C3" w:rsidRPr="00D531C3" w:rsidRDefault="00D531C3" w:rsidP="00D531C3">
      <w:pPr>
        <w:jc w:val="both"/>
      </w:pPr>
      <w:r w:rsidRPr="00D531C3">
        <w:t>Lupus erythematosus is a well-established autoimmune disease affecting humans as well as dogs and cats. Canine lupus erythematosus can appear as cutaneous, systemic or bullous systemic. Among the cutaneous variants, discoid lupus erythematosus (DLE) represents the most prevalent clinical type in which autoantibodies target and destroy skin cells inducing lesions and relating symptoms. Depending on the morphology and anatomical distribution of these lesions, DLE is further classified into localized and generalized forms. To provide a comprehensive clinical overview of the disease, a case study of a canine patient diagnosed with discoid lupus erythematosus will be presented.</w:t>
      </w:r>
    </w:p>
    <w:p w14:paraId="5B1ECC75" w14:textId="77777777" w:rsidR="00D531C3" w:rsidRPr="00D531C3" w:rsidRDefault="00D531C3" w:rsidP="00D531C3">
      <w:pPr>
        <w:jc w:val="both"/>
      </w:pPr>
      <w:r w:rsidRPr="00D531C3">
        <w:t> </w:t>
      </w:r>
    </w:p>
    <w:p w14:paraId="47969CD7" w14:textId="77777777" w:rsidR="00D531C3" w:rsidRPr="00D531C3" w:rsidRDefault="00D531C3" w:rsidP="00D531C3">
      <w:pPr>
        <w:jc w:val="both"/>
      </w:pPr>
      <w:r w:rsidRPr="00D531C3">
        <w:rPr>
          <w:b/>
          <w:bCs/>
        </w:rPr>
        <w:t>Bibliography </w:t>
      </w:r>
    </w:p>
    <w:p w14:paraId="780BB300" w14:textId="77777777" w:rsidR="00D531C3" w:rsidRPr="00D531C3" w:rsidRDefault="00D531C3" w:rsidP="00D531C3">
      <w:pPr>
        <w:jc w:val="both"/>
      </w:pPr>
      <w:r w:rsidRPr="00D531C3">
        <w:t xml:space="preserve">Banovic, F., Olivry, T., Linder, K.E. (2014). </w:t>
      </w:r>
      <w:r w:rsidRPr="00D531C3">
        <w:rPr>
          <w:i/>
          <w:iCs/>
        </w:rPr>
        <w:t>Ciclosporin therapy for canine generalized discoid lupus erythematosus refractory to doxycycline and niacinamide. Vet Dermatol, 25:483-e79. </w:t>
      </w:r>
    </w:p>
    <w:p w14:paraId="73DF1177" w14:textId="77777777" w:rsidR="00D531C3" w:rsidRPr="00D531C3" w:rsidRDefault="00D531C3" w:rsidP="00D531C3">
      <w:pPr>
        <w:jc w:val="both"/>
      </w:pPr>
      <w:r w:rsidRPr="00D531C3">
        <w:t xml:space="preserve">Banovic, F., Linder, K.E., Uri, M., Rossi, M.A., Olivry, T. (2016). </w:t>
      </w:r>
      <w:r w:rsidRPr="00D531C3">
        <w:rPr>
          <w:i/>
          <w:iCs/>
        </w:rPr>
        <w:t>Clinical and microscopic features of generalized discoid lupus erythematosus in dogs (10 cases). Vet Dermatol, 27:488-e131.</w:t>
      </w:r>
    </w:p>
    <w:p w14:paraId="4FADF5D8" w14:textId="77777777" w:rsidR="00D531C3" w:rsidRPr="00D531C3" w:rsidRDefault="00D531C3" w:rsidP="00D531C3">
      <w:pPr>
        <w:jc w:val="both"/>
      </w:pPr>
      <w:r w:rsidRPr="00D531C3">
        <w:t xml:space="preserve">Brooks W., (2007). </w:t>
      </w:r>
      <w:r w:rsidRPr="00D531C3">
        <w:rPr>
          <w:i/>
          <w:iCs/>
        </w:rPr>
        <w:t>Discoid Lupus Erythematosus (DLE) in Dogs - Veterinary Partner – VIN </w:t>
      </w:r>
    </w:p>
    <w:p w14:paraId="5FBD43CC" w14:textId="77777777" w:rsidR="00D531C3" w:rsidRPr="00D531C3" w:rsidRDefault="00D531C3" w:rsidP="00D531C3">
      <w:pPr>
        <w:jc w:val="both"/>
      </w:pPr>
      <w:r w:rsidRPr="00D531C3">
        <w:t xml:space="preserve">da Silva MES, Christianetti B, Amazonas E and Pereira ML (2024) </w:t>
      </w:r>
      <w:r w:rsidRPr="00D531C3">
        <w:rPr>
          <w:i/>
          <w:iCs/>
        </w:rPr>
        <w:t>Case report: Cannabinoid therapy for discoid lupus erythematosus in a dog.</w:t>
      </w:r>
      <w:r w:rsidRPr="00D531C3">
        <w:t xml:space="preserve"> Front. Vet. Sci. 11:1309167. </w:t>
      </w:r>
    </w:p>
    <w:p w14:paraId="7ADECB43" w14:textId="77777777" w:rsidR="00D531C3" w:rsidRPr="00D531C3" w:rsidRDefault="00D531C3" w:rsidP="00D531C3">
      <w:pPr>
        <w:jc w:val="both"/>
      </w:pPr>
      <w:r w:rsidRPr="00D531C3">
        <w:rPr>
          <w:i/>
          <w:iCs/>
        </w:rPr>
        <w:t xml:space="preserve">Garelli C.J., Wong N.B., Piedra-Mora C., Wrijil L.M., Scarglia G., David C.M., Almela R.M., Robinson N.A., Richmond J.M. </w:t>
      </w:r>
      <w:r w:rsidRPr="00D531C3">
        <w:t xml:space="preserve">(2021). </w:t>
      </w:r>
      <w:r w:rsidRPr="00D531C3">
        <w:rPr>
          <w:i/>
          <w:iCs/>
        </w:rPr>
        <w:t>Shared inflammatory and skin-specific gene signatures reveal common drivers of discoid lupus erythematosus in canines, humans and mice.</w:t>
      </w:r>
      <w:r w:rsidRPr="00D531C3">
        <w:t xml:space="preserve"> </w:t>
      </w:r>
      <w:r w:rsidRPr="00D531C3">
        <w:rPr>
          <w:i/>
          <w:iCs/>
        </w:rPr>
        <w:t>Current Research in Immunology, Volume 2, 41-51.</w:t>
      </w:r>
    </w:p>
    <w:p w14:paraId="5028C798" w14:textId="77777777" w:rsidR="00D531C3" w:rsidRPr="00D531C3" w:rsidRDefault="00D531C3" w:rsidP="00D531C3">
      <w:pPr>
        <w:jc w:val="both"/>
      </w:pPr>
      <w:r w:rsidRPr="00D531C3">
        <w:rPr>
          <w:i/>
          <w:iCs/>
        </w:rPr>
        <w:t>Gouvêa, F. (2022). Discoid Lupus Erythematosus in Dog. Veterinária Notícias. </w:t>
      </w:r>
    </w:p>
    <w:p w14:paraId="477DEE9B" w14:textId="77777777" w:rsidR="00D531C3" w:rsidRPr="00D531C3" w:rsidRDefault="00D531C3" w:rsidP="00D531C3">
      <w:pPr>
        <w:jc w:val="both"/>
      </w:pPr>
      <w:r w:rsidRPr="00D531C3">
        <w:t xml:space="preserve">Harvey RG, Olivrī A, Lima T, Olivry T. (2023). </w:t>
      </w:r>
      <w:r w:rsidRPr="00D531C3">
        <w:rPr>
          <w:i/>
          <w:iCs/>
        </w:rPr>
        <w:t xml:space="preserve">Effective treatment of canine chronic cutaneous lupus erythematosus variants with oclacitinib: Seven cases. </w:t>
      </w:r>
      <w:r w:rsidRPr="00D531C3">
        <w:t>Vet Dermatol, 34(1),53–58. </w:t>
      </w:r>
    </w:p>
    <w:p w14:paraId="453788B9" w14:textId="77777777" w:rsidR="00D531C3" w:rsidRPr="00D531C3" w:rsidRDefault="00D531C3" w:rsidP="00D531C3">
      <w:pPr>
        <w:jc w:val="both"/>
      </w:pPr>
      <w:r w:rsidRPr="00D531C3">
        <w:t>Jung Y., Jang M., Kang R., Lee W. (2024).</w:t>
      </w:r>
      <w:r w:rsidRPr="00D531C3">
        <w:rPr>
          <w:i/>
          <w:iCs/>
        </w:rPr>
        <w:t xml:space="preserve"> Adjunctive Therapy of Pimecrolimus for Treatment of Facial Discoid Lupus Erythematosus in a Dog. </w:t>
      </w:r>
      <w:r w:rsidRPr="00D531C3">
        <w:t>J Vet Clin 2024; 41(1): 49-5</w:t>
      </w:r>
    </w:p>
    <w:p w14:paraId="7E8507EE" w14:textId="77777777" w:rsidR="00D531C3" w:rsidRPr="00D531C3" w:rsidRDefault="00D531C3" w:rsidP="00D531C3">
      <w:pPr>
        <w:jc w:val="both"/>
      </w:pPr>
      <w:r w:rsidRPr="00D531C3">
        <w:t xml:space="preserve">Kaltzogianni F., Koutinas A., Papadogiannakis E., Saridomichelakis M., Farmaki R., Chatzis M. (2022). </w:t>
      </w:r>
      <w:r w:rsidRPr="00D531C3">
        <w:rPr>
          <w:i/>
          <w:iCs/>
        </w:rPr>
        <w:t>Clinical Dermatology of companion animals.</w:t>
      </w:r>
      <w:r w:rsidRPr="00D531C3">
        <w:t xml:space="preserve"> Synchroni Paideia.</w:t>
      </w:r>
    </w:p>
    <w:p w14:paraId="508E36C9" w14:textId="77777777" w:rsidR="00D531C3" w:rsidRPr="00D531C3" w:rsidRDefault="00D531C3" w:rsidP="00D531C3">
      <w:pPr>
        <w:jc w:val="both"/>
      </w:pPr>
      <w:r w:rsidRPr="00D531C3">
        <w:t xml:space="preserve">Medleau L., Hnilica KA. (2002). </w:t>
      </w:r>
      <w:r w:rsidRPr="00D531C3">
        <w:rPr>
          <w:i/>
          <w:iCs/>
        </w:rPr>
        <w:t>Small Animal Dermatology. A color Atlas and Therapeutic Guide</w:t>
      </w:r>
      <w:r w:rsidRPr="00D531C3">
        <w:t>. W.B saunders. </w:t>
      </w:r>
    </w:p>
    <w:p w14:paraId="7AD8AAA3" w14:textId="77777777" w:rsidR="00D531C3" w:rsidRPr="00D531C3" w:rsidRDefault="00D531C3" w:rsidP="00D531C3">
      <w:pPr>
        <w:jc w:val="both"/>
      </w:pPr>
      <w:r w:rsidRPr="00D531C3">
        <w:lastRenderedPageBreak/>
        <w:t xml:space="preserve">Miller W., Griffin C., Campell K. (2012). </w:t>
      </w:r>
      <w:r w:rsidRPr="00D531C3">
        <w:rPr>
          <w:i/>
          <w:iCs/>
        </w:rPr>
        <w:t>Muller &amp; Kirk’s</w:t>
      </w:r>
      <w:r w:rsidRPr="00D531C3">
        <w:t xml:space="preserve"> </w:t>
      </w:r>
      <w:r w:rsidRPr="00D531C3">
        <w:rPr>
          <w:i/>
          <w:iCs/>
        </w:rPr>
        <w:t xml:space="preserve">Small Animal Dermatology. </w:t>
      </w:r>
      <w:r w:rsidRPr="00D531C3">
        <w:t>Elsevier.</w:t>
      </w:r>
    </w:p>
    <w:p w14:paraId="65172573" w14:textId="77777777" w:rsidR="00D531C3" w:rsidRPr="00D531C3" w:rsidRDefault="00D531C3" w:rsidP="00D531C3">
      <w:pPr>
        <w:jc w:val="both"/>
      </w:pPr>
      <w:r w:rsidRPr="00D531C3">
        <w:t xml:space="preserve">Niebel D., de Vos L., Fetter T.  (2023). </w:t>
      </w:r>
      <w:r w:rsidRPr="00D531C3">
        <w:rPr>
          <w:i/>
          <w:iCs/>
        </w:rPr>
        <w:t xml:space="preserve">Cutaneous Lupus Erythematosus: An Update on Pathogenesis and Future Therapeutic Directions.  </w:t>
      </w:r>
      <w:r w:rsidRPr="00D531C3">
        <w:t>American Journal of Clinical Dermatology, 24, 521–540 </w:t>
      </w:r>
    </w:p>
    <w:p w14:paraId="44049EE5" w14:textId="77777777" w:rsidR="00D531C3" w:rsidRPr="00D531C3" w:rsidRDefault="00D531C3" w:rsidP="00D531C3">
      <w:pPr>
        <w:jc w:val="both"/>
      </w:pPr>
      <w:r w:rsidRPr="00D531C3">
        <w:t xml:space="preserve">Olivry, T., Linder, K.E. &amp; Banovic, F. (2018). </w:t>
      </w:r>
      <w:r w:rsidRPr="00D531C3">
        <w:rPr>
          <w:i/>
          <w:iCs/>
        </w:rPr>
        <w:t>Cutaneous lupus erythematosus in dogs: a comprehensive review.</w:t>
      </w:r>
      <w:r w:rsidRPr="00D531C3">
        <w:t> BMC Vet Res 14, 132. </w:t>
      </w:r>
    </w:p>
    <w:p w14:paraId="0050832C" w14:textId="77777777" w:rsidR="00D531C3" w:rsidRPr="00D531C3" w:rsidRDefault="00D531C3" w:rsidP="00D531C3">
      <w:pPr>
        <w:jc w:val="both"/>
      </w:pPr>
      <w:r w:rsidRPr="00D531C3">
        <w:t xml:space="preserve">Rhodes KH. (2002). </w:t>
      </w:r>
      <w:r w:rsidRPr="00D531C3">
        <w:rPr>
          <w:i/>
          <w:iCs/>
        </w:rPr>
        <w:t>The 5-Minute Veterinary Consult Clinical Companion: Small Animal Dermatology</w:t>
      </w:r>
      <w:r w:rsidRPr="00D531C3">
        <w:t>. Lippincott Williams &amp; Walkins</w:t>
      </w:r>
    </w:p>
    <w:p w14:paraId="2BC4E981" w14:textId="77777777" w:rsidR="00D531C3" w:rsidRDefault="00D531C3" w:rsidP="00D531C3">
      <w:pPr>
        <w:jc w:val="both"/>
        <w:rPr>
          <w:i/>
          <w:iCs/>
        </w:rPr>
      </w:pPr>
      <w:r w:rsidRPr="00D531C3">
        <w:t xml:space="preserve">Zuba T., (2025). </w:t>
      </w:r>
      <w:r w:rsidRPr="00D531C3">
        <w:rPr>
          <w:i/>
          <w:iCs/>
        </w:rPr>
        <w:t>Canine cutaneus lupus erythematosus.</w:t>
      </w:r>
    </w:p>
    <w:p w14:paraId="39CF720C" w14:textId="77777777" w:rsidR="00D531C3" w:rsidRDefault="00D531C3" w:rsidP="00D531C3">
      <w:pPr>
        <w:jc w:val="both"/>
        <w:rPr>
          <w:i/>
          <w:iCs/>
        </w:rPr>
      </w:pPr>
    </w:p>
    <w:p w14:paraId="36881584" w14:textId="77777777" w:rsidR="00D531C3" w:rsidRDefault="00D531C3" w:rsidP="00D531C3">
      <w:pPr>
        <w:jc w:val="both"/>
        <w:rPr>
          <w:i/>
          <w:iCs/>
        </w:rPr>
      </w:pPr>
    </w:p>
    <w:p w14:paraId="4205CEC1" w14:textId="77777777" w:rsidR="00D531C3" w:rsidRDefault="00D531C3" w:rsidP="00D531C3">
      <w:pPr>
        <w:jc w:val="both"/>
      </w:pPr>
    </w:p>
    <w:p w14:paraId="7D0D1F26" w14:textId="77777777" w:rsidR="00D531C3" w:rsidRDefault="00D531C3" w:rsidP="00D531C3">
      <w:pPr>
        <w:jc w:val="both"/>
      </w:pPr>
    </w:p>
    <w:p w14:paraId="347D419E" w14:textId="77777777" w:rsidR="00D531C3" w:rsidRDefault="00D531C3" w:rsidP="00D531C3">
      <w:pPr>
        <w:jc w:val="both"/>
      </w:pPr>
    </w:p>
    <w:p w14:paraId="0F0828E0" w14:textId="77777777" w:rsidR="00D531C3" w:rsidRDefault="00D531C3" w:rsidP="00D531C3">
      <w:pPr>
        <w:jc w:val="both"/>
      </w:pPr>
    </w:p>
    <w:p w14:paraId="02B06822" w14:textId="77777777" w:rsidR="00D531C3" w:rsidRDefault="00D531C3" w:rsidP="00D531C3">
      <w:pPr>
        <w:jc w:val="both"/>
      </w:pPr>
    </w:p>
    <w:p w14:paraId="042093F0" w14:textId="77777777" w:rsidR="00D531C3" w:rsidRDefault="00D531C3" w:rsidP="00D531C3">
      <w:pPr>
        <w:jc w:val="both"/>
      </w:pPr>
    </w:p>
    <w:p w14:paraId="2C89542A" w14:textId="77777777" w:rsidR="00D531C3" w:rsidRDefault="00D531C3" w:rsidP="00D531C3">
      <w:pPr>
        <w:jc w:val="both"/>
      </w:pPr>
    </w:p>
    <w:p w14:paraId="4C299A7B" w14:textId="77777777" w:rsidR="00D531C3" w:rsidRDefault="00D531C3" w:rsidP="00D531C3">
      <w:pPr>
        <w:jc w:val="both"/>
      </w:pPr>
    </w:p>
    <w:p w14:paraId="06641782" w14:textId="77777777" w:rsidR="00D531C3" w:rsidRDefault="00D531C3" w:rsidP="00D531C3">
      <w:pPr>
        <w:jc w:val="both"/>
      </w:pPr>
    </w:p>
    <w:p w14:paraId="4D88A3B8" w14:textId="77777777" w:rsidR="00D531C3" w:rsidRDefault="00D531C3" w:rsidP="00D531C3">
      <w:pPr>
        <w:jc w:val="both"/>
      </w:pPr>
    </w:p>
    <w:p w14:paraId="584EED4B" w14:textId="77777777" w:rsidR="00D531C3" w:rsidRDefault="00D531C3" w:rsidP="00D531C3">
      <w:pPr>
        <w:jc w:val="both"/>
      </w:pPr>
    </w:p>
    <w:p w14:paraId="7789E6DD" w14:textId="77777777" w:rsidR="00D531C3" w:rsidRDefault="00D531C3" w:rsidP="00D531C3">
      <w:pPr>
        <w:jc w:val="both"/>
      </w:pPr>
    </w:p>
    <w:p w14:paraId="160958F0" w14:textId="77777777" w:rsidR="00D531C3" w:rsidRDefault="00D531C3" w:rsidP="00D531C3">
      <w:pPr>
        <w:jc w:val="both"/>
      </w:pPr>
    </w:p>
    <w:p w14:paraId="11F37EB3" w14:textId="77777777" w:rsidR="00D531C3" w:rsidRDefault="00D531C3" w:rsidP="00D531C3">
      <w:pPr>
        <w:jc w:val="both"/>
      </w:pPr>
    </w:p>
    <w:p w14:paraId="35E13389" w14:textId="77777777" w:rsidR="00D531C3" w:rsidRDefault="00D531C3" w:rsidP="00D531C3">
      <w:pPr>
        <w:jc w:val="both"/>
      </w:pPr>
    </w:p>
    <w:p w14:paraId="056AD9A5" w14:textId="77777777" w:rsidR="00D531C3" w:rsidRDefault="00D531C3" w:rsidP="00D531C3">
      <w:pPr>
        <w:jc w:val="both"/>
      </w:pPr>
    </w:p>
    <w:p w14:paraId="0FE5D595" w14:textId="77777777" w:rsidR="00D531C3" w:rsidRDefault="00D531C3" w:rsidP="00D531C3">
      <w:pPr>
        <w:jc w:val="both"/>
      </w:pPr>
    </w:p>
    <w:p w14:paraId="3DC25DCF" w14:textId="77777777" w:rsidR="00D531C3" w:rsidRDefault="00D531C3" w:rsidP="00D531C3">
      <w:pPr>
        <w:jc w:val="both"/>
      </w:pPr>
    </w:p>
    <w:p w14:paraId="5D424EF5" w14:textId="77777777" w:rsidR="00D531C3" w:rsidRDefault="00D531C3" w:rsidP="00D531C3">
      <w:pPr>
        <w:jc w:val="both"/>
      </w:pPr>
    </w:p>
    <w:p w14:paraId="38786404" w14:textId="77777777" w:rsidR="00D531C3" w:rsidRDefault="00D531C3" w:rsidP="00D531C3">
      <w:pPr>
        <w:jc w:val="both"/>
      </w:pPr>
    </w:p>
    <w:p w14:paraId="4410C6C7" w14:textId="77777777" w:rsidR="00D531C3" w:rsidRPr="00D531C3" w:rsidRDefault="00D531C3" w:rsidP="00D531C3">
      <w:pPr>
        <w:jc w:val="both"/>
      </w:pPr>
    </w:p>
    <w:p w14:paraId="3C3ECE62" w14:textId="77777777" w:rsidR="00D531C3" w:rsidRPr="00D531C3" w:rsidRDefault="00D531C3" w:rsidP="00D531C3">
      <w:pPr>
        <w:jc w:val="both"/>
      </w:pPr>
      <w:r w:rsidRPr="00D531C3">
        <w:rPr>
          <w:b/>
          <w:bCs/>
        </w:rPr>
        <w:lastRenderedPageBreak/>
        <w:t>Bronchial asthma: a feline case </w:t>
      </w:r>
    </w:p>
    <w:p w14:paraId="508069A1" w14:textId="5CFDD5D0" w:rsidR="00D531C3" w:rsidRPr="00D531C3" w:rsidRDefault="00D531C3" w:rsidP="00D531C3">
      <w:pPr>
        <w:jc w:val="both"/>
      </w:pPr>
      <w:r w:rsidRPr="00D531C3">
        <w:t>Argyrou</w:t>
      </w:r>
      <w:r>
        <w:t xml:space="preserve"> </w:t>
      </w:r>
      <w:r w:rsidRPr="00D531C3">
        <w:t>Maria-Nikoleta</w:t>
      </w:r>
      <w:r w:rsidRPr="00D531C3">
        <w:rPr>
          <w:vertAlign w:val="superscript"/>
        </w:rPr>
        <w:t>1</w:t>
      </w:r>
      <w:r w:rsidRPr="00D531C3">
        <w:t>, Sakellariadi Eleni-Georgia</w:t>
      </w:r>
      <w:r w:rsidRPr="00D531C3">
        <w:rPr>
          <w:vertAlign w:val="superscript"/>
        </w:rPr>
        <w:t>1</w:t>
      </w:r>
      <w:r w:rsidRPr="00D531C3">
        <w:t>, Tzara Stefania</w:t>
      </w:r>
      <w:r w:rsidRPr="00D531C3">
        <w:rPr>
          <w:vertAlign w:val="superscript"/>
        </w:rPr>
        <w:t>1</w:t>
      </w:r>
      <w:r w:rsidRPr="00D531C3">
        <w:t>, Adamama-Moraitou Aikaterini</w:t>
      </w:r>
      <w:r w:rsidRPr="00D531C3">
        <w:rPr>
          <w:vertAlign w:val="superscript"/>
        </w:rPr>
        <w:t>2 </w:t>
      </w:r>
    </w:p>
    <w:p w14:paraId="69613222" w14:textId="77777777" w:rsidR="00D531C3" w:rsidRPr="00D531C3" w:rsidRDefault="00D531C3">
      <w:pPr>
        <w:numPr>
          <w:ilvl w:val="0"/>
          <w:numId w:val="70"/>
        </w:numPr>
        <w:jc w:val="both"/>
      </w:pPr>
      <w:r w:rsidRPr="00D531C3">
        <w:t>Undergraduate student, Department of Veterinary Medicine, School of Health Sciences, Aristotle University of Thessaloniki </w:t>
      </w:r>
    </w:p>
    <w:p w14:paraId="50CD2ABA" w14:textId="77777777" w:rsidR="00D531C3" w:rsidRPr="00D531C3" w:rsidRDefault="00D531C3">
      <w:pPr>
        <w:numPr>
          <w:ilvl w:val="0"/>
          <w:numId w:val="70"/>
        </w:numPr>
        <w:jc w:val="both"/>
      </w:pPr>
      <w:r w:rsidRPr="00D531C3">
        <w:rPr>
          <w:vertAlign w:val="superscript"/>
        </w:rPr>
        <w:t> </w:t>
      </w:r>
      <w:r w:rsidRPr="00D531C3">
        <w:t>Professor, Department of Veterinary Medicine, School of Health Sciences, Aristotle University of Thessaloniki </w:t>
      </w:r>
    </w:p>
    <w:p w14:paraId="69ECFC62" w14:textId="77777777" w:rsidR="00D531C3" w:rsidRPr="00D531C3" w:rsidRDefault="00D531C3" w:rsidP="00D531C3">
      <w:pPr>
        <w:jc w:val="both"/>
      </w:pPr>
    </w:p>
    <w:p w14:paraId="439B1B23" w14:textId="77777777" w:rsidR="00D531C3" w:rsidRPr="00D531C3" w:rsidRDefault="00D531C3" w:rsidP="00D531C3">
      <w:pPr>
        <w:jc w:val="both"/>
      </w:pPr>
      <w:r w:rsidRPr="00D531C3">
        <w:rPr>
          <w:b/>
          <w:bCs/>
        </w:rPr>
        <w:t>Abstract</w:t>
      </w:r>
    </w:p>
    <w:p w14:paraId="306CD7E5" w14:textId="5C2DD7FF" w:rsidR="00D531C3" w:rsidRPr="00D531C3" w:rsidRDefault="00D531C3" w:rsidP="00D531C3">
      <w:pPr>
        <w:jc w:val="both"/>
      </w:pPr>
      <w:r w:rsidRPr="00D531C3">
        <w:t>Bronchial asthma-feline chronic bronchitis is a quite common pathological condition of the respiratory system in this species. The aetiopathogenesis of the disease has not yet been clearly defined, while the diagnostic investigation, definitive diagnosis and therapeutic management constitute a challenge for the veterinarians. The present study attends to describe this pathological condition, through the case of a cat.  A male cat of 6.5 months of age, was presented at a private clinic, presenting cough, dyspnea and tachypnea. According to its history, it first exhibited symptoms in October 2025. After thorough examinations, the possibility of bacterial and parasitical infection, as well as cardiac disease, were excluded. The definitive diagnosis was bronchial asthma and glucocorticoids were prescribed. Throughout the course of treatment, the cat was presented at the Companion Animal Clinics of Aristotle University of Thessaloniki by the guardians, since, after reducing the dose of cortisone, the symptoms reappeared. Examinations were conducted again and a new therapeutic protocol was prescribed. In this study, an attempt to compare clinical signs, diagnostic procedure and treatment of our case, to the global bibliography related to feline asthma, is made. </w:t>
      </w:r>
    </w:p>
    <w:p w14:paraId="5AA33F49" w14:textId="77777777" w:rsidR="00D531C3" w:rsidRPr="00D531C3" w:rsidRDefault="00D531C3" w:rsidP="00D531C3">
      <w:pPr>
        <w:jc w:val="both"/>
      </w:pPr>
    </w:p>
    <w:p w14:paraId="43BFBE38" w14:textId="77777777" w:rsidR="00D531C3" w:rsidRPr="00D531C3" w:rsidRDefault="00D531C3" w:rsidP="00D531C3">
      <w:pPr>
        <w:jc w:val="both"/>
      </w:pPr>
      <w:r w:rsidRPr="00D531C3">
        <w:rPr>
          <w:b/>
          <w:bCs/>
        </w:rPr>
        <w:t>Bibliography</w:t>
      </w:r>
    </w:p>
    <w:p w14:paraId="2DF136FF" w14:textId="77777777" w:rsidR="00D531C3" w:rsidRPr="00D531C3" w:rsidRDefault="00D531C3" w:rsidP="00D531C3">
      <w:pPr>
        <w:jc w:val="both"/>
      </w:pPr>
      <w:r w:rsidRPr="00D531C3">
        <w:t>Aikaterini K.Adamama-Moraitou,Diseases of the respiratory system of Dogs and Cats, Lecture notes, Aristotle University of Thessaloniki, Publishing department 2009-2010</w:t>
      </w:r>
    </w:p>
    <w:p w14:paraId="19D7A783" w14:textId="331229FE" w:rsidR="00D531C3" w:rsidRPr="00D531C3" w:rsidRDefault="00D531C3" w:rsidP="00D531C3">
      <w:pPr>
        <w:jc w:val="both"/>
      </w:pPr>
      <w:r w:rsidRPr="00D531C3">
        <w:t>Cristine Venema, Coretta Patterson (2010). Feline Asthma: What’s new and where might clinical practice be heading?Journal of Feline Medicine and Surgery</w:t>
      </w:r>
    </w:p>
    <w:p w14:paraId="0141FC06" w14:textId="77777777" w:rsidR="00D531C3" w:rsidRPr="00D531C3" w:rsidRDefault="00D531C3" w:rsidP="00D531C3">
      <w:pPr>
        <w:jc w:val="both"/>
      </w:pPr>
      <w:r w:rsidRPr="00D531C3">
        <w:t>Christopher G. Byers, Nishi Dhupa (2005). Feline Bronchial Asthma: Treatment. Compendium: Continuing Education for Veterinarians</w:t>
      </w:r>
    </w:p>
    <w:p w14:paraId="5B6E24D4" w14:textId="77777777" w:rsidR="00D531C3" w:rsidRPr="00D531C3" w:rsidRDefault="00D531C3" w:rsidP="00D531C3">
      <w:pPr>
        <w:jc w:val="both"/>
      </w:pPr>
      <w:r w:rsidRPr="00D531C3">
        <w:t>Julie E. Trzil, Carol R. Reinero (2014). Update on Feline Asthma. Veterinary Clinics: Small Animal Practice.</w:t>
      </w:r>
    </w:p>
    <w:p w14:paraId="2B87D121" w14:textId="77777777" w:rsidR="00D531C3" w:rsidRPr="00D531C3" w:rsidRDefault="00D531C3" w:rsidP="00D531C3">
      <w:pPr>
        <w:jc w:val="both"/>
      </w:pPr>
      <w:r w:rsidRPr="00D531C3">
        <w:t>Julie E. Trzil, Isabelle Masseau, Tracy L. Webb, Chee Hoon Chang , John R. Dodam, Hong Liu , Jessica M. Quimby, Steven W Dow , Carol R. Reinero( 2015). Intravenous adipose-derived mesenchymal stem cell therapy for the treatment of feline asthma: a pilot study. Journal of Feline Medicine and Surgery</w:t>
      </w:r>
    </w:p>
    <w:p w14:paraId="146EA473" w14:textId="77777777" w:rsidR="00D531C3" w:rsidRPr="00D531C3" w:rsidRDefault="00D531C3" w:rsidP="00D531C3">
      <w:pPr>
        <w:jc w:val="both"/>
      </w:pPr>
      <w:r w:rsidRPr="00D531C3">
        <w:t>Leah A. Cohn. How to Treat Asthma in Cats</w:t>
      </w:r>
    </w:p>
    <w:p w14:paraId="73A791DC" w14:textId="77777777" w:rsidR="00D531C3" w:rsidRPr="00D531C3" w:rsidRDefault="00D531C3" w:rsidP="00D531C3">
      <w:pPr>
        <w:jc w:val="both"/>
      </w:pPr>
      <w:r w:rsidRPr="00D531C3">
        <w:lastRenderedPageBreak/>
        <w:t>Carol R. Reinero(2011). Advances in the understanding of pathogenesis, and diagnostics and therapeutics for feline allergic asthma. The Veterinary Journal.</w:t>
      </w:r>
    </w:p>
    <w:p w14:paraId="7E93AD10" w14:textId="77777777" w:rsidR="00D531C3" w:rsidRPr="00D531C3" w:rsidRDefault="00D531C3" w:rsidP="00D531C3">
      <w:pPr>
        <w:jc w:val="both"/>
      </w:pPr>
      <w:r w:rsidRPr="00D531C3">
        <w:t>Christopher G. Byers , Nishi Dhupa (2005) .Feline Bronchial Asthma: Pathophysiology and Diagnosis.Compendium: Continuing Education for Veterinarians</w:t>
      </w:r>
    </w:p>
    <w:p w14:paraId="026340AB" w14:textId="77777777" w:rsidR="00D531C3" w:rsidRDefault="00D531C3" w:rsidP="00D531C3">
      <w:pPr>
        <w:jc w:val="both"/>
      </w:pPr>
      <w:r w:rsidRPr="00D531C3">
        <w:t>BSAVA Manual of Canine and Feline Anaesthesia and Analgesia Edited by Tanya Duke-Novakovski, Marieke de Vries and Chris Seymour, third edition (2019)</w:t>
      </w:r>
    </w:p>
    <w:p w14:paraId="211BBC82" w14:textId="77777777" w:rsidR="00D531C3" w:rsidRDefault="00D531C3" w:rsidP="00D531C3">
      <w:pPr>
        <w:jc w:val="both"/>
      </w:pPr>
    </w:p>
    <w:p w14:paraId="79281E18" w14:textId="77777777" w:rsidR="00D531C3" w:rsidRDefault="00D531C3" w:rsidP="00D531C3">
      <w:pPr>
        <w:jc w:val="both"/>
      </w:pPr>
    </w:p>
    <w:p w14:paraId="068CBF93" w14:textId="77777777" w:rsidR="00D531C3" w:rsidRDefault="00D531C3" w:rsidP="00D531C3">
      <w:pPr>
        <w:jc w:val="both"/>
      </w:pPr>
    </w:p>
    <w:p w14:paraId="2A551049" w14:textId="77777777" w:rsidR="00D531C3" w:rsidRDefault="00D531C3" w:rsidP="00D531C3">
      <w:pPr>
        <w:jc w:val="both"/>
      </w:pPr>
    </w:p>
    <w:p w14:paraId="73323A27" w14:textId="77777777" w:rsidR="00D531C3" w:rsidRDefault="00D531C3" w:rsidP="00D531C3">
      <w:pPr>
        <w:jc w:val="both"/>
      </w:pPr>
    </w:p>
    <w:p w14:paraId="09567AEC" w14:textId="77777777" w:rsidR="00D531C3" w:rsidRDefault="00D531C3" w:rsidP="00D531C3">
      <w:pPr>
        <w:jc w:val="both"/>
      </w:pPr>
    </w:p>
    <w:p w14:paraId="507C06A0" w14:textId="77777777" w:rsidR="00D531C3" w:rsidRDefault="00D531C3" w:rsidP="00D531C3">
      <w:pPr>
        <w:jc w:val="both"/>
      </w:pPr>
    </w:p>
    <w:p w14:paraId="2C2601B9" w14:textId="77777777" w:rsidR="00D531C3" w:rsidRDefault="00D531C3" w:rsidP="00D531C3">
      <w:pPr>
        <w:jc w:val="both"/>
      </w:pPr>
    </w:p>
    <w:p w14:paraId="7132A794" w14:textId="77777777" w:rsidR="00D531C3" w:rsidRDefault="00D531C3" w:rsidP="00D531C3">
      <w:pPr>
        <w:jc w:val="both"/>
      </w:pPr>
    </w:p>
    <w:p w14:paraId="0D83E19B" w14:textId="77777777" w:rsidR="00D531C3" w:rsidRDefault="00D531C3" w:rsidP="00D531C3">
      <w:pPr>
        <w:jc w:val="both"/>
      </w:pPr>
    </w:p>
    <w:p w14:paraId="27D4B2C0" w14:textId="77777777" w:rsidR="00D531C3" w:rsidRDefault="00D531C3" w:rsidP="00D531C3">
      <w:pPr>
        <w:jc w:val="both"/>
      </w:pPr>
    </w:p>
    <w:p w14:paraId="3F23FB9C" w14:textId="77777777" w:rsidR="00D531C3" w:rsidRDefault="00D531C3" w:rsidP="00D531C3">
      <w:pPr>
        <w:jc w:val="both"/>
      </w:pPr>
    </w:p>
    <w:p w14:paraId="40383AFA" w14:textId="77777777" w:rsidR="00D531C3" w:rsidRDefault="00D531C3" w:rsidP="00D531C3">
      <w:pPr>
        <w:jc w:val="both"/>
      </w:pPr>
    </w:p>
    <w:p w14:paraId="2AAC0EE7" w14:textId="77777777" w:rsidR="00D531C3" w:rsidRDefault="00D531C3" w:rsidP="00D531C3">
      <w:pPr>
        <w:jc w:val="both"/>
      </w:pPr>
    </w:p>
    <w:p w14:paraId="7DF85A3E" w14:textId="77777777" w:rsidR="00D531C3" w:rsidRDefault="00D531C3" w:rsidP="00D531C3">
      <w:pPr>
        <w:jc w:val="both"/>
      </w:pPr>
    </w:p>
    <w:p w14:paraId="2A9712C5" w14:textId="77777777" w:rsidR="00D531C3" w:rsidRDefault="00D531C3" w:rsidP="00D531C3">
      <w:pPr>
        <w:jc w:val="both"/>
      </w:pPr>
    </w:p>
    <w:p w14:paraId="2668DBA9" w14:textId="77777777" w:rsidR="00D531C3" w:rsidRDefault="00D531C3" w:rsidP="00D531C3">
      <w:pPr>
        <w:jc w:val="both"/>
      </w:pPr>
    </w:p>
    <w:p w14:paraId="1507BC20" w14:textId="77777777" w:rsidR="00D531C3" w:rsidRDefault="00D531C3" w:rsidP="00D531C3">
      <w:pPr>
        <w:jc w:val="both"/>
      </w:pPr>
    </w:p>
    <w:p w14:paraId="092283A8" w14:textId="77777777" w:rsidR="00D531C3" w:rsidRDefault="00D531C3" w:rsidP="00D531C3">
      <w:pPr>
        <w:jc w:val="both"/>
      </w:pPr>
    </w:p>
    <w:p w14:paraId="7A267114" w14:textId="77777777" w:rsidR="00D531C3" w:rsidRDefault="00D531C3" w:rsidP="00D531C3">
      <w:pPr>
        <w:jc w:val="both"/>
      </w:pPr>
    </w:p>
    <w:p w14:paraId="662DE2E4" w14:textId="77777777" w:rsidR="00D531C3" w:rsidRDefault="00D531C3" w:rsidP="00D531C3">
      <w:pPr>
        <w:jc w:val="both"/>
      </w:pPr>
    </w:p>
    <w:p w14:paraId="30A755C8" w14:textId="77777777" w:rsidR="00D531C3" w:rsidRDefault="00D531C3" w:rsidP="00D531C3">
      <w:pPr>
        <w:jc w:val="both"/>
      </w:pPr>
    </w:p>
    <w:p w14:paraId="7B78D244" w14:textId="77777777" w:rsidR="00D531C3" w:rsidRDefault="00D531C3" w:rsidP="00D531C3">
      <w:pPr>
        <w:jc w:val="both"/>
      </w:pPr>
    </w:p>
    <w:p w14:paraId="33B4A9DC" w14:textId="77777777" w:rsidR="00D531C3" w:rsidRDefault="00D531C3" w:rsidP="00D531C3">
      <w:pPr>
        <w:jc w:val="both"/>
      </w:pPr>
    </w:p>
    <w:p w14:paraId="54EEF0FD" w14:textId="77777777" w:rsidR="00D531C3" w:rsidRPr="00D531C3" w:rsidRDefault="00D531C3" w:rsidP="00D531C3">
      <w:pPr>
        <w:jc w:val="both"/>
      </w:pPr>
    </w:p>
    <w:p w14:paraId="34B48B5B" w14:textId="77777777" w:rsidR="00D531C3" w:rsidRPr="00D531C3" w:rsidRDefault="00D531C3" w:rsidP="00D531C3">
      <w:pPr>
        <w:jc w:val="both"/>
      </w:pPr>
      <w:r w:rsidRPr="00D531C3">
        <w:rPr>
          <w:i/>
          <w:iCs/>
        </w:rPr>
        <w:t> </w:t>
      </w:r>
    </w:p>
    <w:p w14:paraId="0D52F47C" w14:textId="63BDCB01" w:rsidR="00D531C3" w:rsidRPr="00D531C3" w:rsidRDefault="00D531C3" w:rsidP="00D531C3">
      <w:pPr>
        <w:jc w:val="both"/>
      </w:pPr>
      <w:r w:rsidRPr="00D531C3">
        <w:rPr>
          <w:b/>
          <w:bCs/>
        </w:rPr>
        <w:lastRenderedPageBreak/>
        <w:t>The diagnostic value of liver biopsy and histopathological examination in dogs</w:t>
      </w:r>
    </w:p>
    <w:p w14:paraId="4279FC08" w14:textId="77777777" w:rsidR="00D531C3" w:rsidRPr="00D531C3" w:rsidRDefault="00D531C3" w:rsidP="00D531C3">
      <w:pPr>
        <w:jc w:val="both"/>
      </w:pPr>
      <w:r w:rsidRPr="00D531C3">
        <w:t>Botsari Marianna</w:t>
      </w:r>
      <w:r w:rsidRPr="00D531C3">
        <w:rPr>
          <w:vertAlign w:val="superscript"/>
        </w:rPr>
        <w:t>1</w:t>
      </w:r>
      <w:r w:rsidRPr="00D531C3">
        <w:t>, Doukas Dimitrios</w:t>
      </w:r>
      <w:r w:rsidRPr="00D531C3">
        <w:rPr>
          <w:vertAlign w:val="superscript"/>
        </w:rPr>
        <w:t>2</w:t>
      </w:r>
      <w:r w:rsidRPr="00D531C3">
        <w:t>, Tontis Dimitrios</w:t>
      </w:r>
      <w:r w:rsidRPr="00D531C3">
        <w:rPr>
          <w:vertAlign w:val="superscript"/>
        </w:rPr>
        <w:t>3</w:t>
      </w:r>
    </w:p>
    <w:p w14:paraId="5CC6A794" w14:textId="77777777" w:rsidR="00D531C3" w:rsidRPr="00D531C3" w:rsidRDefault="00D531C3">
      <w:pPr>
        <w:numPr>
          <w:ilvl w:val="0"/>
          <w:numId w:val="71"/>
        </w:numPr>
        <w:jc w:val="both"/>
      </w:pPr>
      <w:r w:rsidRPr="00D531C3">
        <w:t>Undergraduate student, Veterinary Faculty, School of Health Sciences, University of Thessaly (UTh).</w:t>
      </w:r>
    </w:p>
    <w:p w14:paraId="4C17CF74" w14:textId="77777777" w:rsidR="00D531C3" w:rsidRPr="00D531C3" w:rsidRDefault="00D531C3">
      <w:pPr>
        <w:numPr>
          <w:ilvl w:val="0"/>
          <w:numId w:val="71"/>
        </w:numPr>
        <w:jc w:val="both"/>
      </w:pPr>
      <w:r w:rsidRPr="00D531C3">
        <w:t>Associate Professor of Animal Diagnostic Pathology and Veterinary Forensics, Veterinary Faculty, School of Health Sciences, UTh.</w:t>
      </w:r>
    </w:p>
    <w:p w14:paraId="487E6431" w14:textId="77777777" w:rsidR="00D531C3" w:rsidRPr="00D531C3" w:rsidRDefault="00D531C3">
      <w:pPr>
        <w:numPr>
          <w:ilvl w:val="0"/>
          <w:numId w:val="71"/>
        </w:numPr>
        <w:jc w:val="both"/>
      </w:pPr>
      <w:r w:rsidRPr="00D531C3">
        <w:t>Professor, Director of Laboratory of Animal Pathology and Veterinary Forensics, Veterinary Faculty, School of Health Sciences, UTh.</w:t>
      </w:r>
    </w:p>
    <w:p w14:paraId="33D6777B" w14:textId="77777777" w:rsidR="00D531C3" w:rsidRPr="00D531C3" w:rsidRDefault="00D531C3" w:rsidP="00D531C3">
      <w:pPr>
        <w:jc w:val="both"/>
      </w:pPr>
    </w:p>
    <w:p w14:paraId="45B26EB1" w14:textId="77777777" w:rsidR="00D531C3" w:rsidRPr="00D531C3" w:rsidRDefault="00D531C3" w:rsidP="00D531C3">
      <w:pPr>
        <w:jc w:val="both"/>
      </w:pPr>
      <w:r w:rsidRPr="00D531C3">
        <w:rPr>
          <w:b/>
          <w:bCs/>
        </w:rPr>
        <w:t>Abstract</w:t>
      </w:r>
    </w:p>
    <w:p w14:paraId="694D614D" w14:textId="77777777" w:rsidR="00D531C3" w:rsidRPr="00D531C3" w:rsidRDefault="00D531C3" w:rsidP="00D531C3">
      <w:pPr>
        <w:jc w:val="both"/>
      </w:pPr>
      <w:r w:rsidRPr="00D531C3">
        <w:t>Canine liver diseases pose a dilemma for the companion animal veterinarian, as they can present with varying etiology, mechanisms of pathogenesis and degrees of progression. Clinical examination, laboratory and imaging findings may be similar in many cases, therefore biopsy histopathology plays an essential role in the definitive diagnosis, as it enables more accurate identification of the type of hepatic lesions, as well as the disease staging, treatment and prognosis.</w:t>
      </w:r>
    </w:p>
    <w:p w14:paraId="589AC17B" w14:textId="77777777" w:rsidR="00D531C3" w:rsidRDefault="00D531C3" w:rsidP="00D531C3">
      <w:pPr>
        <w:jc w:val="both"/>
      </w:pPr>
      <w:r w:rsidRPr="00D531C3">
        <w:t>In this review, the aim is to briefly present methods of liver biopsy in dogs and the morphology of normal liver tissue. Subsequently, lesions which may appear in liver histopathological examinations are described, taking into account the patterns of hepatic injury in accordance with internationally accepted terminology and histopathological classification. Congenital lesions and vascular anomalies, reversible hepatocytic injury (e.g. hepatocellular swelling, steatosis), steroid-induced hepatopathy, non-specific reactive hepatitis of extrahepatic disease, amyloidosis, infectious and toxic causes of hepatocellular injury (with necrosis and inflammation), biliary disorders (e.g. cholestasis, cholangitis, cholangiohepatitis) and neoplasms are mentioned. Differential diagnosis of chronic hepatitis (a significant diagnostic problem in companion animal veterinary practice) with patterns of inflammation and fibrosis which determine the stage of the disease (e.g. copper-associated chronic hepatitis, lobular dissecting hepatitis, cirrhosis etc) is presented.</w:t>
      </w:r>
    </w:p>
    <w:p w14:paraId="2FDA95F2" w14:textId="77777777" w:rsidR="00D531C3" w:rsidRPr="00D531C3" w:rsidRDefault="00D531C3" w:rsidP="00D531C3">
      <w:pPr>
        <w:jc w:val="both"/>
      </w:pPr>
    </w:p>
    <w:p w14:paraId="43FD64D9" w14:textId="77777777" w:rsidR="00D531C3" w:rsidRPr="00D531C3" w:rsidRDefault="00D531C3" w:rsidP="00D531C3">
      <w:pPr>
        <w:jc w:val="both"/>
      </w:pPr>
      <w:r w:rsidRPr="00D531C3">
        <w:rPr>
          <w:b/>
          <w:bCs/>
        </w:rPr>
        <w:t>Bibliography </w:t>
      </w:r>
    </w:p>
    <w:p w14:paraId="6B12B883" w14:textId="6FB72679" w:rsidR="00D531C3" w:rsidRPr="00D531C3" w:rsidRDefault="00D531C3" w:rsidP="00D531C3">
      <w:pPr>
        <w:jc w:val="both"/>
      </w:pPr>
      <w:r w:rsidRPr="00D531C3">
        <w:t xml:space="preserve">Bexfield, N., Watson, P. (2006). Diagnosis of canine liver disease. In Practice. 28. 444-453. </w:t>
      </w:r>
    </w:p>
    <w:p w14:paraId="483D7812" w14:textId="604BEDAF" w:rsidR="00D531C3" w:rsidRPr="00D531C3" w:rsidRDefault="00D531C3" w:rsidP="00D531C3">
      <w:pPr>
        <w:jc w:val="both"/>
      </w:pPr>
      <w:r w:rsidRPr="00D531C3">
        <w:t xml:space="preserve">Cavasin J.P. (2025). Hepatic Histopathology: What a Clinician Should Know. VCNA-SAP 5(4), supplement e1-e11. </w:t>
      </w:r>
    </w:p>
    <w:p w14:paraId="79341564" w14:textId="5BEA4AFC" w:rsidR="00D531C3" w:rsidRPr="00D531C3" w:rsidRDefault="00D531C3" w:rsidP="00D531C3">
      <w:pPr>
        <w:jc w:val="both"/>
      </w:pPr>
      <w:r w:rsidRPr="00D531C3">
        <w:t xml:space="preserve">Harrison, J. L., Turek, B. J., Brown, D. C., Bradley, C., &amp; Callahan Clark, J. (2018). Cholangitis and Cholangiohepatitis in Dogs: A Descriptive Study of 54 Cases Based on Histopathologic Diagnosis (2004–2014). Journal of Veterinary Internal Medicine, 32(1), 172–180. </w:t>
      </w:r>
    </w:p>
    <w:p w14:paraId="5E2588C6" w14:textId="464B7B6A" w:rsidR="00D531C3" w:rsidRPr="00D531C3" w:rsidRDefault="00D531C3" w:rsidP="00D531C3">
      <w:pPr>
        <w:jc w:val="both"/>
      </w:pPr>
      <w:r w:rsidRPr="00D531C3">
        <w:t xml:space="preserve">Kemp S.D., Zimmerman K.L., Panciera D.L., Monroe W.E., Leib M.S., Lanz O.I.. A comparison of liver sampling techniques in dogs. J Vet Intern Med. 2015 Jan;29(1):51-7. </w:t>
      </w:r>
    </w:p>
    <w:p w14:paraId="60FD000D" w14:textId="58CA717D" w:rsidR="00D531C3" w:rsidRPr="00D531C3" w:rsidRDefault="00D531C3" w:rsidP="00D531C3">
      <w:pPr>
        <w:jc w:val="both"/>
      </w:pPr>
      <w:r w:rsidRPr="00D531C3">
        <w:lastRenderedPageBreak/>
        <w:t xml:space="preserve">Lidbury J.A. Getting the Most Out of Liver Biopsy. Vet Clin North Am Small Anim Pract. 2017 May;47(3):569-583. </w:t>
      </w:r>
    </w:p>
    <w:p w14:paraId="64F7D0AE" w14:textId="77777777" w:rsidR="00D531C3" w:rsidRPr="00D531C3" w:rsidRDefault="00D531C3" w:rsidP="00D531C3">
      <w:pPr>
        <w:jc w:val="both"/>
      </w:pPr>
      <w:r w:rsidRPr="00D531C3">
        <w:t>Masserdotti, C. (2023). Canine and feline liver cytology. John Wiley &amp; Sons, Inc.</w:t>
      </w:r>
    </w:p>
    <w:p w14:paraId="120D9AE0" w14:textId="6970BC66" w:rsidR="00D531C3" w:rsidRPr="00D531C3" w:rsidRDefault="00D531C3" w:rsidP="00D531C3">
      <w:pPr>
        <w:jc w:val="both"/>
      </w:pPr>
      <w:r w:rsidRPr="00D531C3">
        <w:t xml:space="preserve">Pinheiro, T., Aloia, A., Bosch, R. V., Soares Sanches, D., Lúcia, M., Dagli, Z., Javier Hernandez-Blazquez, F., &amp; Cogliati, B. (1999). Retrospective Study of Hepatic Neoplasms in Dogs. Braz J Vet Pathol 5(3), 146-149. </w:t>
      </w:r>
    </w:p>
    <w:p w14:paraId="2EFB39ED" w14:textId="24F875CA" w:rsidR="00D531C3" w:rsidRPr="00D531C3" w:rsidRDefault="00D531C3" w:rsidP="00D531C3">
      <w:pPr>
        <w:jc w:val="both"/>
      </w:pPr>
      <w:r w:rsidRPr="00D531C3">
        <w:t xml:space="preserve">Prentice K.D., Callahan-Clark J.E., Parry N.M., Schwarz L.A., Webster C.R.L. Characterization of clinical presentation, histological features, ultrasonographic findings, and survival in 29 dogs with granulomatous hepatitis. J Vet Intern Med. 2024 Jan-Feb;38(1):167-175. </w:t>
      </w:r>
    </w:p>
    <w:p w14:paraId="76E9F590" w14:textId="77777777" w:rsidR="00D531C3" w:rsidRPr="00D531C3" w:rsidRDefault="00D531C3" w:rsidP="00D531C3">
      <w:pPr>
        <w:jc w:val="both"/>
      </w:pPr>
      <w:r w:rsidRPr="00D531C3">
        <w:t xml:space="preserve">Rothuizen J. , Bunch S. E., Charles J. A., Cullen J. M., Desmet V. J., Szatmári V., Twedt D. C., van den Ingh T., van Winkle T., &amp; Washabau R J.. (Eds.), WSAVA Standards for Clinical and Histological Diagnosis of Canine and Feline Liver Diseases. W.B. Saunders. 2006 </w:t>
      </w:r>
    </w:p>
    <w:p w14:paraId="4853E9E2" w14:textId="6ACB8CF7" w:rsidR="00D531C3" w:rsidRDefault="00D531C3">
      <w:r>
        <w:br w:type="page"/>
      </w:r>
    </w:p>
    <w:p w14:paraId="02E74947" w14:textId="77777777" w:rsidR="00D531C3" w:rsidRPr="00D531C3" w:rsidRDefault="00D531C3" w:rsidP="00D531C3">
      <w:pPr>
        <w:jc w:val="both"/>
      </w:pPr>
      <w:r w:rsidRPr="00D531C3">
        <w:rPr>
          <w:b/>
          <w:bCs/>
        </w:rPr>
        <w:lastRenderedPageBreak/>
        <w:t>Congenital Anomalies of the Oral Cavity and the Jaws in Dogs and Cats</w:t>
      </w:r>
    </w:p>
    <w:p w14:paraId="7DF2DE23" w14:textId="77777777" w:rsidR="00D531C3" w:rsidRPr="00D531C3" w:rsidRDefault="00D531C3" w:rsidP="00D531C3">
      <w:pPr>
        <w:jc w:val="both"/>
      </w:pPr>
      <w:r w:rsidRPr="00D531C3">
        <w:t>Alvanidou Anastasia</w:t>
      </w:r>
      <w:r w:rsidRPr="00D531C3">
        <w:rPr>
          <w:vertAlign w:val="superscript"/>
        </w:rPr>
        <w:t>1</w:t>
      </w:r>
      <w:r w:rsidRPr="00D531C3">
        <w:t>, Aperis Andreas</w:t>
      </w:r>
      <w:r w:rsidRPr="00D531C3">
        <w:rPr>
          <w:vertAlign w:val="superscript"/>
        </w:rPr>
        <w:t>1</w:t>
      </w:r>
      <w:r w:rsidRPr="00D531C3">
        <w:t>, Aliouri Maria Sofia</w:t>
      </w:r>
      <w:r w:rsidRPr="00D531C3">
        <w:rPr>
          <w:vertAlign w:val="superscript"/>
        </w:rPr>
        <w:t>1</w:t>
      </w:r>
      <w:r w:rsidRPr="00D531C3">
        <w:t>, Papadimitriou Serafim</w:t>
      </w:r>
      <w:r w:rsidRPr="00D531C3">
        <w:rPr>
          <w:vertAlign w:val="superscript"/>
        </w:rPr>
        <w:t>2 </w:t>
      </w:r>
    </w:p>
    <w:p w14:paraId="6940F181" w14:textId="77777777" w:rsidR="00D531C3" w:rsidRPr="00D531C3" w:rsidRDefault="00D531C3">
      <w:pPr>
        <w:numPr>
          <w:ilvl w:val="0"/>
          <w:numId w:val="72"/>
        </w:numPr>
        <w:jc w:val="both"/>
      </w:pPr>
      <w:r w:rsidRPr="00D531C3">
        <w:t>Undergraduate student, Department of Veterinary Medicine, School of Health Sciences, Aristotle University of Thessaloniki</w:t>
      </w:r>
    </w:p>
    <w:p w14:paraId="7B7DDE51" w14:textId="77777777" w:rsidR="00D531C3" w:rsidRDefault="00D531C3">
      <w:pPr>
        <w:numPr>
          <w:ilvl w:val="0"/>
          <w:numId w:val="72"/>
        </w:numPr>
        <w:jc w:val="both"/>
      </w:pPr>
      <w:r w:rsidRPr="00D531C3">
        <w:t>Professor, Department of Veterinary Medicine, School of Health Sciences, Aristotle University of Thessaloniki</w:t>
      </w:r>
    </w:p>
    <w:p w14:paraId="4B18D72D" w14:textId="77777777" w:rsidR="00D531C3" w:rsidRPr="00D531C3" w:rsidRDefault="00D531C3" w:rsidP="00D531C3">
      <w:pPr>
        <w:ind w:left="720"/>
        <w:jc w:val="both"/>
      </w:pPr>
    </w:p>
    <w:p w14:paraId="26C6BE51" w14:textId="77777777" w:rsidR="00D531C3" w:rsidRPr="00D531C3" w:rsidRDefault="00D531C3" w:rsidP="00D531C3">
      <w:pPr>
        <w:jc w:val="both"/>
      </w:pPr>
      <w:r w:rsidRPr="00D531C3">
        <w:rPr>
          <w:b/>
          <w:bCs/>
        </w:rPr>
        <w:t>Abstract</w:t>
      </w:r>
    </w:p>
    <w:p w14:paraId="317FEAB1" w14:textId="77777777" w:rsidR="00D531C3" w:rsidRDefault="00D531C3" w:rsidP="00D531C3">
      <w:pPr>
        <w:jc w:val="both"/>
      </w:pPr>
      <w:r w:rsidRPr="00D531C3">
        <w:t>During embryonic development, disorders may occur in the process of odontogenesis and gnathic formation, which persist as pathological conditions post-partum. This study investigates the congenital and inherited anomalies affecting the oral cavity and the jaws in companion animals. These conditions occur more frequently, than commonly perceived, and necessitate surgical intervention, both for the primary defects and the secondary complications they induce. Specifically, the study examines: Congenital oronasal fistulas, Malocclusions of the jaws, Anomalies of the tongue and lips and Dental anomalies. Furthermore, the etiopathogenesis, clinical presentation, and the subsequent impact of these disorders on animal welfare are analyzed. Finally, contemporary therapeutic approaches and management strategies for these conditions are presented.</w:t>
      </w:r>
    </w:p>
    <w:p w14:paraId="0ED5F76F" w14:textId="77777777" w:rsidR="00D531C3" w:rsidRPr="00D531C3" w:rsidRDefault="00D531C3" w:rsidP="00D531C3">
      <w:pPr>
        <w:jc w:val="both"/>
      </w:pPr>
    </w:p>
    <w:p w14:paraId="135B43CC" w14:textId="77777777" w:rsidR="00D531C3" w:rsidRPr="00D531C3" w:rsidRDefault="00D531C3" w:rsidP="00D531C3">
      <w:pPr>
        <w:jc w:val="both"/>
      </w:pPr>
      <w:r w:rsidRPr="00D531C3">
        <w:rPr>
          <w:b/>
          <w:bCs/>
        </w:rPr>
        <w:t>Bibliography</w:t>
      </w:r>
    </w:p>
    <w:p w14:paraId="2F44A521" w14:textId="77777777" w:rsidR="00D531C3" w:rsidRPr="00D531C3" w:rsidRDefault="00D531C3" w:rsidP="00D531C3">
      <w:pPr>
        <w:jc w:val="both"/>
      </w:pPr>
      <w:r w:rsidRPr="00D531C3">
        <w:t xml:space="preserve">Boy, S., Crossley, D., &amp; Steenkamp, G. (2016). Developmental structural tooth defects in dogs – Experience from veterinary dental referral practice and review of the literature. </w:t>
      </w:r>
      <w:r w:rsidRPr="00D531C3">
        <w:rPr>
          <w:i/>
          <w:iCs/>
        </w:rPr>
        <w:t>Frontiers in Veterinary Science, 3</w:t>
      </w:r>
      <w:r w:rsidRPr="00D531C3">
        <w:t>. </w:t>
      </w:r>
    </w:p>
    <w:p w14:paraId="7793642E" w14:textId="418212D3" w:rsidR="00D531C3" w:rsidRPr="00D531C3" w:rsidRDefault="00D531C3" w:rsidP="00D531C3">
      <w:pPr>
        <w:jc w:val="both"/>
      </w:pPr>
      <w:r w:rsidRPr="00D531C3">
        <w:t xml:space="preserve">Drögemüller, C., Karlsson, E. K., Hytönen, M. K., Perloski, M., Dolf, G., Sainio, K., Lohi, H., Lindblad-Toh, K., &amp; Leeb, T. (2008). A mutation in hairless dogs implicates FOXI3 in ectodermal development. </w:t>
      </w:r>
      <w:r w:rsidRPr="00D531C3">
        <w:rPr>
          <w:i/>
          <w:iCs/>
        </w:rPr>
        <w:t>Science, 321</w:t>
      </w:r>
      <w:r w:rsidRPr="00D531C3">
        <w:t>(5895), 1462–1462. </w:t>
      </w:r>
    </w:p>
    <w:p w14:paraId="33BB472C" w14:textId="3618F6A7" w:rsidR="00D531C3" w:rsidRPr="00D531C3" w:rsidRDefault="00D531C3" w:rsidP="00D531C3">
      <w:pPr>
        <w:jc w:val="both"/>
      </w:pPr>
      <w:r w:rsidRPr="00D531C3">
        <w:t xml:space="preserve">Group Co. (n.d.). </w:t>
      </w:r>
      <w:r w:rsidRPr="00D531C3">
        <w:rPr>
          <w:i/>
          <w:iCs/>
        </w:rPr>
        <w:t>Macroglossia in dogs</w:t>
      </w:r>
      <w:r w:rsidRPr="00D531C3">
        <w:t>. WagWalking.</w:t>
      </w:r>
      <w:hyperlink r:id="rId79" w:history="1">
        <w:r w:rsidRPr="00D531C3">
          <w:rPr>
            <w:rStyle w:val="-"/>
          </w:rPr>
          <w:t> </w:t>
        </w:r>
      </w:hyperlink>
    </w:p>
    <w:p w14:paraId="2B815E78" w14:textId="76BB41E0" w:rsidR="00D531C3" w:rsidRPr="00D531C3" w:rsidRDefault="00D531C3" w:rsidP="00D531C3">
      <w:pPr>
        <w:jc w:val="both"/>
      </w:pPr>
      <w:r w:rsidRPr="00D531C3">
        <w:t xml:space="preserve">Kyllar, M., &amp; Witter, K. (2005). Prevalence of dental disorders in pet dogs. </w:t>
      </w:r>
      <w:r w:rsidRPr="00D531C3">
        <w:rPr>
          <w:i/>
          <w:iCs/>
        </w:rPr>
        <w:t>Veterinary Medicine – Czech, 50</w:t>
      </w:r>
      <w:r w:rsidRPr="00D531C3">
        <w:t>(11), 496–505.</w:t>
      </w:r>
    </w:p>
    <w:p w14:paraId="52278E31" w14:textId="08DB2D15" w:rsidR="00D531C3" w:rsidRPr="00D531C3" w:rsidRDefault="00D531C3" w:rsidP="00D531C3">
      <w:pPr>
        <w:jc w:val="both"/>
      </w:pPr>
      <w:r w:rsidRPr="00D531C3">
        <w:t xml:space="preserve">Moura, E., Rotenberg, I. S., &amp; Pimpão, C. T. (2019). X-linked hypohidrotic ectodermal dysplasia—General features and dental abnormalities in affected dogs compared with human dental abnormalities. </w:t>
      </w:r>
      <w:r w:rsidRPr="00D531C3">
        <w:rPr>
          <w:i/>
          <w:iCs/>
        </w:rPr>
        <w:t>Topics in Companion Animal Medicine, 35</w:t>
      </w:r>
      <w:r w:rsidRPr="00D531C3">
        <w:t>, 11–17. </w:t>
      </w:r>
    </w:p>
    <w:p w14:paraId="5286C28B" w14:textId="223DFD23" w:rsidR="00D531C3" w:rsidRPr="00D531C3" w:rsidRDefault="00D531C3" w:rsidP="00D531C3">
      <w:pPr>
        <w:jc w:val="both"/>
      </w:pPr>
      <w:r w:rsidRPr="00D531C3">
        <w:t xml:space="preserve">Pavletic, M. M. (2022). </w:t>
      </w:r>
      <w:r w:rsidRPr="00D531C3">
        <w:rPr>
          <w:i/>
          <w:iCs/>
        </w:rPr>
        <w:t>Surgical closure of cleft palate defects in dogs using a modification of the traditional von Langenbeck technique: 12 cases (2015–2022).</w:t>
      </w:r>
    </w:p>
    <w:p w14:paraId="16E2390C" w14:textId="77777777" w:rsidR="00D531C3" w:rsidRPr="00D531C3" w:rsidRDefault="00D531C3" w:rsidP="00D531C3">
      <w:pPr>
        <w:jc w:val="both"/>
      </w:pPr>
      <w:r w:rsidRPr="00D531C3">
        <w:t xml:space="preserve">Roberts, J. N. (2024). </w:t>
      </w:r>
      <w:r w:rsidRPr="00D531C3">
        <w:rPr>
          <w:i/>
          <w:iCs/>
        </w:rPr>
        <w:t>Congenital and inherited anomalies of the mouth in animals</w:t>
      </w:r>
      <w:r w:rsidRPr="00D531C3">
        <w:t>. MSD Veterinary Manual.</w:t>
      </w:r>
      <w:hyperlink r:id="rId80" w:history="1">
        <w:r w:rsidRPr="00D531C3">
          <w:rPr>
            <w:rStyle w:val="-"/>
          </w:rPr>
          <w:t> </w:t>
        </w:r>
      </w:hyperlink>
    </w:p>
    <w:p w14:paraId="7FB34012" w14:textId="77777777" w:rsidR="00D531C3" w:rsidRPr="00D531C3" w:rsidRDefault="00D531C3" w:rsidP="00D531C3">
      <w:pPr>
        <w:jc w:val="both"/>
      </w:pPr>
    </w:p>
    <w:p w14:paraId="1E771280" w14:textId="3F24EA54" w:rsidR="00D531C3" w:rsidRPr="00D531C3" w:rsidRDefault="00D531C3" w:rsidP="00D531C3">
      <w:pPr>
        <w:jc w:val="both"/>
      </w:pPr>
      <w:r w:rsidRPr="00D531C3">
        <w:lastRenderedPageBreak/>
        <w:t xml:space="preserve">Rural, C., &amp; Maria, S. (2000). Variações anatômicas na dentição de cães sem raça definida anatomical variations in the dentition of mongrel domestic dogs. </w:t>
      </w:r>
      <w:r w:rsidRPr="00D531C3">
        <w:rPr>
          <w:i/>
          <w:iCs/>
        </w:rPr>
        <w:t>(4),</w:t>
      </w:r>
      <w:r w:rsidRPr="00D531C3">
        <w:t xml:space="preserve"> 655–659.</w:t>
      </w:r>
    </w:p>
    <w:p w14:paraId="590D7232" w14:textId="77777777" w:rsidR="00D531C3" w:rsidRPr="00D531C3" w:rsidRDefault="00D531C3" w:rsidP="00D531C3">
      <w:pPr>
        <w:jc w:val="both"/>
      </w:pPr>
      <w:r w:rsidRPr="00D531C3">
        <w:rPr>
          <w:i/>
          <w:iCs/>
        </w:rPr>
        <w:t>Surgical management of the tight lip syndrome in the Shar Pei dog</w:t>
      </w:r>
      <w:r w:rsidRPr="00D531C3">
        <w:t xml:space="preserve">. (1997). </w:t>
      </w:r>
      <w:r w:rsidRPr="00D531C3">
        <w:rPr>
          <w:i/>
          <w:iCs/>
        </w:rPr>
        <w:t>Journal of Veterinary Dentistry</w:t>
      </w:r>
      <w:r w:rsidRPr="00D531C3">
        <w:t>.</w:t>
      </w:r>
    </w:p>
    <w:p w14:paraId="5C703B16" w14:textId="063E5E5A" w:rsidR="00D531C3" w:rsidRPr="00D531C3" w:rsidRDefault="00D531C3" w:rsidP="00D531C3">
      <w:pPr>
        <w:jc w:val="both"/>
      </w:pPr>
      <w:r w:rsidRPr="00D531C3">
        <w:t xml:space="preserve">Sittijarusub, I., Sukho, P., Supannawapat, P. and Suemanotham, N. (2021). </w:t>
      </w:r>
      <w:r w:rsidRPr="00D531C3">
        <w:rPr>
          <w:i/>
          <w:iCs/>
        </w:rPr>
        <w:t>Generalized enamel hypoplasia in a dog: a case report</w:t>
      </w:r>
      <w:r w:rsidRPr="00D531C3">
        <w:t xml:space="preserve">. </w:t>
      </w:r>
      <w:r w:rsidRPr="00D531C3">
        <w:rPr>
          <w:i/>
          <w:iCs/>
        </w:rPr>
        <w:t>The Thai Journal of Veterinary Medicine</w:t>
      </w:r>
      <w:r w:rsidRPr="00D531C3">
        <w:t>, 51(2), pp.375–385.</w:t>
      </w:r>
    </w:p>
    <w:p w14:paraId="4D20DF6D" w14:textId="21B66143" w:rsidR="00D531C3" w:rsidRPr="00D531C3" w:rsidRDefault="00D531C3" w:rsidP="00D531C3">
      <w:pPr>
        <w:jc w:val="both"/>
      </w:pPr>
      <w:r w:rsidRPr="00D531C3">
        <w:t xml:space="preserve">Tucker, A. and Sharpe, P. (2004). </w:t>
      </w:r>
      <w:r w:rsidRPr="00D531C3">
        <w:rPr>
          <w:i/>
          <w:iCs/>
        </w:rPr>
        <w:t>The cutting-edge of mammalian development; how the embryo makes teeth</w:t>
      </w:r>
      <w:r w:rsidRPr="00D531C3">
        <w:t xml:space="preserve">. </w:t>
      </w:r>
      <w:r w:rsidRPr="00D531C3">
        <w:rPr>
          <w:i/>
          <w:iCs/>
        </w:rPr>
        <w:t>Nature Reviews Genetics</w:t>
      </w:r>
      <w:r w:rsidRPr="00D531C3">
        <w:t>, 5(7), pp.499–508. </w:t>
      </w:r>
    </w:p>
    <w:p w14:paraId="7E7A007A" w14:textId="6CBE1483" w:rsidR="00D531C3" w:rsidRPr="00D531C3" w:rsidRDefault="00D531C3" w:rsidP="00D531C3">
      <w:pPr>
        <w:jc w:val="both"/>
      </w:pPr>
      <w:r w:rsidRPr="00D531C3">
        <w:t xml:space="preserve">UFO Themes (2017). </w:t>
      </w:r>
      <w:r w:rsidRPr="00D531C3">
        <w:rPr>
          <w:i/>
          <w:iCs/>
        </w:rPr>
        <w:t>14 Enamel Hypocalcification</w:t>
      </w:r>
      <w:r w:rsidRPr="00D531C3">
        <w:t>. [online] Veterian Key.</w:t>
      </w:r>
    </w:p>
    <w:p w14:paraId="789F297B" w14:textId="5325E93D" w:rsidR="00D531C3" w:rsidRPr="00D531C3" w:rsidRDefault="00D531C3" w:rsidP="00D531C3">
      <w:pPr>
        <w:jc w:val="both"/>
      </w:pPr>
      <w:r w:rsidRPr="00D531C3">
        <w:t xml:space="preserve">Vieira, A.L.S., de Ocarino, N.M., Boeloni, J.N. and Serakides, R. (2009). </w:t>
      </w:r>
      <w:r w:rsidRPr="00D531C3">
        <w:rPr>
          <w:i/>
          <w:iCs/>
        </w:rPr>
        <w:t>Congenital oligodontia of the deciduous teeth and anodontia of the permanent teeth in a cat. Journal of Feline Medicine and Surgery</w:t>
      </w:r>
      <w:r w:rsidRPr="00D531C3">
        <w:t>, 11(2), pp.156–158. </w:t>
      </w:r>
    </w:p>
    <w:p w14:paraId="6D5ADAF0" w14:textId="7071A88B" w:rsidR="00D531C3" w:rsidRPr="002617A2" w:rsidRDefault="00D531C3" w:rsidP="00D531C3">
      <w:pPr>
        <w:jc w:val="both"/>
      </w:pPr>
      <w:r w:rsidRPr="00D531C3">
        <w:t xml:space="preserve">Ziemann, D., Schreyer, J. and Gawor, J. (2026). </w:t>
      </w:r>
      <w:r w:rsidRPr="00D531C3">
        <w:rPr>
          <w:i/>
          <w:iCs/>
        </w:rPr>
        <w:t>Retained Deciduous Tooth Root Remnants in Dogs: A Ten-Year Retrospective Study</w:t>
      </w:r>
      <w:r w:rsidRPr="00D531C3">
        <w:t xml:space="preserve">. </w:t>
      </w:r>
      <w:r w:rsidRPr="00D531C3">
        <w:rPr>
          <w:i/>
          <w:iCs/>
        </w:rPr>
        <w:t>Journal of Veterinary Dentistry</w:t>
      </w:r>
      <w:r w:rsidRPr="00D531C3">
        <w:t>. </w:t>
      </w:r>
    </w:p>
    <w:p w14:paraId="51058AA1" w14:textId="535BBF1A" w:rsidR="00D531C3" w:rsidRPr="002617A2" w:rsidRDefault="00D531C3" w:rsidP="00D531C3">
      <w:pPr>
        <w:jc w:val="both"/>
      </w:pPr>
      <w:r w:rsidRPr="00D531C3">
        <w:t xml:space="preserve">Αληφακιώτη, Ε., 2020. </w:t>
      </w:r>
      <w:r w:rsidRPr="00D531C3">
        <w:rPr>
          <w:i/>
          <w:iCs/>
        </w:rPr>
        <w:t>Μορφολογική και χημική ανάλυση της υπεναλατωμένης αδαμαντίνης νεογιλών δοντιών και σύγκριση με την αδαμαντίνη των μονίμων δοντιών τύπου Υπεναλάτωσης Γομφίων Τομέων</w:t>
      </w:r>
      <w:r w:rsidRPr="00D531C3">
        <w:t>. Μεταπτυχιακή διπλωματική εργασία. Αριστοτέλειο Πανεπιστήμιο Θεσσαλονίκης.</w:t>
      </w:r>
    </w:p>
    <w:p w14:paraId="5CA42D09" w14:textId="77777777" w:rsidR="00D531C3" w:rsidRPr="00D531C3" w:rsidRDefault="00D531C3" w:rsidP="00D531C3">
      <w:pPr>
        <w:jc w:val="both"/>
      </w:pPr>
      <w:r w:rsidRPr="00D531C3">
        <w:t xml:space="preserve">Σακκά, Δ., 2020. </w:t>
      </w:r>
      <w:r w:rsidRPr="00D531C3">
        <w:rPr>
          <w:i/>
          <w:iCs/>
        </w:rPr>
        <w:t>Συγκριτική αξιολόγηση των διαφόρων συγκεντρώσεων αιμοπεταλίων και των συμπληρωμάτων τους, στην αναγεννητική ενδοδοντία</w:t>
      </w:r>
      <w:r w:rsidRPr="00D531C3">
        <w:t>. Μεταπτυχιακή διπλωματική εργασία. Αριστοτέλειο Πανεπιστήμιο Θεσσαλονίκης. </w:t>
      </w:r>
    </w:p>
    <w:p w14:paraId="2160975A" w14:textId="77777777" w:rsidR="00D531C3" w:rsidRPr="002617A2" w:rsidRDefault="00D531C3" w:rsidP="00D531C3">
      <w:pPr>
        <w:jc w:val="both"/>
      </w:pPr>
    </w:p>
    <w:p w14:paraId="1CCC999B" w14:textId="77777777" w:rsidR="00D531C3" w:rsidRPr="002617A2" w:rsidRDefault="00D531C3" w:rsidP="00D531C3">
      <w:pPr>
        <w:jc w:val="both"/>
      </w:pPr>
    </w:p>
    <w:p w14:paraId="21D34A16" w14:textId="77777777" w:rsidR="00D531C3" w:rsidRPr="002617A2" w:rsidRDefault="00D531C3" w:rsidP="00D531C3">
      <w:pPr>
        <w:jc w:val="both"/>
      </w:pPr>
    </w:p>
    <w:p w14:paraId="158B6506" w14:textId="77777777" w:rsidR="00D531C3" w:rsidRPr="002617A2" w:rsidRDefault="00D531C3" w:rsidP="00D531C3">
      <w:pPr>
        <w:jc w:val="both"/>
      </w:pPr>
    </w:p>
    <w:p w14:paraId="231A9D58" w14:textId="77777777" w:rsidR="00D531C3" w:rsidRPr="002617A2" w:rsidRDefault="00D531C3" w:rsidP="00D531C3">
      <w:pPr>
        <w:jc w:val="both"/>
      </w:pPr>
    </w:p>
    <w:p w14:paraId="25251628" w14:textId="77777777" w:rsidR="00D531C3" w:rsidRPr="002617A2" w:rsidRDefault="00D531C3" w:rsidP="00D531C3">
      <w:pPr>
        <w:jc w:val="both"/>
      </w:pPr>
    </w:p>
    <w:p w14:paraId="2E0A3E1B" w14:textId="77777777" w:rsidR="00D531C3" w:rsidRPr="002617A2" w:rsidRDefault="00D531C3" w:rsidP="00D531C3">
      <w:pPr>
        <w:jc w:val="both"/>
      </w:pPr>
    </w:p>
    <w:p w14:paraId="66F2B530" w14:textId="77777777" w:rsidR="00D531C3" w:rsidRPr="002617A2" w:rsidRDefault="00D531C3" w:rsidP="00D531C3">
      <w:pPr>
        <w:jc w:val="both"/>
      </w:pPr>
    </w:p>
    <w:p w14:paraId="7A944D11" w14:textId="77777777" w:rsidR="00D531C3" w:rsidRPr="002617A2" w:rsidRDefault="00D531C3" w:rsidP="00D531C3">
      <w:pPr>
        <w:jc w:val="both"/>
      </w:pPr>
    </w:p>
    <w:p w14:paraId="690157F4" w14:textId="77777777" w:rsidR="00D531C3" w:rsidRPr="002617A2" w:rsidRDefault="00D531C3" w:rsidP="00D531C3">
      <w:pPr>
        <w:jc w:val="both"/>
      </w:pPr>
    </w:p>
    <w:p w14:paraId="2E138372" w14:textId="77777777" w:rsidR="00D531C3" w:rsidRPr="002617A2" w:rsidRDefault="00D531C3" w:rsidP="00D531C3">
      <w:pPr>
        <w:jc w:val="both"/>
      </w:pPr>
    </w:p>
    <w:p w14:paraId="37A486DB" w14:textId="77777777" w:rsidR="00D531C3" w:rsidRPr="002617A2" w:rsidRDefault="00D531C3" w:rsidP="00D531C3">
      <w:pPr>
        <w:jc w:val="both"/>
      </w:pPr>
    </w:p>
    <w:p w14:paraId="62D473DD" w14:textId="77777777" w:rsidR="00D531C3" w:rsidRPr="002617A2" w:rsidRDefault="00D531C3" w:rsidP="00D531C3">
      <w:pPr>
        <w:jc w:val="both"/>
      </w:pPr>
    </w:p>
    <w:p w14:paraId="22FF436E" w14:textId="77777777" w:rsidR="00D531C3" w:rsidRPr="002617A2" w:rsidRDefault="00D531C3" w:rsidP="00D531C3">
      <w:pPr>
        <w:jc w:val="both"/>
      </w:pPr>
    </w:p>
    <w:p w14:paraId="119B0C73" w14:textId="77777777" w:rsidR="00D531C3" w:rsidRPr="002617A2" w:rsidRDefault="00D531C3" w:rsidP="00D531C3">
      <w:pPr>
        <w:jc w:val="both"/>
      </w:pPr>
      <w:r w:rsidRPr="00D531C3">
        <w:rPr>
          <w:b/>
          <w:bCs/>
        </w:rPr>
        <w:lastRenderedPageBreak/>
        <w:t>Gallbladder</w:t>
      </w:r>
      <w:r w:rsidRPr="002617A2">
        <w:rPr>
          <w:b/>
          <w:bCs/>
        </w:rPr>
        <w:t xml:space="preserve"> </w:t>
      </w:r>
      <w:r w:rsidRPr="00D531C3">
        <w:rPr>
          <w:b/>
          <w:bCs/>
        </w:rPr>
        <w:t>Mucocele</w:t>
      </w:r>
      <w:r w:rsidRPr="002617A2">
        <w:rPr>
          <w:b/>
          <w:bCs/>
        </w:rPr>
        <w:t xml:space="preserve">: </w:t>
      </w:r>
      <w:r w:rsidRPr="00D531C3">
        <w:rPr>
          <w:b/>
          <w:bCs/>
        </w:rPr>
        <w:t>Retrospective</w:t>
      </w:r>
      <w:r w:rsidRPr="002617A2">
        <w:rPr>
          <w:b/>
          <w:bCs/>
        </w:rPr>
        <w:t xml:space="preserve"> </w:t>
      </w:r>
      <w:r w:rsidRPr="00D531C3">
        <w:rPr>
          <w:b/>
          <w:bCs/>
        </w:rPr>
        <w:t>Study</w:t>
      </w:r>
      <w:r w:rsidRPr="002617A2">
        <w:rPr>
          <w:b/>
          <w:bCs/>
        </w:rPr>
        <w:t xml:space="preserve"> </w:t>
      </w:r>
      <w:r w:rsidRPr="00D531C3">
        <w:rPr>
          <w:b/>
          <w:bCs/>
        </w:rPr>
        <w:t>in</w:t>
      </w:r>
      <w:r w:rsidRPr="002617A2">
        <w:rPr>
          <w:b/>
          <w:bCs/>
        </w:rPr>
        <w:t xml:space="preserve"> </w:t>
      </w:r>
      <w:r w:rsidRPr="00D531C3">
        <w:rPr>
          <w:b/>
          <w:bCs/>
        </w:rPr>
        <w:t>Clinical</w:t>
      </w:r>
      <w:r w:rsidRPr="002617A2">
        <w:rPr>
          <w:b/>
          <w:bCs/>
        </w:rPr>
        <w:t xml:space="preserve"> </w:t>
      </w:r>
      <w:r w:rsidRPr="00D531C3">
        <w:rPr>
          <w:b/>
          <w:bCs/>
        </w:rPr>
        <w:t>Cases</w:t>
      </w:r>
    </w:p>
    <w:p w14:paraId="04394676" w14:textId="77777777" w:rsidR="00D531C3" w:rsidRPr="00D531C3" w:rsidRDefault="00D531C3" w:rsidP="00D531C3">
      <w:pPr>
        <w:jc w:val="both"/>
      </w:pPr>
      <w:r w:rsidRPr="00D531C3">
        <w:t>Mastakas Athanasios</w:t>
      </w:r>
      <w:r w:rsidRPr="00D531C3">
        <w:rPr>
          <w:vertAlign w:val="superscript"/>
        </w:rPr>
        <w:t>1</w:t>
      </w:r>
      <w:r w:rsidRPr="00D531C3">
        <w:t>, Goukos Vasileios</w:t>
      </w:r>
      <w:r w:rsidRPr="00D531C3">
        <w:rPr>
          <w:vertAlign w:val="superscript"/>
        </w:rPr>
        <w:t>1</w:t>
      </w:r>
      <w:r w:rsidRPr="00D531C3">
        <w:t>, Papazoglou Lysimachos</w:t>
      </w:r>
      <w:r w:rsidRPr="00D531C3">
        <w:rPr>
          <w:vertAlign w:val="superscript"/>
        </w:rPr>
        <w:t>2</w:t>
      </w:r>
    </w:p>
    <w:p w14:paraId="2450D690" w14:textId="77777777" w:rsidR="00D531C3" w:rsidRPr="00D531C3" w:rsidRDefault="00D531C3">
      <w:pPr>
        <w:numPr>
          <w:ilvl w:val="0"/>
          <w:numId w:val="73"/>
        </w:numPr>
        <w:jc w:val="both"/>
      </w:pPr>
      <w:r w:rsidRPr="00D531C3">
        <w:t>Undergaduate Student, School of Veterinary Medicine, Faculty of Health Sciences, Aristotle University of Thessaloniki</w:t>
      </w:r>
    </w:p>
    <w:p w14:paraId="4C4426E8" w14:textId="77777777" w:rsidR="00D531C3" w:rsidRDefault="00D531C3">
      <w:pPr>
        <w:numPr>
          <w:ilvl w:val="0"/>
          <w:numId w:val="73"/>
        </w:numPr>
        <w:jc w:val="both"/>
      </w:pPr>
      <w:r w:rsidRPr="00D531C3">
        <w:t>Professor of Surgery, Department of Veterinary Medicine, School of Health Sciences, Aristotle University of Thessaloniki.</w:t>
      </w:r>
    </w:p>
    <w:p w14:paraId="392C1EFA" w14:textId="77777777" w:rsidR="00D531C3" w:rsidRPr="00D531C3" w:rsidRDefault="00D531C3" w:rsidP="00D531C3">
      <w:pPr>
        <w:ind w:left="720"/>
        <w:jc w:val="both"/>
      </w:pPr>
    </w:p>
    <w:p w14:paraId="6D956EE4" w14:textId="77777777" w:rsidR="00D531C3" w:rsidRPr="00D531C3" w:rsidRDefault="00D531C3" w:rsidP="00D531C3">
      <w:pPr>
        <w:jc w:val="both"/>
      </w:pPr>
      <w:r w:rsidRPr="00D531C3">
        <w:rPr>
          <w:b/>
          <w:bCs/>
        </w:rPr>
        <w:t>Abstract</w:t>
      </w:r>
    </w:p>
    <w:p w14:paraId="18CC0E27" w14:textId="77777777" w:rsidR="00D531C3" w:rsidRPr="00D531C3" w:rsidRDefault="00D531C3" w:rsidP="00D531C3">
      <w:pPr>
        <w:jc w:val="both"/>
      </w:pPr>
      <w:r w:rsidRPr="00D531C3">
        <w:t>Gallbladder mucocele (GBM) refers to the pathological accumulation of thickened mucus and bile, a condition that can lead to biliary tract obstruction, gallbladder rupture, and the development of bile peritonitis. The purpose of this retrospective study is to highlight the most common clinical signs, therapeutic options, and prognosis across 20 clinical cases.</w:t>
      </w:r>
    </w:p>
    <w:p w14:paraId="6747A23E" w14:textId="77777777" w:rsidR="00D531C3" w:rsidRPr="00D531C3" w:rsidRDefault="00D531C3" w:rsidP="00D531C3">
      <w:pPr>
        <w:jc w:val="both"/>
      </w:pPr>
      <w:r w:rsidRPr="00D531C3">
        <w:t>Dog breeds such as Shetland Sheepdogs, Cocker Spaniels, Miniature Schnauzers, and Chihuahuas exhibit a genetic predisposition, although the primary underlying cause of the disease remains unknown. Recent studies have associated gallbladder mucocele with certain endocrinopathies and metabolic disorders. Diagnosis is established using patient history, clinical signs, laboratory tests, urinalysis, and ultrasonographic examination.</w:t>
      </w:r>
    </w:p>
    <w:p w14:paraId="42280794" w14:textId="77777777" w:rsidR="00D531C3" w:rsidRDefault="00D531C3" w:rsidP="00D531C3">
      <w:pPr>
        <w:jc w:val="both"/>
      </w:pPr>
      <w:r w:rsidRPr="00D531C3">
        <w:t>Therapeutically, cholecystectomy is the treatment of choice, offering a highly satisfactory long-term prognosis, provided the patient survives the immediate postoperative period. Alternatively, in cases of incidental diagnosis in asymptomatic patients, conservative management with the administration of ursodeoxycholic acid can be applied. However, this approach requires strict monitoring due to the ongoing risk of rupture and bile peritonitis.</w:t>
      </w:r>
    </w:p>
    <w:p w14:paraId="49DD9CAC" w14:textId="77777777" w:rsidR="00D531C3" w:rsidRPr="00D531C3" w:rsidRDefault="00D531C3" w:rsidP="00D531C3">
      <w:pPr>
        <w:jc w:val="both"/>
      </w:pPr>
    </w:p>
    <w:p w14:paraId="14B7978E" w14:textId="77777777" w:rsidR="00D531C3" w:rsidRPr="00D531C3" w:rsidRDefault="00D531C3" w:rsidP="00D531C3">
      <w:pPr>
        <w:jc w:val="both"/>
      </w:pPr>
      <w:r w:rsidRPr="00D531C3">
        <w:rPr>
          <w:b/>
          <w:bCs/>
        </w:rPr>
        <w:t>Bibliography</w:t>
      </w:r>
    </w:p>
    <w:p w14:paraId="77FF645B" w14:textId="55D05637" w:rsidR="00D531C3" w:rsidRPr="00D531C3" w:rsidRDefault="00D531C3" w:rsidP="00D531C3">
      <w:pPr>
        <w:jc w:val="both"/>
      </w:pPr>
      <w:r w:rsidRPr="00D531C3">
        <w:t>Aguirre, A. L., κ.ά. (2007). "</w:t>
      </w:r>
      <w:r w:rsidRPr="00D531C3">
        <w:rPr>
          <w:i/>
          <w:iCs/>
        </w:rPr>
        <w:t xml:space="preserve">Gallbladder disease in Shetland Sheepdogs: 38 cases </w:t>
      </w:r>
      <w:r w:rsidRPr="00D531C3">
        <w:t xml:space="preserve">(1995–2005)". </w:t>
      </w:r>
      <w:r w:rsidRPr="00D531C3">
        <w:rPr>
          <w:i/>
          <w:iCs/>
        </w:rPr>
        <w:t>JAVMA</w:t>
      </w:r>
      <w:r w:rsidRPr="00D531C3">
        <w:t>.</w:t>
      </w:r>
    </w:p>
    <w:p w14:paraId="4486E2BF" w14:textId="34884CC1" w:rsidR="00D531C3" w:rsidRPr="00D531C3" w:rsidRDefault="00D531C3" w:rsidP="00D531C3">
      <w:pPr>
        <w:jc w:val="both"/>
      </w:pPr>
      <w:r w:rsidRPr="00D531C3">
        <w:t>Cook, A. K. &amp; Simpson, K. W. (2015). "</w:t>
      </w:r>
      <w:r w:rsidRPr="00D531C3">
        <w:rPr>
          <w:i/>
          <w:iCs/>
        </w:rPr>
        <w:t>Gallbladder Mucocele"</w:t>
      </w:r>
      <w:r w:rsidRPr="00D531C3">
        <w:t xml:space="preserve">. </w:t>
      </w:r>
      <w:r w:rsidRPr="00D531C3">
        <w:rPr>
          <w:i/>
          <w:iCs/>
        </w:rPr>
        <w:t>Veterinary Clinics: Small Animal Practice</w:t>
      </w:r>
      <w:r w:rsidRPr="00D531C3">
        <w:t>.</w:t>
      </w:r>
    </w:p>
    <w:p w14:paraId="1F4BA75C" w14:textId="6BF55A9B" w:rsidR="00D531C3" w:rsidRPr="00D531C3" w:rsidRDefault="00D531C3" w:rsidP="00D531C3">
      <w:pPr>
        <w:jc w:val="both"/>
      </w:pPr>
      <w:r w:rsidRPr="00D531C3">
        <w:t> Mesich, A. J., et al. (2009). "</w:t>
      </w:r>
      <w:r w:rsidRPr="00D531C3">
        <w:rPr>
          <w:i/>
          <w:iCs/>
        </w:rPr>
        <w:t>Gallbladder mucoceles and their association with hyperadrenocorticism in dogs: 30 cases</w:t>
      </w:r>
      <w:r w:rsidRPr="00D531C3">
        <w:t xml:space="preserve"> (2006–2009)." </w:t>
      </w:r>
      <w:r w:rsidRPr="00D531C3">
        <w:rPr>
          <w:i/>
          <w:iCs/>
        </w:rPr>
        <w:t>Journal of the American Animal Hospital Association</w:t>
      </w:r>
      <w:r w:rsidRPr="00D531C3">
        <w:t>, 45(6), 274-278.</w:t>
      </w:r>
    </w:p>
    <w:p w14:paraId="6B48AD4C" w14:textId="3EA1EBFD" w:rsidR="00D531C3" w:rsidRPr="00D531C3" w:rsidRDefault="00D531C3" w:rsidP="00D531C3">
      <w:pPr>
        <w:jc w:val="both"/>
      </w:pPr>
      <w:r w:rsidRPr="00D531C3">
        <w:t> Jaffey, J. A., et al. (2019). "</w:t>
      </w:r>
      <w:r w:rsidRPr="00D531C3">
        <w:rPr>
          <w:i/>
          <w:iCs/>
        </w:rPr>
        <w:t>Factors associated with survival and development of septic peritonitis in dogs with gallbladder mucocele</w:t>
      </w:r>
      <w:r w:rsidRPr="00D531C3">
        <w:t xml:space="preserve">." </w:t>
      </w:r>
      <w:r w:rsidRPr="00D531C3">
        <w:rPr>
          <w:i/>
          <w:iCs/>
        </w:rPr>
        <w:t>Journal of the American Veterinary Medical Association</w:t>
      </w:r>
      <w:r w:rsidRPr="00D531C3">
        <w:t>, 254(12), 1429-1435.</w:t>
      </w:r>
    </w:p>
    <w:p w14:paraId="5E2D2F8C" w14:textId="77777777" w:rsidR="00D531C3" w:rsidRPr="00D531C3" w:rsidRDefault="00D531C3" w:rsidP="00D531C3">
      <w:pPr>
        <w:jc w:val="both"/>
      </w:pPr>
      <w:r w:rsidRPr="00D531C3">
        <w:t>Malek, S., et al. (2013). "</w:t>
      </w:r>
      <w:r w:rsidRPr="00D531C3">
        <w:rPr>
          <w:i/>
          <w:iCs/>
        </w:rPr>
        <w:t>Clinical findings and prognostic factors for dogs undergoing cholecystectomy for gall bladder mucocele</w:t>
      </w:r>
      <w:r w:rsidRPr="00D531C3">
        <w:t xml:space="preserve">." </w:t>
      </w:r>
      <w:r w:rsidRPr="00D531C3">
        <w:rPr>
          <w:i/>
          <w:iCs/>
        </w:rPr>
        <w:t>Veterinary Surgery</w:t>
      </w:r>
      <w:r w:rsidRPr="00D531C3">
        <w:t>, 42(4), 418-426.</w:t>
      </w:r>
    </w:p>
    <w:p w14:paraId="06860047" w14:textId="77777777" w:rsidR="00D531C3" w:rsidRDefault="00D531C3" w:rsidP="00D531C3">
      <w:pPr>
        <w:jc w:val="both"/>
      </w:pPr>
    </w:p>
    <w:p w14:paraId="0F64117F" w14:textId="77777777" w:rsidR="00D531C3" w:rsidRPr="00D531C3" w:rsidRDefault="00D531C3" w:rsidP="00D531C3">
      <w:pPr>
        <w:jc w:val="both"/>
      </w:pPr>
    </w:p>
    <w:p w14:paraId="5DC56547" w14:textId="77777777" w:rsidR="00D531C3" w:rsidRPr="00D531C3" w:rsidRDefault="00D531C3" w:rsidP="00D531C3">
      <w:pPr>
        <w:jc w:val="both"/>
      </w:pPr>
      <w:r w:rsidRPr="00D531C3">
        <w:rPr>
          <w:b/>
          <w:bCs/>
        </w:rPr>
        <w:lastRenderedPageBreak/>
        <w:t>Anoplasty for the Excision of Anal Sac Gland Adenocarcinoma (AGASACA) in a Dog</w:t>
      </w:r>
    </w:p>
    <w:p w14:paraId="78CB4B8D" w14:textId="77777777" w:rsidR="00D531C3" w:rsidRPr="00D531C3" w:rsidRDefault="00D531C3" w:rsidP="00D531C3">
      <w:pPr>
        <w:jc w:val="both"/>
      </w:pPr>
      <w:r w:rsidRPr="00D531C3">
        <w:t>Ntalla Danai-Maria</w:t>
      </w:r>
      <w:r w:rsidRPr="00D531C3">
        <w:rPr>
          <w:vertAlign w:val="superscript"/>
        </w:rPr>
        <w:t>1</w:t>
      </w:r>
      <w:r w:rsidRPr="00D531C3">
        <w:t>, Papazoglou Lysimachos</w:t>
      </w:r>
      <w:r w:rsidRPr="00D531C3">
        <w:rPr>
          <w:vertAlign w:val="superscript"/>
        </w:rPr>
        <w:t>2</w:t>
      </w:r>
    </w:p>
    <w:p w14:paraId="2A1E5C9B" w14:textId="77777777" w:rsidR="00D531C3" w:rsidRPr="00D531C3" w:rsidRDefault="00D531C3">
      <w:pPr>
        <w:numPr>
          <w:ilvl w:val="0"/>
          <w:numId w:val="74"/>
        </w:numPr>
        <w:jc w:val="both"/>
      </w:pPr>
      <w:r w:rsidRPr="00D531C3">
        <w:t>Undergraduate students, Department of Veterinary Medicine, School of Health Sciences, Aristotle University of Thessaloniki.</w:t>
      </w:r>
    </w:p>
    <w:p w14:paraId="69D36DDD" w14:textId="77777777" w:rsidR="00D531C3" w:rsidRDefault="00D531C3">
      <w:pPr>
        <w:numPr>
          <w:ilvl w:val="0"/>
          <w:numId w:val="74"/>
        </w:numPr>
        <w:jc w:val="both"/>
      </w:pPr>
      <w:r w:rsidRPr="00D531C3">
        <w:t>Professor of Surgery, Department of Veterinary Medicine, School of Health Sciences, Aristotle University of Thessaloniki.</w:t>
      </w:r>
    </w:p>
    <w:p w14:paraId="54293710" w14:textId="77777777" w:rsidR="00D531C3" w:rsidRPr="00D531C3" w:rsidRDefault="00D531C3" w:rsidP="00D531C3">
      <w:pPr>
        <w:ind w:left="720"/>
        <w:jc w:val="both"/>
      </w:pPr>
    </w:p>
    <w:p w14:paraId="6F2AA308" w14:textId="77777777" w:rsidR="00D531C3" w:rsidRPr="00D531C3" w:rsidRDefault="00D531C3" w:rsidP="00D531C3">
      <w:pPr>
        <w:jc w:val="both"/>
      </w:pPr>
      <w:r w:rsidRPr="00D531C3">
        <w:rPr>
          <w:b/>
          <w:bCs/>
        </w:rPr>
        <w:t>Abstract</w:t>
      </w:r>
    </w:p>
    <w:p w14:paraId="51BD4B63" w14:textId="77777777" w:rsidR="00D531C3" w:rsidRDefault="00D531C3" w:rsidP="00D531C3">
      <w:pPr>
        <w:jc w:val="both"/>
      </w:pPr>
      <w:r w:rsidRPr="00D531C3">
        <w:t>The present study focuses on the clinical analysis of a perianal mass case consistent with Anal Sac Gland Adenocarcinoma (AGASACA). Specifically, a seven-year-old, neutered male Labrador Retriever underwent a 360° anoplasty surgical procedure. The initial diagnosis was established via digital rectal palpation, which revealed a swelling in the perianal region and left-sided rectal stenosis. Preoperatively, the patient underwent thoracic and abdominal Computed Tomography (CT), which showed no significant findings. Definitive diagnosis was confirmed through histopathological examination, with findings consistent with AGASACA. A few days postoperatively, the first complications occurred, including wound dehiscence and surgical site infection. These were managed via open wound management and healing by second intention. Complete wound healing was achieved after 30 days. Forty days later, the dog was presented again due to rectal stricture, which was successfully managed through manual digital dilation over four sessions. Six months postoperatively, the dog remains asymptomatic. Wound dehiscence in the perianal region following mass excision is a common occurrence, and its management typically involves healing by second intention. Finally, anal stenosis constitutes a frequent complication of the healing process, which can be successfully addressed through digital dilation.</w:t>
      </w:r>
    </w:p>
    <w:p w14:paraId="404B4FF5" w14:textId="77777777" w:rsidR="00D531C3" w:rsidRPr="00D531C3" w:rsidRDefault="00D531C3" w:rsidP="00D531C3">
      <w:pPr>
        <w:jc w:val="both"/>
      </w:pPr>
    </w:p>
    <w:p w14:paraId="6601FAF1" w14:textId="77777777" w:rsidR="00D531C3" w:rsidRPr="00D531C3" w:rsidRDefault="00D531C3" w:rsidP="00D531C3">
      <w:pPr>
        <w:jc w:val="both"/>
      </w:pPr>
      <w:r w:rsidRPr="00D531C3">
        <w:rPr>
          <w:b/>
          <w:bCs/>
        </w:rPr>
        <w:t>Bibliography</w:t>
      </w:r>
    </w:p>
    <w:p w14:paraId="54E824E7" w14:textId="244746B1" w:rsidR="00D531C3" w:rsidRPr="00D531C3" w:rsidRDefault="00D531C3" w:rsidP="00D531C3">
      <w:pPr>
        <w:jc w:val="both"/>
      </w:pPr>
      <w:r w:rsidRPr="00D531C3">
        <w:t>Fossum, T.W. (2018) </w:t>
      </w:r>
      <w:r w:rsidRPr="00D531C3">
        <w:rPr>
          <w:i/>
          <w:iCs/>
        </w:rPr>
        <w:t>Small animal surgery</w:t>
      </w:r>
      <w:r w:rsidRPr="00D531C3">
        <w:t>. 5th ed., Philadelphia, PA: Elsevier.</w:t>
      </w:r>
    </w:p>
    <w:p w14:paraId="71885086" w14:textId="237B0151" w:rsidR="00D531C3" w:rsidRPr="002617A2" w:rsidRDefault="00D531C3" w:rsidP="00D531C3">
      <w:pPr>
        <w:jc w:val="both"/>
      </w:pPr>
      <w:r w:rsidRPr="00D531C3">
        <w:t>Monnet, E. (2014) </w:t>
      </w:r>
      <w:r w:rsidRPr="00D531C3">
        <w:rPr>
          <w:i/>
          <w:iCs/>
        </w:rPr>
        <w:t>Χειρουργική μαλακών ιστών των μικρών ζώων</w:t>
      </w:r>
      <w:r w:rsidRPr="00D531C3">
        <w:t>. Επιμέλεια ελληνικής έκδοσης Λ.Γ. Παπάζογλου και Β.Γ. Τσιώλη. 2η έκδ. Θεσσαλονίκη: Εκδόσεις Ροτόντα</w:t>
      </w:r>
    </w:p>
    <w:p w14:paraId="537EA3A9" w14:textId="40EE3686" w:rsidR="00D531C3" w:rsidRPr="00D531C3" w:rsidRDefault="00D531C3" w:rsidP="00D531C3">
      <w:pPr>
        <w:jc w:val="both"/>
      </w:pPr>
      <w:r w:rsidRPr="00D531C3">
        <w:t>Davey</w:t>
      </w:r>
      <w:r w:rsidRPr="002617A2">
        <w:t xml:space="preserve">, </w:t>
      </w:r>
      <w:r w:rsidRPr="00D531C3">
        <w:t>E</w:t>
      </w:r>
      <w:r w:rsidRPr="002617A2">
        <w:t>.</w:t>
      </w:r>
      <w:r w:rsidRPr="00D531C3">
        <w:t>L</w:t>
      </w:r>
      <w:r w:rsidRPr="002617A2">
        <w:t xml:space="preserve">. </w:t>
      </w:r>
      <w:r w:rsidRPr="00D531C3">
        <w:t>and</w:t>
      </w:r>
      <w:r w:rsidRPr="002617A2">
        <w:t xml:space="preserve"> </w:t>
      </w:r>
      <w:r w:rsidRPr="00D531C3">
        <w:t>Prpich</w:t>
      </w:r>
      <w:r w:rsidRPr="002617A2">
        <w:t xml:space="preserve">, </w:t>
      </w:r>
      <w:r w:rsidRPr="00D531C3">
        <w:t>C</w:t>
      </w:r>
      <w:r w:rsidRPr="002617A2">
        <w:t>.</w:t>
      </w:r>
      <w:r w:rsidRPr="00D531C3">
        <w:t>Y</w:t>
      </w:r>
      <w:r w:rsidRPr="002617A2">
        <w:t xml:space="preserve">., 2024. </w:t>
      </w:r>
      <w:r w:rsidRPr="00D531C3">
        <w:rPr>
          <w:i/>
          <w:iCs/>
        </w:rPr>
        <w:t>Outcomes of dogs with apocrine gland anal sac adenocarcinoma treated via modified closed anal sacculectomy</w:t>
      </w:r>
      <w:r w:rsidRPr="00D531C3">
        <w:t xml:space="preserve"> (2015–2022). </w:t>
      </w:r>
      <w:r w:rsidRPr="00D531C3">
        <w:rPr>
          <w:i/>
          <w:iCs/>
        </w:rPr>
        <w:t>Veterinary Surgery</w:t>
      </w:r>
      <w:r w:rsidRPr="00D531C3">
        <w:t>, 53(6), pp.973–979.</w:t>
      </w:r>
    </w:p>
    <w:p w14:paraId="4FD3DC06" w14:textId="0DAE9211" w:rsidR="00D531C3" w:rsidRPr="00D531C3" w:rsidRDefault="00D531C3" w:rsidP="00D531C3">
      <w:pPr>
        <w:jc w:val="both"/>
      </w:pPr>
      <w:r w:rsidRPr="00D531C3">
        <w:t xml:space="preserve">VetSurg, n.d. </w:t>
      </w:r>
      <w:r w:rsidRPr="00D531C3">
        <w:rPr>
          <w:i/>
          <w:iCs/>
        </w:rPr>
        <w:t>Anal sac adenocarcinoma</w:t>
      </w:r>
      <w:r w:rsidRPr="00D531C3">
        <w:t>. </w:t>
      </w:r>
    </w:p>
    <w:p w14:paraId="359A9E9E" w14:textId="7D26526A" w:rsidR="00D531C3" w:rsidRPr="00D531C3" w:rsidRDefault="00D531C3" w:rsidP="00D531C3">
      <w:pPr>
        <w:jc w:val="both"/>
      </w:pPr>
      <w:r w:rsidRPr="00D531C3">
        <w:t xml:space="preserve">Repasy, A.B., Selmic, L.E. and Kisseberth, W.C., 2022. </w:t>
      </w:r>
      <w:r w:rsidRPr="00D531C3">
        <w:rPr>
          <w:i/>
          <w:iCs/>
        </w:rPr>
        <w:t>Canine apocrine gland anal sac adenocarcinoma: A review</w:t>
      </w:r>
      <w:r w:rsidRPr="00D531C3">
        <w:t>. </w:t>
      </w:r>
      <w:r w:rsidRPr="00D531C3">
        <w:rPr>
          <w:i/>
          <w:iCs/>
        </w:rPr>
        <w:t>Topics in Companion Animal Medicine</w:t>
      </w:r>
      <w:r w:rsidRPr="00D531C3">
        <w:t>, 50, Article 100682.</w:t>
      </w:r>
    </w:p>
    <w:p w14:paraId="00578705" w14:textId="4234AE35" w:rsidR="00D531C3" w:rsidRPr="00D531C3" w:rsidRDefault="00D531C3" w:rsidP="00D531C3">
      <w:pPr>
        <w:jc w:val="both"/>
      </w:pPr>
      <w:r w:rsidRPr="00D531C3">
        <w:t xml:space="preserve">Liptak, J.M., n.d. </w:t>
      </w:r>
      <w:r w:rsidRPr="00D531C3">
        <w:rPr>
          <w:i/>
          <w:iCs/>
        </w:rPr>
        <w:t>Skin tumors – Anal sac</w:t>
      </w:r>
      <w:r w:rsidRPr="00D531C3">
        <w:t>. </w:t>
      </w:r>
    </w:p>
    <w:p w14:paraId="0AE0EFE1" w14:textId="7A0C1146" w:rsidR="00D531C3" w:rsidRPr="00D531C3" w:rsidRDefault="00D531C3" w:rsidP="00D531C3">
      <w:pPr>
        <w:jc w:val="both"/>
      </w:pPr>
      <w:r w:rsidRPr="00D531C3">
        <w:t xml:space="preserve">Veterinary Cancer Group, n.d. </w:t>
      </w:r>
      <w:r w:rsidRPr="00D531C3">
        <w:rPr>
          <w:i/>
          <w:iCs/>
        </w:rPr>
        <w:t>Anal gland adenocarcinoma</w:t>
      </w:r>
      <w:r w:rsidRPr="00D531C3">
        <w:t>. </w:t>
      </w:r>
    </w:p>
    <w:p w14:paraId="4BE26A24" w14:textId="3BFFAB75" w:rsidR="00D531C3" w:rsidRPr="00D531C3" w:rsidRDefault="00D531C3" w:rsidP="00D531C3">
      <w:pPr>
        <w:jc w:val="both"/>
      </w:pPr>
      <w:r w:rsidRPr="00D531C3">
        <w:t xml:space="preserve">Cornell University College of Veterinary Medicine, n.d. </w:t>
      </w:r>
      <w:r w:rsidRPr="00D531C3">
        <w:rPr>
          <w:i/>
          <w:iCs/>
        </w:rPr>
        <w:t>Anal sac adenocarcinoma</w:t>
      </w:r>
      <w:r w:rsidRPr="00D531C3">
        <w:t>. </w:t>
      </w:r>
    </w:p>
    <w:p w14:paraId="480ED167" w14:textId="77777777" w:rsidR="00D531C3" w:rsidRPr="00D531C3" w:rsidRDefault="00D531C3" w:rsidP="00D531C3">
      <w:pPr>
        <w:jc w:val="both"/>
      </w:pPr>
      <w:r w:rsidRPr="00D531C3">
        <w:lastRenderedPageBreak/>
        <w:t xml:space="preserve">Cino, M. and Martano, M., 2024. </w:t>
      </w:r>
      <w:r w:rsidRPr="00D531C3">
        <w:rPr>
          <w:i/>
          <w:iCs/>
        </w:rPr>
        <w:t>Is there anything new in canine AGASACA</w:t>
      </w:r>
      <w:r w:rsidRPr="00D531C3">
        <w:t xml:space="preserve"> </w:t>
      </w:r>
      <w:r w:rsidRPr="00D531C3">
        <w:rPr>
          <w:i/>
          <w:iCs/>
        </w:rPr>
        <w:t>Veterinary Sciences</w:t>
      </w:r>
      <w:r w:rsidRPr="00D531C3">
        <w:t>, 11(12), p.629.</w:t>
      </w:r>
    </w:p>
    <w:p w14:paraId="18AF8456" w14:textId="5A617940" w:rsidR="00D531C3" w:rsidRPr="00D531C3" w:rsidRDefault="00D531C3" w:rsidP="00D531C3">
      <w:pPr>
        <w:jc w:val="both"/>
      </w:pPr>
      <w:r w:rsidRPr="00D531C3">
        <w:t xml:space="preserve">Griffin, M.A., Mayhew, P.D., Culp, W.T.N., Giuffrida, M.A., Telek, S., Singh, A., Oblak, M. and Swanton, E., 2023. </w:t>
      </w:r>
      <w:r w:rsidRPr="00D531C3">
        <w:rPr>
          <w:i/>
          <w:iCs/>
        </w:rPr>
        <w:t>Short</w:t>
      </w:r>
      <w:r w:rsidRPr="00D531C3">
        <w:rPr>
          <w:i/>
          <w:iCs/>
        </w:rPr>
        <w:noBreakHyphen/>
        <w:t xml:space="preserve"> and long</w:t>
      </w:r>
      <w:r w:rsidRPr="00D531C3">
        <w:rPr>
          <w:i/>
          <w:iCs/>
        </w:rPr>
        <w:noBreakHyphen/>
        <w:t>term outcomes associated with anal sacculectomy in dogs with massive apocrine gland anal sac adenocarcinoma</w:t>
      </w:r>
      <w:r w:rsidRPr="00D531C3">
        <w:t xml:space="preserve">. </w:t>
      </w:r>
      <w:r w:rsidRPr="00D531C3">
        <w:rPr>
          <w:i/>
          <w:iCs/>
        </w:rPr>
        <w:t>Journal of the American Veterinary Medical Association</w:t>
      </w:r>
      <w:r w:rsidRPr="00D531C3">
        <w:t>, 261(10), pp.1–8. </w:t>
      </w:r>
    </w:p>
    <w:p w14:paraId="311A509B" w14:textId="04E02E83" w:rsidR="00D531C3" w:rsidRPr="00D531C3" w:rsidRDefault="00D531C3" w:rsidP="00D531C3">
      <w:pPr>
        <w:jc w:val="both"/>
      </w:pPr>
      <w:r w:rsidRPr="00D531C3">
        <w:t xml:space="preserve">American Veterinary Medical Association, 2022. </w:t>
      </w:r>
      <w:r w:rsidRPr="00D531C3">
        <w:rPr>
          <w:i/>
          <w:iCs/>
        </w:rPr>
        <w:t>Surgical outcomes and treatment of canine anal sac adenocarcinoma</w:t>
      </w:r>
      <w:r w:rsidRPr="00D531C3">
        <w:t xml:space="preserve">. </w:t>
      </w:r>
      <w:r w:rsidRPr="00D531C3">
        <w:rPr>
          <w:i/>
          <w:iCs/>
        </w:rPr>
        <w:t>Journal of the American Veterinary Medical Association</w:t>
      </w:r>
      <w:r w:rsidRPr="00D531C3">
        <w:t>, 261(10). </w:t>
      </w:r>
    </w:p>
    <w:p w14:paraId="59930BDF" w14:textId="77777777" w:rsidR="00D531C3" w:rsidRDefault="00D531C3" w:rsidP="00D531C3">
      <w:pPr>
        <w:jc w:val="both"/>
      </w:pPr>
      <w:r w:rsidRPr="00D531C3">
        <w:t xml:space="preserve">Skorupski, K.A., Alarcón, C.N., de Lorimier, L.-P., LaDouceur, E.E.B., Rodriguez, C.O. and Rebhun, R.B., 2018. </w:t>
      </w:r>
      <w:r w:rsidRPr="00D531C3">
        <w:rPr>
          <w:i/>
          <w:iCs/>
        </w:rPr>
        <w:t>Outcome and clinical, pathological, and immunohistochemical factors associated with prognosis for dogs with early</w:t>
      </w:r>
      <w:r w:rsidRPr="00D531C3">
        <w:rPr>
          <w:i/>
          <w:iCs/>
        </w:rPr>
        <w:noBreakHyphen/>
        <w:t>stage anal sac adenocarcinoma treated with surgery alone: 34 cases</w:t>
      </w:r>
      <w:r w:rsidRPr="00D531C3">
        <w:t xml:space="preserve"> (2002–2013). </w:t>
      </w:r>
      <w:r w:rsidRPr="00D531C3">
        <w:rPr>
          <w:i/>
          <w:iCs/>
        </w:rPr>
        <w:t>Journal of the American Veterinary Medical Association</w:t>
      </w:r>
      <w:r w:rsidRPr="00D531C3">
        <w:t>, 253(1), pp.84–91. </w:t>
      </w:r>
    </w:p>
    <w:p w14:paraId="6AA879DF" w14:textId="77777777" w:rsidR="00D531C3" w:rsidRDefault="00D531C3" w:rsidP="00D531C3">
      <w:pPr>
        <w:jc w:val="both"/>
      </w:pPr>
    </w:p>
    <w:p w14:paraId="42A9EF99" w14:textId="77777777" w:rsidR="00D531C3" w:rsidRDefault="00D531C3" w:rsidP="00D531C3">
      <w:pPr>
        <w:jc w:val="both"/>
      </w:pPr>
    </w:p>
    <w:p w14:paraId="61C5B297" w14:textId="77777777" w:rsidR="00D531C3" w:rsidRDefault="00D531C3" w:rsidP="00D531C3">
      <w:pPr>
        <w:jc w:val="both"/>
      </w:pPr>
    </w:p>
    <w:p w14:paraId="438CDE08" w14:textId="77777777" w:rsidR="00D531C3" w:rsidRDefault="00D531C3" w:rsidP="00D531C3">
      <w:pPr>
        <w:jc w:val="both"/>
      </w:pPr>
    </w:p>
    <w:p w14:paraId="314412C8" w14:textId="77777777" w:rsidR="00D531C3" w:rsidRDefault="00D531C3" w:rsidP="00D531C3">
      <w:pPr>
        <w:jc w:val="both"/>
      </w:pPr>
    </w:p>
    <w:p w14:paraId="333CFE4F" w14:textId="77777777" w:rsidR="00D531C3" w:rsidRDefault="00D531C3" w:rsidP="00D531C3">
      <w:pPr>
        <w:jc w:val="both"/>
      </w:pPr>
    </w:p>
    <w:p w14:paraId="603E6DD7" w14:textId="77777777" w:rsidR="00D531C3" w:rsidRDefault="00D531C3" w:rsidP="00D531C3">
      <w:pPr>
        <w:jc w:val="both"/>
      </w:pPr>
    </w:p>
    <w:p w14:paraId="27590327" w14:textId="77777777" w:rsidR="00D531C3" w:rsidRDefault="00D531C3" w:rsidP="00D531C3">
      <w:pPr>
        <w:jc w:val="both"/>
      </w:pPr>
    </w:p>
    <w:p w14:paraId="1075225E" w14:textId="77777777" w:rsidR="00D531C3" w:rsidRDefault="00D531C3" w:rsidP="00D531C3">
      <w:pPr>
        <w:jc w:val="both"/>
      </w:pPr>
    </w:p>
    <w:p w14:paraId="32853A43" w14:textId="77777777" w:rsidR="00D531C3" w:rsidRDefault="00D531C3" w:rsidP="00D531C3">
      <w:pPr>
        <w:jc w:val="both"/>
      </w:pPr>
    </w:p>
    <w:p w14:paraId="24139B1C" w14:textId="77777777" w:rsidR="00D531C3" w:rsidRDefault="00D531C3" w:rsidP="00D531C3">
      <w:pPr>
        <w:jc w:val="both"/>
      </w:pPr>
    </w:p>
    <w:p w14:paraId="6767AFF4" w14:textId="77777777" w:rsidR="00D531C3" w:rsidRDefault="00D531C3" w:rsidP="00D531C3">
      <w:pPr>
        <w:jc w:val="both"/>
      </w:pPr>
    </w:p>
    <w:p w14:paraId="21C00E75" w14:textId="77777777" w:rsidR="00D531C3" w:rsidRDefault="00D531C3" w:rsidP="00D531C3">
      <w:pPr>
        <w:jc w:val="both"/>
      </w:pPr>
    </w:p>
    <w:p w14:paraId="31C5712E" w14:textId="77777777" w:rsidR="00D531C3" w:rsidRDefault="00D531C3" w:rsidP="00D531C3">
      <w:pPr>
        <w:jc w:val="both"/>
      </w:pPr>
    </w:p>
    <w:p w14:paraId="044E506B" w14:textId="77777777" w:rsidR="00D531C3" w:rsidRDefault="00D531C3" w:rsidP="00D531C3">
      <w:pPr>
        <w:jc w:val="both"/>
      </w:pPr>
    </w:p>
    <w:p w14:paraId="1CF92D3F" w14:textId="77777777" w:rsidR="00D531C3" w:rsidRDefault="00D531C3" w:rsidP="00D531C3">
      <w:pPr>
        <w:jc w:val="both"/>
      </w:pPr>
    </w:p>
    <w:p w14:paraId="04D3E507" w14:textId="77777777" w:rsidR="00D531C3" w:rsidRDefault="00D531C3" w:rsidP="00D531C3">
      <w:pPr>
        <w:jc w:val="both"/>
      </w:pPr>
    </w:p>
    <w:p w14:paraId="11B97EF0" w14:textId="77777777" w:rsidR="00D531C3" w:rsidRDefault="00D531C3" w:rsidP="00D531C3">
      <w:pPr>
        <w:jc w:val="both"/>
      </w:pPr>
    </w:p>
    <w:p w14:paraId="12724A2D" w14:textId="77777777" w:rsidR="00D531C3" w:rsidRDefault="00D531C3" w:rsidP="00D531C3">
      <w:pPr>
        <w:jc w:val="both"/>
      </w:pPr>
    </w:p>
    <w:p w14:paraId="67B987CE" w14:textId="77777777" w:rsidR="00D531C3" w:rsidRDefault="00D531C3" w:rsidP="00D531C3">
      <w:pPr>
        <w:jc w:val="both"/>
      </w:pPr>
    </w:p>
    <w:p w14:paraId="1A3E4F0E" w14:textId="77777777" w:rsidR="00D531C3" w:rsidRPr="00D531C3" w:rsidRDefault="00D531C3" w:rsidP="00D531C3">
      <w:pPr>
        <w:jc w:val="both"/>
      </w:pPr>
    </w:p>
    <w:p w14:paraId="793B4160" w14:textId="77777777" w:rsidR="00D531C3" w:rsidRPr="00D531C3" w:rsidRDefault="00D531C3" w:rsidP="00D531C3">
      <w:pPr>
        <w:jc w:val="both"/>
      </w:pPr>
      <w:r w:rsidRPr="00D531C3">
        <w:rPr>
          <w:b/>
          <w:bCs/>
        </w:rPr>
        <w:lastRenderedPageBreak/>
        <w:t>Surgical Resection of Thoracic Wall Osteosarcoma in Canines: Surgical Techniques and Case Report</w:t>
      </w:r>
    </w:p>
    <w:p w14:paraId="7147F822" w14:textId="77777777" w:rsidR="00D531C3" w:rsidRPr="00D531C3" w:rsidRDefault="00D531C3" w:rsidP="00D531C3">
      <w:pPr>
        <w:jc w:val="both"/>
      </w:pPr>
      <w:r w:rsidRPr="00D531C3">
        <w:t>Goukos Vasileios</w:t>
      </w:r>
      <w:r w:rsidRPr="00D531C3">
        <w:rPr>
          <w:vertAlign w:val="superscript"/>
        </w:rPr>
        <w:t>1</w:t>
      </w:r>
      <w:r w:rsidRPr="00D531C3">
        <w:t>, Ftaka Maria-Anna</w:t>
      </w:r>
      <w:r w:rsidRPr="00D531C3">
        <w:rPr>
          <w:vertAlign w:val="superscript"/>
        </w:rPr>
        <w:t>1</w:t>
      </w:r>
      <w:r w:rsidRPr="00D531C3">
        <w:t>, Mastakas Athanasios</w:t>
      </w:r>
      <w:r w:rsidRPr="00D531C3">
        <w:rPr>
          <w:vertAlign w:val="superscript"/>
        </w:rPr>
        <w:t>1</w:t>
      </w:r>
      <w:r w:rsidRPr="00D531C3">
        <w:t>, Papazoglou Lysimachos</w:t>
      </w:r>
      <w:r w:rsidRPr="00D531C3">
        <w:rPr>
          <w:vertAlign w:val="superscript"/>
        </w:rPr>
        <w:t>2</w:t>
      </w:r>
    </w:p>
    <w:p w14:paraId="71071EB8" w14:textId="77777777" w:rsidR="00D531C3" w:rsidRPr="00D531C3" w:rsidRDefault="00D531C3">
      <w:pPr>
        <w:numPr>
          <w:ilvl w:val="0"/>
          <w:numId w:val="75"/>
        </w:numPr>
        <w:jc w:val="both"/>
      </w:pPr>
      <w:r w:rsidRPr="00D531C3">
        <w:t>Undergaduate Student, School of Veterinary Medicine, Faculty of Health Sciences, Aristotle University of Thessaloniki</w:t>
      </w:r>
    </w:p>
    <w:p w14:paraId="3932681D" w14:textId="77777777" w:rsidR="00D531C3" w:rsidRDefault="00D531C3">
      <w:pPr>
        <w:numPr>
          <w:ilvl w:val="0"/>
          <w:numId w:val="75"/>
        </w:numPr>
        <w:jc w:val="both"/>
      </w:pPr>
      <w:r w:rsidRPr="00D531C3">
        <w:t>Dean, Professor of Soft Tissue Surgery, Companion Animal Clinic, Department of Veterinary Medicine, School of Health Sciences, Aristotle University of Thessaloniki</w:t>
      </w:r>
    </w:p>
    <w:p w14:paraId="3195E01E" w14:textId="77777777" w:rsidR="00D531C3" w:rsidRPr="00D531C3" w:rsidRDefault="00D531C3" w:rsidP="00D531C3">
      <w:pPr>
        <w:ind w:left="720"/>
        <w:jc w:val="both"/>
      </w:pPr>
    </w:p>
    <w:p w14:paraId="5DD0F055" w14:textId="77777777" w:rsidR="00D531C3" w:rsidRPr="00D531C3" w:rsidRDefault="00D531C3" w:rsidP="00D531C3">
      <w:pPr>
        <w:jc w:val="both"/>
      </w:pPr>
      <w:r w:rsidRPr="00D531C3">
        <w:rPr>
          <w:b/>
          <w:bCs/>
        </w:rPr>
        <w:t>Abstract</w:t>
      </w:r>
    </w:p>
    <w:p w14:paraId="33A0D7E1" w14:textId="77777777" w:rsidR="00D531C3" w:rsidRPr="00D531C3" w:rsidRDefault="00D531C3" w:rsidP="00D531C3">
      <w:pPr>
        <w:jc w:val="both"/>
      </w:pPr>
      <w:r w:rsidRPr="00D531C3">
        <w:t>Osteosarcoma, a malignant neoplasm of osteoblasts, is the most common primary tumor of the ribs, accounting for 28–63% of cases. It occurs primarily in elderly, large-breed dogs. The aim of this paper is to provide a concise presentation of the main surgical techniques, their respective prognoses, and postoperative complications. To this end, we present a clinical case of rib osteosarcoma in a 7.5-year-old Dobermann, which underwent en bloc total pleurectomy of five ribs, including the pleura, on the right thoracic wall, followed by the placement of a surgical mesh.</w:t>
      </w:r>
    </w:p>
    <w:p w14:paraId="3C8694E7" w14:textId="77777777" w:rsidR="00D531C3" w:rsidRPr="00D531C3" w:rsidRDefault="00D531C3" w:rsidP="00D531C3">
      <w:pPr>
        <w:jc w:val="both"/>
      </w:pPr>
      <w:r w:rsidRPr="00D531C3">
        <w:t>Despite the successful surgical procedure, the postoperative course was complicated by five consecutive dehiscences of the surgical wound; ultimately, the decision was made to euthanize the animal.</w:t>
      </w:r>
    </w:p>
    <w:p w14:paraId="120B244F" w14:textId="77777777" w:rsidR="00D531C3" w:rsidRPr="00D531C3" w:rsidRDefault="00D531C3" w:rsidP="00D531C3">
      <w:pPr>
        <w:jc w:val="both"/>
      </w:pPr>
      <w:r w:rsidRPr="00D531C3">
        <w:t>This case highlights the difficulty of managing osteosarcomas, particularly those involving the chest wall. Despite a successful surgery, postoperative complications—such as the failure of wound closure—must always be taken into consideration before deciding on a treatment plan.</w:t>
      </w:r>
    </w:p>
    <w:p w14:paraId="507C9BA0" w14:textId="77777777" w:rsidR="00D531C3" w:rsidRPr="00D531C3" w:rsidRDefault="00D531C3" w:rsidP="00D531C3">
      <w:pPr>
        <w:jc w:val="both"/>
      </w:pPr>
    </w:p>
    <w:p w14:paraId="576B3A6A" w14:textId="77777777" w:rsidR="00D531C3" w:rsidRPr="00D531C3" w:rsidRDefault="00D531C3" w:rsidP="00D531C3">
      <w:pPr>
        <w:jc w:val="both"/>
      </w:pPr>
      <w:r w:rsidRPr="00D531C3">
        <w:rPr>
          <w:b/>
          <w:bCs/>
        </w:rPr>
        <w:t>Bibliography</w:t>
      </w:r>
    </w:p>
    <w:p w14:paraId="4F23D396" w14:textId="5DC3BA62" w:rsidR="00D531C3" w:rsidRPr="00D531C3" w:rsidRDefault="00D531C3" w:rsidP="00D531C3">
      <w:pPr>
        <w:jc w:val="both"/>
      </w:pPr>
      <w:r w:rsidRPr="00D531C3">
        <w:t xml:space="preserve">Simpson, S., Dunning, M. D., de Brot, S., Grau-Roma, L., Mongan, N. P., &amp; Rutland, C. S. (2017). </w:t>
      </w:r>
      <w:r w:rsidRPr="00D531C3">
        <w:rPr>
          <w:i/>
          <w:iCs/>
        </w:rPr>
        <w:t>Comparative review of human and canine osteosarcoma: morphology, epidemiology, prognosis, treatment and genetics.</w:t>
      </w:r>
      <w:r w:rsidRPr="00D531C3">
        <w:t xml:space="preserve"> </w:t>
      </w:r>
      <w:r w:rsidRPr="00D531C3">
        <w:rPr>
          <w:i/>
          <w:iCs/>
        </w:rPr>
        <w:t>Acta veterinaria Scandinavica</w:t>
      </w:r>
      <w:r w:rsidRPr="00D531C3">
        <w:t xml:space="preserve">, </w:t>
      </w:r>
      <w:r w:rsidRPr="00D531C3">
        <w:rPr>
          <w:i/>
          <w:iCs/>
        </w:rPr>
        <w:t>59</w:t>
      </w:r>
      <w:r w:rsidRPr="00D531C3">
        <w:t>(1), 71.</w:t>
      </w:r>
      <w:hyperlink r:id="rId81" w:history="1">
        <w:r w:rsidRPr="00D531C3">
          <w:rPr>
            <w:rStyle w:val="-"/>
          </w:rPr>
          <w:t> </w:t>
        </w:r>
      </w:hyperlink>
    </w:p>
    <w:p w14:paraId="36E48DD9" w14:textId="7BA963C0" w:rsidR="00D531C3" w:rsidRPr="00D531C3" w:rsidRDefault="00D531C3" w:rsidP="00D531C3">
      <w:pPr>
        <w:jc w:val="both"/>
      </w:pPr>
      <w:r w:rsidRPr="00D531C3">
        <w:t xml:space="preserve">Liptak, J. M., Dernell, W. S., Rizzo, S. A., Monteith, G. J., Kamstock, D. A., &amp; Withrow, S. J. (2008). </w:t>
      </w:r>
      <w:r w:rsidRPr="00D531C3">
        <w:rPr>
          <w:i/>
          <w:iCs/>
        </w:rPr>
        <w:t>Reconstruction of chest wall defects after rib tumor resection: a comparison of autogenous, prosthetic, and composite techniques in 44 dogs. Veterinary surgery: VS</w:t>
      </w:r>
      <w:r w:rsidRPr="00D531C3">
        <w:t xml:space="preserve">, </w:t>
      </w:r>
      <w:r w:rsidRPr="00D531C3">
        <w:rPr>
          <w:i/>
          <w:iCs/>
        </w:rPr>
        <w:t>37</w:t>
      </w:r>
      <w:r w:rsidRPr="00D531C3">
        <w:t>(5), 479–487.</w:t>
      </w:r>
      <w:hyperlink r:id="rId82" w:history="1">
        <w:r w:rsidRPr="00D531C3">
          <w:rPr>
            <w:rStyle w:val="-"/>
          </w:rPr>
          <w:t> </w:t>
        </w:r>
      </w:hyperlink>
    </w:p>
    <w:p w14:paraId="79228563" w14:textId="77777777" w:rsidR="00D531C3" w:rsidRPr="00D531C3" w:rsidRDefault="00D531C3" w:rsidP="00D531C3">
      <w:pPr>
        <w:jc w:val="both"/>
      </w:pPr>
      <w:r w:rsidRPr="00D531C3">
        <w:t xml:space="preserve">Jung, W.-J., Kwak, H.-H., Kim, J., &amp; Woo, H.-M. (2024). </w:t>
      </w:r>
      <w:r w:rsidRPr="00D531C3">
        <w:rPr>
          <w:i/>
          <w:iCs/>
        </w:rPr>
        <w:t>Chest Wall Reconstruction Using Titanium Mesh in a Dog with Huge Thoracic Extraskeletal Osteosarcoma</w:t>
      </w:r>
      <w:r w:rsidRPr="00D531C3">
        <w:t xml:space="preserve">. </w:t>
      </w:r>
      <w:r w:rsidRPr="00D531C3">
        <w:rPr>
          <w:i/>
          <w:iCs/>
        </w:rPr>
        <w:t>Animals</w:t>
      </w:r>
      <w:r w:rsidRPr="00D531C3">
        <w:t xml:space="preserve">, </w:t>
      </w:r>
      <w:r w:rsidRPr="00D531C3">
        <w:rPr>
          <w:i/>
          <w:iCs/>
        </w:rPr>
        <w:t>14</w:t>
      </w:r>
      <w:r w:rsidRPr="00D531C3">
        <w:t>(18), 2635.</w:t>
      </w:r>
    </w:p>
    <w:p w14:paraId="3C6412B6" w14:textId="77777777" w:rsidR="00D531C3" w:rsidRDefault="00D531C3" w:rsidP="00D531C3">
      <w:pPr>
        <w:jc w:val="both"/>
      </w:pPr>
      <w:r w:rsidRPr="00D531C3">
        <w:t xml:space="preserve">Monnet, E. (2023) </w:t>
      </w:r>
      <w:r w:rsidRPr="00D531C3">
        <w:rPr>
          <w:i/>
          <w:iCs/>
        </w:rPr>
        <w:t>Small animal soft tissue surgery</w:t>
      </w:r>
      <w:r w:rsidRPr="00D531C3">
        <w:t>. Hoboken, NJ: Wiley-Blackwell. </w:t>
      </w:r>
    </w:p>
    <w:p w14:paraId="2D7E47BD" w14:textId="77777777" w:rsidR="00D531C3" w:rsidRDefault="00D531C3" w:rsidP="00D531C3">
      <w:pPr>
        <w:jc w:val="both"/>
      </w:pPr>
    </w:p>
    <w:p w14:paraId="7CB88E83" w14:textId="77777777" w:rsidR="00D531C3" w:rsidRDefault="00D531C3" w:rsidP="00D531C3">
      <w:pPr>
        <w:jc w:val="both"/>
      </w:pPr>
    </w:p>
    <w:p w14:paraId="6B8FB099" w14:textId="77777777" w:rsidR="00D531C3" w:rsidRDefault="00D531C3" w:rsidP="00D531C3">
      <w:pPr>
        <w:jc w:val="both"/>
      </w:pPr>
    </w:p>
    <w:p w14:paraId="259754CD" w14:textId="77777777" w:rsidR="00D531C3" w:rsidRDefault="00D531C3" w:rsidP="00D531C3">
      <w:pPr>
        <w:jc w:val="both"/>
      </w:pPr>
    </w:p>
    <w:p w14:paraId="559CBB38" w14:textId="77777777" w:rsidR="00D531C3" w:rsidRPr="00D531C3" w:rsidRDefault="00D531C3" w:rsidP="00D531C3">
      <w:pPr>
        <w:jc w:val="both"/>
      </w:pPr>
    </w:p>
    <w:p w14:paraId="662EB1BF" w14:textId="74CC802F" w:rsidR="00D531C3" w:rsidRPr="00D531C3" w:rsidRDefault="00D531C3" w:rsidP="00D531C3">
      <w:pPr>
        <w:jc w:val="both"/>
      </w:pPr>
      <w:r w:rsidRPr="00D531C3">
        <w:rPr>
          <w:b/>
          <w:bCs/>
        </w:rPr>
        <w:lastRenderedPageBreak/>
        <w:t>Divergent Exophthalmos and Cataract in a Dog</w:t>
      </w:r>
    </w:p>
    <w:p w14:paraId="2865E03A" w14:textId="2A16443B" w:rsidR="00D531C3" w:rsidRPr="00D531C3" w:rsidRDefault="00D531C3" w:rsidP="00D531C3">
      <w:pPr>
        <w:jc w:val="both"/>
      </w:pPr>
      <w:r w:rsidRPr="00D531C3">
        <w:t> Paralis Efstratios¹, Barbagianni Mariana², Galatos D. Apostolos³</w:t>
      </w:r>
    </w:p>
    <w:p w14:paraId="6757E3DD" w14:textId="77777777" w:rsidR="00D531C3" w:rsidRPr="00D531C3" w:rsidRDefault="00D531C3">
      <w:pPr>
        <w:numPr>
          <w:ilvl w:val="0"/>
          <w:numId w:val="76"/>
        </w:numPr>
        <w:jc w:val="both"/>
      </w:pPr>
      <w:r w:rsidRPr="00D531C3">
        <w:t>Undergraduate student, Faculty of Veterinary Medicine, School of Health Sciences, University of Thessaly.</w:t>
      </w:r>
    </w:p>
    <w:p w14:paraId="31CD8A79" w14:textId="77777777" w:rsidR="00D531C3" w:rsidRPr="00D531C3" w:rsidRDefault="00D531C3">
      <w:pPr>
        <w:numPr>
          <w:ilvl w:val="0"/>
          <w:numId w:val="76"/>
        </w:numPr>
        <w:jc w:val="both"/>
      </w:pPr>
      <w:r w:rsidRPr="00D531C3">
        <w:t>Associate Professor of Diagnostic Imaging, Clinic of Surgery, Faculty of Veterinary Medicine, School of Health Sciences, University of Thessaly. </w:t>
      </w:r>
    </w:p>
    <w:p w14:paraId="35462118" w14:textId="77777777" w:rsidR="00D531C3" w:rsidRDefault="00D531C3">
      <w:pPr>
        <w:numPr>
          <w:ilvl w:val="0"/>
          <w:numId w:val="76"/>
        </w:numPr>
        <w:jc w:val="both"/>
      </w:pPr>
      <w:r w:rsidRPr="00D531C3">
        <w:t>Professor of Animal Surgery and Anaesthesia, Clinic of Surgery, Faculty of Veterinary Medicine, School of Health Sciences, University of Thessaly.</w:t>
      </w:r>
    </w:p>
    <w:p w14:paraId="5CEBF9C8" w14:textId="77777777" w:rsidR="00D531C3" w:rsidRPr="00D531C3" w:rsidRDefault="00D531C3" w:rsidP="00D531C3">
      <w:pPr>
        <w:ind w:left="720"/>
        <w:jc w:val="both"/>
      </w:pPr>
    </w:p>
    <w:p w14:paraId="5E706717" w14:textId="77777777" w:rsidR="00D531C3" w:rsidRPr="00D531C3" w:rsidRDefault="00D531C3" w:rsidP="00D531C3">
      <w:pPr>
        <w:jc w:val="both"/>
      </w:pPr>
      <w:r w:rsidRPr="00D531C3">
        <w:rPr>
          <w:b/>
          <w:bCs/>
        </w:rPr>
        <w:t>Abstract</w:t>
      </w:r>
    </w:p>
    <w:p w14:paraId="192FC13D" w14:textId="77777777" w:rsidR="00D531C3" w:rsidRDefault="00D531C3" w:rsidP="00D531C3">
      <w:pPr>
        <w:jc w:val="both"/>
      </w:pPr>
      <w:r w:rsidRPr="00D531C3">
        <w:t> A 4.5-year-old neutered female Pointer was referred to the Clinic of Surgery, Faculty of Veterinary Medicine, University of Thessaly, in March 2023, with a history of enlargement and opacification of the left eye, following hunting. At presentation cataract as well and laterally deviated exophthalmos were evident, the latter indicating the presence of a mass in the caudal and nasal region of the orbit. Based on these findings, an ultrasonographic examination of the orbit was performed, and the presence of a retrobulbar mass at the expected location, compatible with a neoplasm, was confirmed. Despite recommendations for further diagnostic investigation and definitive therapeutic management, the animal’s owner was reluctant to proceed and departed from the Clinic of Surgery without undergoing neither treatment nor additional diagnostic evaluation. The present study emphasizes the significance of meticulous clinical examination and presents a detailed analysis of the ultrasonographic findings. It also presents a comparative evaluation of normal versus pathological ophthalmic ultrasonographic images and discusses potential diagnostic and therapeutic strategies applicable to analogous cases.</w:t>
      </w:r>
    </w:p>
    <w:p w14:paraId="47602B89" w14:textId="77777777" w:rsidR="00D531C3" w:rsidRPr="00D531C3" w:rsidRDefault="00D531C3" w:rsidP="00D531C3">
      <w:pPr>
        <w:jc w:val="both"/>
      </w:pPr>
    </w:p>
    <w:p w14:paraId="5814F981" w14:textId="77777777" w:rsidR="00D531C3" w:rsidRPr="00D531C3" w:rsidRDefault="00D531C3" w:rsidP="00D531C3">
      <w:pPr>
        <w:jc w:val="both"/>
      </w:pPr>
      <w:r w:rsidRPr="00D531C3">
        <w:rPr>
          <w:b/>
          <w:bCs/>
        </w:rPr>
        <w:t>Bibliography</w:t>
      </w:r>
    </w:p>
    <w:p w14:paraId="2B62DAC0" w14:textId="4F72F046" w:rsidR="00D531C3" w:rsidRPr="00D531C3" w:rsidRDefault="00D531C3" w:rsidP="00D531C3">
      <w:pPr>
        <w:jc w:val="both"/>
      </w:pPr>
      <w:r w:rsidRPr="00D531C3">
        <w:t xml:space="preserve">Attali-Soussay, K., Jegou, J. P., &amp; Clerc, B. (2001). </w:t>
      </w:r>
      <w:r w:rsidRPr="00D531C3">
        <w:rPr>
          <w:i/>
          <w:iCs/>
        </w:rPr>
        <w:t>Retrobulbar tumors in dogs and cats: 25 cases.</w:t>
      </w:r>
      <w:r w:rsidRPr="00D531C3">
        <w:t xml:space="preserve"> </w:t>
      </w:r>
      <w:r w:rsidRPr="00D531C3">
        <w:rPr>
          <w:i/>
          <w:iCs/>
        </w:rPr>
        <w:t>Veterinary Ophthalmology, 4</w:t>
      </w:r>
      <w:r w:rsidRPr="00D531C3">
        <w:t>(1), 19–27. </w:t>
      </w:r>
    </w:p>
    <w:p w14:paraId="54944BC1" w14:textId="07788E8A" w:rsidR="00D531C3" w:rsidRPr="00D531C3" w:rsidRDefault="00D531C3" w:rsidP="00D531C3">
      <w:pPr>
        <w:jc w:val="both"/>
      </w:pPr>
      <w:r w:rsidRPr="00D531C3">
        <w:t xml:space="preserve">Gelatt, K. N., Gilger, B. C., &amp; Kern, T. J. (2013). </w:t>
      </w:r>
      <w:r w:rsidRPr="00D531C3">
        <w:rPr>
          <w:i/>
          <w:iCs/>
        </w:rPr>
        <w:t>Veterinary ophthalmology</w:t>
      </w:r>
      <w:r w:rsidRPr="00D531C3">
        <w:t xml:space="preserve"> (5th ed.). Wiley-Blackwell. </w:t>
      </w:r>
    </w:p>
    <w:p w14:paraId="09972635" w14:textId="37010732" w:rsidR="00D531C3" w:rsidRPr="00D531C3" w:rsidRDefault="00D531C3" w:rsidP="00D531C3">
      <w:pPr>
        <w:jc w:val="both"/>
      </w:pPr>
      <w:r w:rsidRPr="00D531C3">
        <w:t xml:space="preserve">Lim, C. C., Bakker, S. C., Waldner, C. L., Sandmeyer, L. S., &amp; Grahn, B. H. (2011). Cataracts in 44 dogs (77 eyes): </w:t>
      </w:r>
      <w:r w:rsidRPr="00D531C3">
        <w:rPr>
          <w:i/>
          <w:iCs/>
        </w:rPr>
        <w:t>A comparison of outcomes for no treatment, topical medical management, or phacoemulsification with intraocular lens implantation.</w:t>
      </w:r>
      <w:r w:rsidRPr="00D531C3">
        <w:t xml:space="preserve"> </w:t>
      </w:r>
      <w:r w:rsidRPr="00D531C3">
        <w:rPr>
          <w:i/>
          <w:iCs/>
        </w:rPr>
        <w:t>Canadian Veterinary Journal, 52</w:t>
      </w:r>
      <w:r w:rsidRPr="00D531C3">
        <w:t>(3), 283–288. </w:t>
      </w:r>
    </w:p>
    <w:p w14:paraId="7AE37FCB" w14:textId="3D7DD272" w:rsidR="00D531C3" w:rsidRPr="00D531C3" w:rsidRDefault="00D531C3" w:rsidP="00D531C3">
      <w:pPr>
        <w:jc w:val="both"/>
      </w:pPr>
      <w:r w:rsidRPr="00D531C3">
        <w:t xml:space="preserve">Maggs, D. J., Miller, P. E., &amp; Ofri, R. (2013). </w:t>
      </w:r>
      <w:r w:rsidRPr="00D531C3">
        <w:rPr>
          <w:i/>
          <w:iCs/>
        </w:rPr>
        <w:t>Slatter’s fundamentals of veterinary ophthalmology</w:t>
      </w:r>
      <w:r w:rsidRPr="00D531C3">
        <w:t xml:space="preserve"> (5th ed.). Elsevier. </w:t>
      </w:r>
    </w:p>
    <w:p w14:paraId="1B43F42B" w14:textId="1EFF2B9E" w:rsidR="00D531C3" w:rsidRPr="00D531C3" w:rsidRDefault="00D531C3" w:rsidP="00D531C3">
      <w:pPr>
        <w:jc w:val="both"/>
      </w:pPr>
      <w:r w:rsidRPr="00D531C3">
        <w:t xml:space="preserve">Ralić, M., Vasić, J., Jovanović, M., &amp; Cameron, B. (2014). </w:t>
      </w:r>
      <w:r w:rsidRPr="00D531C3">
        <w:rPr>
          <w:i/>
          <w:iCs/>
        </w:rPr>
        <w:t>Retrobulbar chondrosarcoma in a dog.</w:t>
      </w:r>
      <w:r w:rsidRPr="00D531C3">
        <w:t xml:space="preserve"> </w:t>
      </w:r>
      <w:r w:rsidRPr="00D531C3">
        <w:rPr>
          <w:i/>
          <w:iCs/>
        </w:rPr>
        <w:t>Open Veterinary Journal, 4</w:t>
      </w:r>
      <w:r w:rsidRPr="00D531C3">
        <w:t>(1), 51–55. </w:t>
      </w:r>
    </w:p>
    <w:p w14:paraId="18FADD68" w14:textId="77777777" w:rsidR="00D531C3" w:rsidRPr="00D531C3" w:rsidRDefault="00D531C3" w:rsidP="00D531C3">
      <w:pPr>
        <w:jc w:val="both"/>
      </w:pPr>
      <w:r w:rsidRPr="00D531C3">
        <w:lastRenderedPageBreak/>
        <w:t>Winer, J. N., Verstraete, F. J. M., Cissell, D. D., Le, C., Vapniarsky, N., Good, K. L., Gutierrez, C. J., &amp; Arzi, B. (2018).</w:t>
      </w:r>
      <w:r w:rsidRPr="00D531C3">
        <w:rPr>
          <w:i/>
          <w:iCs/>
        </w:rPr>
        <w:t xml:space="preserve"> Clinical features and computed tomography findings utilized to characterize retrobulbar disease in dogs. Frontiers in Veterinary Science, 5</w:t>
      </w:r>
      <w:r w:rsidRPr="00D531C3">
        <w:t>, 186</w:t>
      </w:r>
    </w:p>
    <w:p w14:paraId="1DEBBD9E" w14:textId="3A361CF8" w:rsidR="00D531C3" w:rsidRDefault="00D531C3" w:rsidP="00D531C3">
      <w:pPr>
        <w:jc w:val="both"/>
      </w:pPr>
      <w:r w:rsidRPr="00D531C3">
        <w:br/>
      </w:r>
      <w:r w:rsidRPr="00D531C3">
        <w:br/>
      </w:r>
    </w:p>
    <w:p w14:paraId="4902169B" w14:textId="77777777" w:rsidR="00D531C3" w:rsidRDefault="00D531C3">
      <w:r>
        <w:br w:type="page"/>
      </w:r>
    </w:p>
    <w:p w14:paraId="4DBE7EB5" w14:textId="77777777" w:rsidR="00203E27" w:rsidRPr="00203E27" w:rsidRDefault="00203E27" w:rsidP="00203E27">
      <w:pPr>
        <w:jc w:val="both"/>
      </w:pPr>
      <w:r w:rsidRPr="00203E27">
        <w:rPr>
          <w:b/>
          <w:bCs/>
        </w:rPr>
        <w:lastRenderedPageBreak/>
        <w:t>Cancer “neuroscience¨: An emerging research field</w:t>
      </w:r>
    </w:p>
    <w:p w14:paraId="200FD5B3" w14:textId="3FA4C247" w:rsidR="00203E27" w:rsidRPr="00203E27" w:rsidRDefault="00203E27" w:rsidP="00203E27">
      <w:pPr>
        <w:jc w:val="both"/>
      </w:pPr>
      <w:r w:rsidRPr="00203E27">
        <w:t>Gavriilidou Maria-Magdalini¹, Tsingotjidou Anastasia²</w:t>
      </w:r>
    </w:p>
    <w:p w14:paraId="1A85F5BE" w14:textId="77777777" w:rsidR="00203E27" w:rsidRPr="00203E27" w:rsidRDefault="00203E27">
      <w:pPr>
        <w:numPr>
          <w:ilvl w:val="0"/>
          <w:numId w:val="77"/>
        </w:numPr>
        <w:jc w:val="both"/>
      </w:pPr>
      <w:r w:rsidRPr="00203E27">
        <w:t>Undergraduate student, Department of Veterinary Medicine, School of Health Sciences, Aristotle University of Thessaloniki </w:t>
      </w:r>
    </w:p>
    <w:p w14:paraId="203138F7" w14:textId="77777777" w:rsidR="00203E27" w:rsidRDefault="00203E27">
      <w:pPr>
        <w:numPr>
          <w:ilvl w:val="0"/>
          <w:numId w:val="77"/>
        </w:numPr>
        <w:jc w:val="both"/>
      </w:pPr>
      <w:r w:rsidRPr="00203E27">
        <w:t>Professor, Laboratory of Anatomy, Histology and Embryology, Department of Veterinary Medicine, School of Health Sciences, Aristotle University of Thessaloniki</w:t>
      </w:r>
    </w:p>
    <w:p w14:paraId="45FD741D" w14:textId="77777777" w:rsidR="00203E27" w:rsidRPr="00203E27" w:rsidRDefault="00203E27" w:rsidP="00203E27">
      <w:pPr>
        <w:ind w:left="720"/>
        <w:jc w:val="both"/>
      </w:pPr>
    </w:p>
    <w:p w14:paraId="1B632563" w14:textId="77777777" w:rsidR="00203E27" w:rsidRPr="00203E27" w:rsidRDefault="00203E27" w:rsidP="00203E27">
      <w:pPr>
        <w:jc w:val="both"/>
      </w:pPr>
      <w:r w:rsidRPr="00203E27">
        <w:rPr>
          <w:b/>
          <w:bCs/>
        </w:rPr>
        <w:t>Abstract</w:t>
      </w:r>
    </w:p>
    <w:p w14:paraId="459E0FA5" w14:textId="77777777" w:rsidR="00203E27" w:rsidRPr="00203E27" w:rsidRDefault="00203E27" w:rsidP="00203E27">
      <w:pPr>
        <w:jc w:val="both"/>
      </w:pPr>
      <w:r w:rsidRPr="00203E27">
        <w:t>Over the past decade, the scientific community has raised questions regarding the contribution of nerves to cancer pathogenesis, given their presence within the tumor microenvironment. This has led to the emergence of a new research field, the “Cancer Neuroscience”, which aims to study these interactions and to develop novel and promising diagnostic and therapeutic approaches. Breast cancer, more frequently, and prostate cancer, less commonly, are observed in companion animals, representing two types of cancer in which nerves appear to actively participate in the disease progression. However, due to the relatively recent emergence of this field, most available data derive from in vitro studies and animal models, whereas clinical data remain limited in humans and are almost nonexistent in companion animals. Consequently, emphasis is placed primarily on elucidating the underlying mechanisms that can potentially be applied in clinical practice. </w:t>
      </w:r>
    </w:p>
    <w:p w14:paraId="5BCB0E1F" w14:textId="77777777" w:rsidR="00203E27" w:rsidRPr="00203E27" w:rsidRDefault="00203E27" w:rsidP="00203E27">
      <w:pPr>
        <w:jc w:val="both"/>
      </w:pPr>
    </w:p>
    <w:p w14:paraId="17E9ABA8" w14:textId="77777777" w:rsidR="00203E27" w:rsidRPr="00203E27" w:rsidRDefault="00203E27" w:rsidP="00203E27">
      <w:pPr>
        <w:jc w:val="both"/>
      </w:pPr>
      <w:r w:rsidRPr="00203E27">
        <w:rPr>
          <w:b/>
          <w:bCs/>
        </w:rPr>
        <w:t>Bibliography</w:t>
      </w:r>
    </w:p>
    <w:p w14:paraId="7A6B1130" w14:textId="1CC0AEAB" w:rsidR="00203E27" w:rsidRPr="00203E27" w:rsidRDefault="00203E27" w:rsidP="00203E27">
      <w:pPr>
        <w:jc w:val="both"/>
      </w:pPr>
      <w:r w:rsidRPr="00203E27">
        <w:t xml:space="preserve">Demir, I. E., Mota Reyes, C., Alrawashdeh, W., Ceyhan, G. O., Deborde, S., Friess, H., Görgülü, K., Istvanffy, R., Jungwirth, D., Kuner, R., Maryanovich, M., Na’ara, S., Renders, S., Saloman, J. L., Scheff, N. N., Steenfadt, H., Stupakov, P., Thiel, V., Verma, D., Davis, B. M. (2020). Future directions in preclinical and translational cancer neuroscience research. </w:t>
      </w:r>
      <w:r w:rsidRPr="00203E27">
        <w:rPr>
          <w:i/>
          <w:iCs/>
        </w:rPr>
        <w:t>Nature Cancer, 1</w:t>
      </w:r>
      <w:r w:rsidRPr="00203E27">
        <w:t>, 1027–1031.</w:t>
      </w:r>
    </w:p>
    <w:p w14:paraId="4761C24A" w14:textId="2C50B025" w:rsidR="00203E27" w:rsidRPr="00203E27" w:rsidRDefault="00203E27" w:rsidP="00203E27">
      <w:pPr>
        <w:jc w:val="both"/>
      </w:pPr>
      <w:r w:rsidRPr="00203E27">
        <w:t xml:space="preserve"> Di Donato, M., Giovannelli, P., Migliaccio, A., &amp; Castoria, G. (2023). The nerve growth factor-delivered signals in prostate cancer and its associated microenvironment: When the dialogue replaces the monologue. </w:t>
      </w:r>
      <w:r w:rsidRPr="00203E27">
        <w:rPr>
          <w:i/>
          <w:iCs/>
        </w:rPr>
        <w:t>Cell &amp; Bioscience, 13</w:t>
      </w:r>
      <w:r w:rsidRPr="00203E27">
        <w:t>(60).</w:t>
      </w:r>
    </w:p>
    <w:p w14:paraId="78927490" w14:textId="6F0126F9" w:rsidR="00203E27" w:rsidRPr="00203E27" w:rsidRDefault="00203E27" w:rsidP="00203E27">
      <w:pPr>
        <w:jc w:val="both"/>
      </w:pPr>
      <w:r w:rsidRPr="00203E27">
        <w:t xml:space="preserve"> Huang, Q., Hu, B., Zhang, P., Yuan, Y., Yue, S., Chen, X., Liang, J., Tang, Z., &amp; Zhang, B. (2025). Neuroscience of cancer: Unravelling the complex interplay between the nervous system, the tumour and the tumour immune microenvironment. </w:t>
      </w:r>
      <w:r w:rsidRPr="00203E27">
        <w:rPr>
          <w:i/>
          <w:iCs/>
        </w:rPr>
        <w:t>Molecular Cancer, 24</w:t>
      </w:r>
      <w:r w:rsidRPr="00203E27">
        <w:t>(24).</w:t>
      </w:r>
    </w:p>
    <w:p w14:paraId="6E18BF68" w14:textId="28872645" w:rsidR="00203E27" w:rsidRPr="00203E27" w:rsidRDefault="00203E27" w:rsidP="00203E27">
      <w:pPr>
        <w:jc w:val="both"/>
      </w:pPr>
      <w:r w:rsidRPr="00203E27">
        <w:t xml:space="preserve"> Huang, S., Zhu, J., Yu, L., Huang, Y., &amp; Hu, Y. (2025). Cancer-nervous system crosstalk: From biological mechanism to therapeutic opportunities. </w:t>
      </w:r>
      <w:r w:rsidRPr="00203E27">
        <w:rPr>
          <w:i/>
          <w:iCs/>
        </w:rPr>
        <w:t>Molecular Cancer, 23</w:t>
      </w:r>
      <w:r w:rsidRPr="00203E27">
        <w:t>(133).</w:t>
      </w:r>
    </w:p>
    <w:p w14:paraId="67972A93" w14:textId="6A71DD33" w:rsidR="00203E27" w:rsidRPr="00203E27" w:rsidRDefault="00203E27" w:rsidP="00203E27">
      <w:pPr>
        <w:jc w:val="both"/>
      </w:pPr>
      <w:r w:rsidRPr="00203E27">
        <w:t xml:space="preserve">Hu, J., Chen, W., Shen, L., Chen, Z., &amp; Huang, J. (2022). Crosstalk between the peripheral nervous system and breast cancer influences tumour progression. </w:t>
      </w:r>
      <w:r w:rsidRPr="00203E27">
        <w:rPr>
          <w:i/>
          <w:iCs/>
        </w:rPr>
        <w:t>BBA - Reviews on Cancer, 1877</w:t>
      </w:r>
      <w:r w:rsidRPr="00203E27">
        <w:t>(6).</w:t>
      </w:r>
    </w:p>
    <w:p w14:paraId="2D49318E" w14:textId="0722E109" w:rsidR="00203E27" w:rsidRPr="00203E27" w:rsidRDefault="00203E27" w:rsidP="00203E27">
      <w:pPr>
        <w:jc w:val="both"/>
      </w:pPr>
      <w:r w:rsidRPr="00203E27">
        <w:t xml:space="preserve"> Le, T. T., &amp; Oudin, M. J. (2023). Understanding and modeling nerve–cancer interactions. </w:t>
      </w:r>
      <w:r w:rsidRPr="00203E27">
        <w:rPr>
          <w:i/>
          <w:iCs/>
        </w:rPr>
        <w:t>Disease Models &amp; Mechanisms, 16</w:t>
      </w:r>
      <w:r w:rsidRPr="00203E27">
        <w:t>(1).</w:t>
      </w:r>
    </w:p>
    <w:p w14:paraId="7F14DBE3" w14:textId="08C20EC9" w:rsidR="00203E27" w:rsidRDefault="00203E27" w:rsidP="00203E27">
      <w:pPr>
        <w:jc w:val="both"/>
      </w:pPr>
      <w:r w:rsidRPr="00203E27">
        <w:lastRenderedPageBreak/>
        <w:t xml:space="preserve"> Liu, Z., Peng, Q., Wang, Y., Chiu, P. K.-F., Teoh, J. Y.-C., Wang, R., Liu, X., Wu, D., &amp; Ng, C.-F. (2025). Neuroscience in prostate cancer. </w:t>
      </w:r>
      <w:r w:rsidRPr="00203E27">
        <w:rPr>
          <w:i/>
          <w:iCs/>
        </w:rPr>
        <w:t>Prostate Cancer and Prostatic Diseases</w:t>
      </w:r>
      <w:r w:rsidRPr="00203E27">
        <w:t>.</w:t>
      </w:r>
    </w:p>
    <w:p w14:paraId="462D328A" w14:textId="6A598FA5" w:rsidR="00203E27" w:rsidRPr="00203E27" w:rsidRDefault="00203E27" w:rsidP="00203E27">
      <w:pPr>
        <w:jc w:val="both"/>
      </w:pPr>
      <w:r w:rsidRPr="00203E27">
        <w:t xml:space="preserve">Mancusi, R., &amp; Monje, M. (2023). The neuroscience of cancer. </w:t>
      </w:r>
      <w:r w:rsidRPr="00203E27">
        <w:rPr>
          <w:i/>
          <w:iCs/>
        </w:rPr>
        <w:t>Nature, 618</w:t>
      </w:r>
      <w:r w:rsidRPr="00203E27">
        <w:t>, 467–479.</w:t>
      </w:r>
    </w:p>
    <w:p w14:paraId="4EF8B5CB" w14:textId="5E4D7862" w:rsidR="00203E27" w:rsidRPr="00203E27" w:rsidRDefault="00203E27" w:rsidP="00203E27">
      <w:pPr>
        <w:jc w:val="both"/>
      </w:pPr>
      <w:r w:rsidRPr="00203E27">
        <w:t xml:space="preserve">Monje, M., &amp; Winkler, F. (2025). Cancer research needs neuroscience and neuroscientists. </w:t>
      </w:r>
      <w:r w:rsidRPr="00203E27">
        <w:rPr>
          <w:i/>
          <w:iCs/>
        </w:rPr>
        <w:t>Nature Neuroscience, 28</w:t>
      </w:r>
      <w:r w:rsidRPr="00203E27">
        <w:t>, 915–917.</w:t>
      </w:r>
    </w:p>
    <w:p w14:paraId="104B36CE" w14:textId="39D092D3" w:rsidR="00203E27" w:rsidRPr="00203E27" w:rsidRDefault="00203E27" w:rsidP="00203E27">
      <w:pPr>
        <w:jc w:val="both"/>
      </w:pPr>
      <w:r w:rsidRPr="00203E27">
        <w:t xml:space="preserve">Sigorski, D., Kasprzyk-Pawelec, A., Michalak, M., Sosnowski, R., Hryciuk, M. M., Sejda, A., Gulczynski, J., Kitlinska, J., Nawrocki, S., &amp; Izycka-Swieszewska, E. (2026). The nervous system in prostate cancer: A basic science and clinical perspective. </w:t>
      </w:r>
      <w:r w:rsidRPr="00203E27">
        <w:rPr>
          <w:i/>
          <w:iCs/>
        </w:rPr>
        <w:t>Seminars in Oncology, 53</w:t>
      </w:r>
      <w:r w:rsidRPr="00203E27">
        <w:t>(1).</w:t>
      </w:r>
    </w:p>
    <w:p w14:paraId="0EA3B1CE" w14:textId="3FC669AB" w:rsidR="00203E27" w:rsidRPr="00203E27" w:rsidRDefault="00203E27" w:rsidP="00203E27">
      <w:pPr>
        <w:jc w:val="both"/>
      </w:pPr>
      <w:r w:rsidRPr="00203E27">
        <w:t xml:space="preserve">Vasilatis, D. M., Lucchesi, C. A., &amp; Ghosh, P. M. (2023). </w:t>
      </w:r>
      <w:r w:rsidRPr="00203E27">
        <w:rPr>
          <w:i/>
          <w:iCs/>
        </w:rPr>
        <w:t>Biomedicines, 11</w:t>
      </w:r>
      <w:r w:rsidRPr="00203E27">
        <w:t>.</w:t>
      </w:r>
    </w:p>
    <w:p w14:paraId="5A360170" w14:textId="3465C86A" w:rsidR="00203E27" w:rsidRPr="00203E27" w:rsidRDefault="00203E27" w:rsidP="00203E27">
      <w:pPr>
        <w:jc w:val="both"/>
      </w:pPr>
      <w:r w:rsidRPr="00203E27">
        <w:t xml:space="preserve">Wang, H., Zheng, Q., Lu, Z., Wang, L., Ding, L., Xia, L., Zhang, H., Wang, M., Chen, Y., &amp; Li, G. (2021). Role of the nervous system in cancers: A review. </w:t>
      </w:r>
      <w:r w:rsidRPr="00203E27">
        <w:rPr>
          <w:i/>
          <w:iCs/>
        </w:rPr>
        <w:t>Cell Death Discovery, 7</w:t>
      </w:r>
      <w:r w:rsidRPr="00203E27">
        <w:t>, Article 76.</w:t>
      </w:r>
    </w:p>
    <w:p w14:paraId="7B92C5C1" w14:textId="0D06D540" w:rsidR="00203E27" w:rsidRDefault="00203E27" w:rsidP="00203E27">
      <w:pPr>
        <w:jc w:val="both"/>
      </w:pPr>
      <w:r w:rsidRPr="00203E27">
        <w:t xml:space="preserve">Wang, J.-F., Wang, M.-C., Jiang, L.-L., &amp; Lin, N.-M. (2025). The neuroscience in breast cancer: Current insights and clinical opportunities. </w:t>
      </w:r>
      <w:r w:rsidRPr="00203E27">
        <w:rPr>
          <w:i/>
          <w:iCs/>
        </w:rPr>
        <w:t>Heliyon, 11</w:t>
      </w:r>
      <w:r w:rsidRPr="00203E27">
        <w:t>(3).</w:t>
      </w:r>
    </w:p>
    <w:p w14:paraId="1D75CF82" w14:textId="69589DC6" w:rsidR="00203E27" w:rsidRPr="00203E27" w:rsidRDefault="00203E27" w:rsidP="00203E27">
      <w:pPr>
        <w:jc w:val="both"/>
      </w:pPr>
      <w:r w:rsidRPr="00203E27">
        <w:t xml:space="preserve">Wang, L., Qi, T., Tang, L., Wang, Y., ChenLiu, Z., Wang, D., &amp; Tang, D. (2025). Peripheral nerves-cancer cross-talk: The next frontier in cancer treatment. </w:t>
      </w:r>
      <w:r w:rsidRPr="00203E27">
        <w:rPr>
          <w:i/>
          <w:iCs/>
        </w:rPr>
        <w:t>Molecular and Cellular Biochemistry, 480</w:t>
      </w:r>
      <w:r w:rsidRPr="00203E27">
        <w:t>, 4533–4547.</w:t>
      </w:r>
    </w:p>
    <w:p w14:paraId="345D8AD1" w14:textId="77777777" w:rsidR="00203E27" w:rsidRDefault="00203E27" w:rsidP="00203E27">
      <w:pPr>
        <w:jc w:val="both"/>
      </w:pPr>
      <w:r w:rsidRPr="00203E27">
        <w:t xml:space="preserve"> Wang, X., Fan, Y., Wang, Q., Shu, X., Lin, J., Guo, J., Li, Z., &amp; Xu, J. (2025). Tumor-infiltrating nerves: Unravelling the role of cancer neuroscience in tumorigenesis, disease progression, and emerging therapies. </w:t>
      </w:r>
      <w:r w:rsidRPr="00203E27">
        <w:rPr>
          <w:i/>
          <w:iCs/>
        </w:rPr>
        <w:t>Discover Oncology</w:t>
      </w:r>
      <w:r w:rsidRPr="00203E27">
        <w:t>.</w:t>
      </w:r>
    </w:p>
    <w:p w14:paraId="28A3A421" w14:textId="77777777" w:rsidR="00203E27" w:rsidRDefault="00203E27" w:rsidP="00203E27">
      <w:pPr>
        <w:jc w:val="both"/>
      </w:pPr>
    </w:p>
    <w:p w14:paraId="28274745" w14:textId="77777777" w:rsidR="00203E27" w:rsidRDefault="00203E27" w:rsidP="00203E27">
      <w:pPr>
        <w:jc w:val="both"/>
      </w:pPr>
    </w:p>
    <w:p w14:paraId="5EC7D573" w14:textId="77777777" w:rsidR="00203E27" w:rsidRDefault="00203E27" w:rsidP="00203E27">
      <w:pPr>
        <w:jc w:val="both"/>
      </w:pPr>
    </w:p>
    <w:p w14:paraId="4BE6EB18" w14:textId="77777777" w:rsidR="00203E27" w:rsidRDefault="00203E27" w:rsidP="00203E27">
      <w:pPr>
        <w:jc w:val="both"/>
      </w:pPr>
    </w:p>
    <w:p w14:paraId="4A2888DF" w14:textId="77777777" w:rsidR="00203E27" w:rsidRDefault="00203E27" w:rsidP="00203E27">
      <w:pPr>
        <w:jc w:val="both"/>
      </w:pPr>
    </w:p>
    <w:p w14:paraId="76970124" w14:textId="77777777" w:rsidR="00203E27" w:rsidRDefault="00203E27" w:rsidP="00203E27">
      <w:pPr>
        <w:jc w:val="both"/>
      </w:pPr>
    </w:p>
    <w:p w14:paraId="0247DEF6" w14:textId="77777777" w:rsidR="00203E27" w:rsidRDefault="00203E27" w:rsidP="00203E27">
      <w:pPr>
        <w:jc w:val="both"/>
      </w:pPr>
    </w:p>
    <w:p w14:paraId="5118C2B4" w14:textId="77777777" w:rsidR="00203E27" w:rsidRDefault="00203E27" w:rsidP="00203E27">
      <w:pPr>
        <w:jc w:val="both"/>
      </w:pPr>
    </w:p>
    <w:p w14:paraId="1760B5E1" w14:textId="77777777" w:rsidR="00203E27" w:rsidRDefault="00203E27" w:rsidP="00203E27">
      <w:pPr>
        <w:jc w:val="both"/>
      </w:pPr>
    </w:p>
    <w:p w14:paraId="2BD2FB1A" w14:textId="77777777" w:rsidR="00203E27" w:rsidRDefault="00203E27" w:rsidP="00203E27">
      <w:pPr>
        <w:jc w:val="both"/>
      </w:pPr>
    </w:p>
    <w:p w14:paraId="5921EA5E" w14:textId="77777777" w:rsidR="00203E27" w:rsidRDefault="00203E27" w:rsidP="00203E27">
      <w:pPr>
        <w:jc w:val="both"/>
      </w:pPr>
    </w:p>
    <w:p w14:paraId="12AF5C5B" w14:textId="77777777" w:rsidR="00203E27" w:rsidRDefault="00203E27" w:rsidP="00203E27">
      <w:pPr>
        <w:jc w:val="both"/>
      </w:pPr>
    </w:p>
    <w:p w14:paraId="2481C2E4" w14:textId="77777777" w:rsidR="00203E27" w:rsidRDefault="00203E27" w:rsidP="00203E27">
      <w:pPr>
        <w:jc w:val="both"/>
      </w:pPr>
    </w:p>
    <w:p w14:paraId="4BA66047" w14:textId="6C76CC1F" w:rsidR="00203E27" w:rsidRPr="00203E27" w:rsidRDefault="00203E27" w:rsidP="00203E27">
      <w:pPr>
        <w:jc w:val="both"/>
      </w:pPr>
      <w:r w:rsidRPr="00203E27">
        <w:br/>
      </w:r>
    </w:p>
    <w:p w14:paraId="48C86A85" w14:textId="77777777" w:rsidR="00203E27" w:rsidRPr="00203E27" w:rsidRDefault="00203E27" w:rsidP="00203E27">
      <w:pPr>
        <w:jc w:val="both"/>
      </w:pPr>
    </w:p>
    <w:p w14:paraId="4BAB4B47" w14:textId="77777777" w:rsidR="00203E27" w:rsidRPr="00203E27" w:rsidRDefault="00203E27" w:rsidP="00203E27">
      <w:pPr>
        <w:jc w:val="both"/>
      </w:pPr>
      <w:r w:rsidRPr="00203E27">
        <w:rPr>
          <w:b/>
          <w:bCs/>
        </w:rPr>
        <w:lastRenderedPageBreak/>
        <w:t>The Rabbit as an Experimental Animal Model: Characterization of Its Gut Microbiota and Its Critical Role in Ensuring Valid and Reproducible Experimental Outcomes</w:t>
      </w:r>
    </w:p>
    <w:p w14:paraId="0573D044" w14:textId="77777777" w:rsidR="00203E27" w:rsidRPr="00203E27" w:rsidRDefault="00203E27" w:rsidP="00203E27">
      <w:pPr>
        <w:jc w:val="both"/>
      </w:pPr>
      <w:r w:rsidRPr="00203E27">
        <w:t>Christos A. Tsekouras</w:t>
      </w:r>
      <w:r w:rsidRPr="00203E27">
        <w:rPr>
          <w:vertAlign w:val="superscript"/>
        </w:rPr>
        <w:t>1</w:t>
      </w:r>
      <w:r w:rsidRPr="00203E27">
        <w:t>, Panagiotis Mamolos</w:t>
      </w:r>
      <w:r w:rsidRPr="00203E27">
        <w:rPr>
          <w:vertAlign w:val="superscript"/>
        </w:rPr>
        <w:t>1</w:t>
      </w:r>
      <w:r w:rsidRPr="00203E27">
        <w:t>, Ioannis Margaritis</w:t>
      </w:r>
      <w:r w:rsidRPr="00203E27">
        <w:rPr>
          <w:vertAlign w:val="superscript"/>
        </w:rPr>
        <w:t>2</w:t>
      </w:r>
    </w:p>
    <w:p w14:paraId="470982A4" w14:textId="77777777" w:rsidR="00203E27" w:rsidRPr="00203E27" w:rsidRDefault="00203E27">
      <w:pPr>
        <w:numPr>
          <w:ilvl w:val="0"/>
          <w:numId w:val="78"/>
        </w:numPr>
        <w:jc w:val="both"/>
      </w:pPr>
      <w:r w:rsidRPr="00203E27">
        <w:t>Undergraduate Student, Department of Veterinary Medicine, School of Health Sciences, Aristotle University of Thessaloniki </w:t>
      </w:r>
    </w:p>
    <w:p w14:paraId="52E5A16C" w14:textId="77777777" w:rsidR="00203E27" w:rsidRPr="00203E27" w:rsidRDefault="00203E27">
      <w:pPr>
        <w:numPr>
          <w:ilvl w:val="0"/>
          <w:numId w:val="78"/>
        </w:numPr>
        <w:jc w:val="both"/>
      </w:pPr>
      <w:r w:rsidRPr="00203E27">
        <w:t>Lecturer, Laboratory of Physiology, Division of Structure and Function of Animal Organisms, Department of Veterinary Medicine, School of Health Sciences, Aristotle University of Thessaloniki</w:t>
      </w:r>
    </w:p>
    <w:p w14:paraId="4E6E8FE3" w14:textId="77777777" w:rsidR="00203E27" w:rsidRPr="00203E27" w:rsidRDefault="00203E27" w:rsidP="00203E27">
      <w:pPr>
        <w:jc w:val="both"/>
      </w:pPr>
    </w:p>
    <w:p w14:paraId="0292E7A3" w14:textId="77777777" w:rsidR="00203E27" w:rsidRPr="00203E27" w:rsidRDefault="00203E27" w:rsidP="00203E27">
      <w:pPr>
        <w:jc w:val="both"/>
      </w:pPr>
      <w:r w:rsidRPr="00203E27">
        <w:rPr>
          <w:b/>
          <w:bCs/>
        </w:rPr>
        <w:t>Abstract</w:t>
      </w:r>
    </w:p>
    <w:p w14:paraId="58CD0878" w14:textId="77777777" w:rsidR="00203E27" w:rsidRDefault="00203E27" w:rsidP="00203E27">
      <w:pPr>
        <w:jc w:val="both"/>
      </w:pPr>
      <w:r w:rsidRPr="00203E27">
        <w:t>The rabbit (</w:t>
      </w:r>
      <w:r w:rsidRPr="00203E27">
        <w:rPr>
          <w:i/>
          <w:iCs/>
        </w:rPr>
        <w:t>Oryctolagus cuniculus</w:t>
      </w:r>
      <w:r w:rsidRPr="00203E27">
        <w:t xml:space="preserve">) is a well-established experimental model in biomedical research, with the cecal microbiota playing a crucial role in host physiology and experimental reliability. It enables fermentative digestion of structural carbohydrates, producing volatile fatty acids (VFAs), and contributes to vitamin and amino acid biosynthesis. It also maintains intestinal mucosal integrity and regulates gastrointestinal motility. The microbiota further supports maturation of gut-associated lymphoid tissue and modulates immune responses through antimicrobial peptides and host–microbe interactions. Its composition is influenced by perinatal environment, coprophagy, housing conditions (SPF vs. conventional), age, and especially diet. Reduced indigestible fiber alters fermentation and decreases cellulolytic activity, while fiber quality and protein levels affect microbial composition and proliferation of pathogens such as </w:t>
      </w:r>
      <w:r w:rsidRPr="00203E27">
        <w:rPr>
          <w:i/>
          <w:iCs/>
        </w:rPr>
        <w:t>Clostridium</w:t>
      </w:r>
      <w:r w:rsidRPr="00203E27">
        <w:t xml:space="preserve"> spp. and </w:t>
      </w:r>
      <w:r w:rsidRPr="00203E27">
        <w:rPr>
          <w:i/>
          <w:iCs/>
        </w:rPr>
        <w:t>Helicobacter</w:t>
      </w:r>
      <w:r w:rsidRPr="00203E27">
        <w:t xml:space="preserve"> spp. Prebiotics (FOS, MOS) and probiotics (</w:t>
      </w:r>
      <w:r w:rsidRPr="00203E27">
        <w:rPr>
          <w:i/>
          <w:iCs/>
        </w:rPr>
        <w:t>Lactobacillus</w:t>
      </w:r>
      <w:r w:rsidRPr="00203E27">
        <w:t xml:space="preserve">, </w:t>
      </w:r>
      <w:r w:rsidRPr="00203E27">
        <w:rPr>
          <w:i/>
          <w:iCs/>
        </w:rPr>
        <w:t>Bacillus</w:t>
      </w:r>
      <w:r w:rsidRPr="00203E27">
        <w:t xml:space="preserve">, </w:t>
      </w:r>
      <w:r w:rsidRPr="00203E27">
        <w:rPr>
          <w:i/>
          <w:iCs/>
        </w:rPr>
        <w:t>Saccharomyces</w:t>
      </w:r>
      <w:r w:rsidRPr="00203E27">
        <w:t>) modulate microbial balance, whereas antibiotics reduce diversity and may alter immune responses. Thus, the intestinal microbiota is a key determinant of experimental reproducibility and translational validity.</w:t>
      </w:r>
    </w:p>
    <w:p w14:paraId="3A02BE44" w14:textId="77777777" w:rsidR="00203E27" w:rsidRPr="00203E27" w:rsidRDefault="00203E27" w:rsidP="00203E27">
      <w:pPr>
        <w:jc w:val="both"/>
      </w:pPr>
    </w:p>
    <w:p w14:paraId="4CCABC89" w14:textId="77777777" w:rsidR="00203E27" w:rsidRPr="00203E27" w:rsidRDefault="00203E27" w:rsidP="00203E27">
      <w:pPr>
        <w:jc w:val="both"/>
      </w:pPr>
      <w:r w:rsidRPr="00203E27">
        <w:rPr>
          <w:b/>
          <w:bCs/>
        </w:rPr>
        <w:t>Bibliography</w:t>
      </w:r>
    </w:p>
    <w:p w14:paraId="18AFB58E" w14:textId="77777777" w:rsidR="00203E27" w:rsidRPr="00203E27" w:rsidRDefault="00203E27" w:rsidP="00203E27">
      <w:pPr>
        <w:jc w:val="both"/>
      </w:pPr>
      <w:r w:rsidRPr="00203E27">
        <w:t xml:space="preserve">Abecia, L., Fondevila, M., Balcells, J., &amp; McEwan, N. (2007a). The effect of lactating rabbit does on the development of the caecal microbial community in the pups they nurture Get access Arrow. </w:t>
      </w:r>
      <w:r w:rsidRPr="00203E27">
        <w:rPr>
          <w:i/>
          <w:iCs/>
        </w:rPr>
        <w:t>Journal of Applied Microbiology, Volume 103, Issue 3, 1 September 2007, Pages 557–564</w:t>
      </w:r>
      <w:r w:rsidRPr="00203E27">
        <w:t>. </w:t>
      </w:r>
    </w:p>
    <w:p w14:paraId="27D4BDA3" w14:textId="31FC8241" w:rsidR="00203E27" w:rsidRPr="00203E27" w:rsidRDefault="00203E27" w:rsidP="00203E27">
      <w:pPr>
        <w:jc w:val="both"/>
      </w:pPr>
      <w:r w:rsidRPr="00203E27">
        <w:t xml:space="preserve">Abecia, L., Fondevila, M., Balcells, J., Lobley, G., &amp; McEwan, N. (2007b). The effect of medicated diets and level of feeding on caecal microbiota of lactating rabbit does. </w:t>
      </w:r>
      <w:r w:rsidRPr="00203E27">
        <w:rPr>
          <w:i/>
          <w:iCs/>
        </w:rPr>
        <w:t xml:space="preserve">Journal of Applied Microbiology, 103  (2007), pp. 787-793 </w:t>
      </w:r>
      <w:r w:rsidRPr="00203E27">
        <w:t>. </w:t>
      </w:r>
    </w:p>
    <w:p w14:paraId="277BE0C5" w14:textId="77777777" w:rsidR="00203E27" w:rsidRPr="00203E27" w:rsidRDefault="00203E27" w:rsidP="00203E27">
      <w:pPr>
        <w:jc w:val="both"/>
      </w:pPr>
      <w:r w:rsidRPr="00203E27">
        <w:t xml:space="preserve">Abecia, L., Fondevila, M., Balcells, J., Edwards, J., Newbold, C., &amp; McEwan, N. (2007c). Effect of antibiotics on the bacterial population of the rabbit caecum. </w:t>
      </w:r>
      <w:r w:rsidRPr="00203E27">
        <w:rPr>
          <w:i/>
          <w:iCs/>
        </w:rPr>
        <w:t>FEMS Microbiology Letters, 272 (2007), pp. 144-153</w:t>
      </w:r>
      <w:r w:rsidRPr="00203E27">
        <w:t>. </w:t>
      </w:r>
    </w:p>
    <w:p w14:paraId="566AB524" w14:textId="77777777" w:rsidR="00203E27" w:rsidRPr="00203E27" w:rsidRDefault="00203E27" w:rsidP="00203E27">
      <w:pPr>
        <w:jc w:val="both"/>
      </w:pPr>
      <w:r w:rsidRPr="00203E27">
        <w:t xml:space="preserve">Abi-Rached, L., Dorighi, K., Norman, P. J., Yawata, M., &amp; Parham, P. (2007). Episodes of Natural Selection Shaped the Interactions of IgA-Fc with FcαRI and Bacterial Decoy Proteins Get access Arrow. </w:t>
      </w:r>
      <w:r w:rsidRPr="00203E27">
        <w:rPr>
          <w:i/>
          <w:iCs/>
        </w:rPr>
        <w:t>The Journal of Immunology, Volume 178, Issue 12, June 2007, Pages 7943–7954</w:t>
      </w:r>
      <w:r w:rsidRPr="00203E27">
        <w:t>.</w:t>
      </w:r>
    </w:p>
    <w:p w14:paraId="56B3FC2B" w14:textId="3F1DD3DA" w:rsidR="00203E27" w:rsidRPr="00203E27" w:rsidRDefault="00203E27" w:rsidP="00203E27">
      <w:pPr>
        <w:jc w:val="both"/>
      </w:pPr>
      <w:r w:rsidRPr="00203E27">
        <w:t xml:space="preserve">Al-Asmakh, &amp; Zadjali, F. (2015). Use of germ-free animal models in microbiota-related research. </w:t>
      </w:r>
      <w:r w:rsidRPr="00203E27">
        <w:rPr>
          <w:i/>
          <w:iCs/>
        </w:rPr>
        <w:t>J Microbiol Biotechnol, 25 (2015), pp. 1583-1588</w:t>
      </w:r>
      <w:r w:rsidRPr="00203E27">
        <w:t xml:space="preserve">. </w:t>
      </w:r>
    </w:p>
    <w:p w14:paraId="51DDF282" w14:textId="77777777" w:rsidR="00203E27" w:rsidRPr="00203E27" w:rsidRDefault="00203E27" w:rsidP="00203E27">
      <w:pPr>
        <w:jc w:val="both"/>
      </w:pPr>
      <w:r w:rsidRPr="00203E27">
        <w:lastRenderedPageBreak/>
        <w:t xml:space="preserve">Alves, P., Ferrand, N., &amp; Hackländer, K. (2008). </w:t>
      </w:r>
      <w:r w:rsidRPr="00203E27">
        <w:rPr>
          <w:i/>
          <w:iCs/>
        </w:rPr>
        <w:t>Lagomorph biology: evolution, ecology and conservation.</w:t>
      </w:r>
      <w:r w:rsidRPr="00203E27">
        <w:t xml:space="preserve"> Springer, Berlin.</w:t>
      </w:r>
    </w:p>
    <w:p w14:paraId="4AAD4CDA" w14:textId="77777777" w:rsidR="00203E27" w:rsidRPr="00203E27" w:rsidRDefault="00203E27" w:rsidP="00203E27">
      <w:pPr>
        <w:jc w:val="both"/>
      </w:pPr>
      <w:r w:rsidRPr="00203E27">
        <w:t xml:space="preserve">Amber, K. ( 2004). Effect of feeding diets containing yucca extract or   probiotic on growth, digestibility, nitrogen balance and caecal microbial   activity of growing New Zealand white rabbits. </w:t>
      </w:r>
      <w:r w:rsidRPr="00203E27">
        <w:rPr>
          <w:i/>
          <w:iCs/>
        </w:rPr>
        <w:t>8th World Rabbit Congress,   Puebla, Mexico .</w:t>
      </w:r>
      <w:r w:rsidRPr="00203E27">
        <w:t> </w:t>
      </w:r>
    </w:p>
    <w:p w14:paraId="756A290C" w14:textId="77777777" w:rsidR="00203E27" w:rsidRPr="00203E27" w:rsidRDefault="00203E27" w:rsidP="00203E27">
      <w:pPr>
        <w:jc w:val="both"/>
      </w:pPr>
      <w:r w:rsidRPr="00203E27">
        <w:t xml:space="preserve">Antunes, L. C., Jun Han, R. B., Lolić, P., Borchers, C. H., &amp; Finlay, B. B. (2011).  Effect of Antibiotic Treatment on the Intestinal Metabolome.  </w:t>
      </w:r>
      <w:r w:rsidRPr="00203E27">
        <w:rPr>
          <w:i/>
          <w:iCs/>
        </w:rPr>
        <w:t>Antimicrob Agents Chemother. 2011;55:1494</w:t>
      </w:r>
      <w:r w:rsidRPr="00203E27">
        <w:rPr>
          <w:rFonts w:ascii="Cambria Math" w:hAnsi="Cambria Math" w:cs="Cambria Math"/>
          <w:i/>
          <w:iCs/>
        </w:rPr>
        <w:t>‐</w:t>
      </w:r>
      <w:r w:rsidRPr="00203E27">
        <w:rPr>
          <w:i/>
          <w:iCs/>
        </w:rPr>
        <w:t>1503</w:t>
      </w:r>
      <w:r w:rsidRPr="00203E27">
        <w:t>. </w:t>
      </w:r>
    </w:p>
    <w:p w14:paraId="04B5BA1C" w14:textId="77777777" w:rsidR="00203E27" w:rsidRPr="00203E27" w:rsidRDefault="00203E27" w:rsidP="00203E27">
      <w:pPr>
        <w:jc w:val="both"/>
      </w:pPr>
      <w:r w:rsidRPr="00203E27">
        <w:t xml:space="preserve">Bennegadi, N., Fonty, G., Millet, L., Gidenne, T., &amp; Licois, D. (2003). Effects of age and dietary fibre level on caecal microbial communities of conventional and specific pathogen-free rabbits. </w:t>
      </w:r>
      <w:r w:rsidRPr="00203E27">
        <w:rPr>
          <w:i/>
          <w:iCs/>
        </w:rPr>
        <w:t>Microbial Ecology in Health and Disease, 5 (2003), pp. 23-32</w:t>
      </w:r>
      <w:r w:rsidRPr="00203E27">
        <w:t>. </w:t>
      </w:r>
    </w:p>
    <w:p w14:paraId="4AB16451" w14:textId="77777777" w:rsidR="00203E27" w:rsidRPr="00203E27" w:rsidRDefault="00203E27" w:rsidP="00203E27">
      <w:pPr>
        <w:jc w:val="both"/>
      </w:pPr>
      <w:r w:rsidRPr="00203E27">
        <w:t xml:space="preserve">Berg, R. D. (2014). The indigenous gastrointestinal microflora. </w:t>
      </w:r>
      <w:r w:rsidRPr="00203E27">
        <w:rPr>
          <w:i/>
          <w:iCs/>
        </w:rPr>
        <w:t>Trends Microbiol. 2014;4:430</w:t>
      </w:r>
      <w:r w:rsidRPr="00203E27">
        <w:rPr>
          <w:rFonts w:ascii="Cambria Math" w:hAnsi="Cambria Math" w:cs="Cambria Math"/>
          <w:i/>
          <w:iCs/>
        </w:rPr>
        <w:t>‐</w:t>
      </w:r>
      <w:r w:rsidRPr="00203E27">
        <w:rPr>
          <w:i/>
          <w:iCs/>
        </w:rPr>
        <w:t>435</w:t>
      </w:r>
      <w:r w:rsidRPr="00203E27">
        <w:t>.</w:t>
      </w:r>
    </w:p>
    <w:p w14:paraId="12624E59" w14:textId="76551CAC" w:rsidR="00203E27" w:rsidRPr="00203E27" w:rsidRDefault="00203E27" w:rsidP="00203E27">
      <w:pPr>
        <w:jc w:val="both"/>
      </w:pPr>
      <w:r w:rsidRPr="00203E27">
        <w:t xml:space="preserve">Bhattari, Y., &amp; Kashyap, P. (2016). Germ-free mice model for studying host-microbial interactions. </w:t>
      </w:r>
      <w:r w:rsidRPr="00203E27">
        <w:rPr>
          <w:i/>
          <w:iCs/>
        </w:rPr>
        <w:t>Methods Mol Biol, 1438 (2016), pp. 125-135</w:t>
      </w:r>
      <w:r w:rsidRPr="00203E27">
        <w:t xml:space="preserve">. </w:t>
      </w:r>
    </w:p>
    <w:p w14:paraId="6064546B" w14:textId="77777777" w:rsidR="00203E27" w:rsidRPr="00203E27" w:rsidRDefault="00203E27" w:rsidP="00203E27">
      <w:pPr>
        <w:jc w:val="both"/>
      </w:pPr>
      <w:r w:rsidRPr="00203E27">
        <w:t xml:space="preserve">Bónai, A., Dalle Zotte, A., Kametler, L., Vántus, V., Morsy, W., Matics, Z., . . . Kovács, M. (2012). Dietary supplementation of Spirulina (Arthrospira platensis) and Thyme (Thymus vulgaris). Part 2 – effect on gastrointestinal growth, caecal microbiota and fermentation in rabbits. </w:t>
      </w:r>
      <w:r w:rsidRPr="00203E27">
        <w:rPr>
          <w:i/>
          <w:iCs/>
        </w:rPr>
        <w:t>10th World Rabbit Congress, Sharm El-Sheikh, Egypt, pp. 707–711.</w:t>
      </w:r>
      <w:r w:rsidRPr="00203E27">
        <w:t> </w:t>
      </w:r>
    </w:p>
    <w:p w14:paraId="04076D88" w14:textId="77777777" w:rsidR="00203E27" w:rsidRPr="00203E27" w:rsidRDefault="00203E27" w:rsidP="00203E27">
      <w:pPr>
        <w:jc w:val="both"/>
      </w:pPr>
      <w:r w:rsidRPr="00203E27">
        <w:t xml:space="preserve">Bónai, A., Szendrõ, Z., Matics, Z., Febel, H., Kametler, L., Tornyos, G., . . . Kovács, M. (2010). Effect of inulin supplementation and age on growth performance and digestive physiological parameters in weaned rabbits. </w:t>
      </w:r>
      <w:r w:rsidRPr="00203E27">
        <w:rPr>
          <w:i/>
          <w:iCs/>
        </w:rPr>
        <w:t>World Rabbit Science, 18 (2010), pp. 121-129</w:t>
      </w:r>
      <w:r w:rsidRPr="00203E27">
        <w:t>. </w:t>
      </w:r>
    </w:p>
    <w:p w14:paraId="2C01BA06" w14:textId="77777777" w:rsidR="00203E27" w:rsidRPr="00203E27" w:rsidRDefault="00203E27" w:rsidP="00203E27">
      <w:pPr>
        <w:jc w:val="both"/>
      </w:pPr>
      <w:r w:rsidRPr="00203E27">
        <w:t xml:space="preserve"> Bonai, A., Szendro, Z., Matics, Z., Febel, H., Posa, R., Tornyos, G., . .   . Kovacs, M. (2008). Effect of Bacillus cereus var. toyoi on caecal   microflora and fermentation in rabbits. </w:t>
      </w:r>
      <w:r w:rsidRPr="00203E27">
        <w:rPr>
          <w:i/>
          <w:iCs/>
        </w:rPr>
        <w:t>9th World Rabbit Congress,   Verona, Italy, pp. 561–566 .</w:t>
      </w:r>
      <w:r w:rsidRPr="00203E27">
        <w:t> </w:t>
      </w:r>
    </w:p>
    <w:p w14:paraId="594A33D2" w14:textId="3A39E174" w:rsidR="00203E27" w:rsidRPr="00203E27" w:rsidRDefault="00203E27" w:rsidP="00203E27">
      <w:pPr>
        <w:jc w:val="both"/>
      </w:pPr>
      <w:r w:rsidRPr="00203E27">
        <w:t>Burnett, R., Hanly, W., Zhai, S., &amp; Knight, K. (1989). The IgA heavy</w:t>
      </w:r>
      <w:r w:rsidRPr="00203E27">
        <w:rPr>
          <w:rFonts w:ascii="Cambria Math" w:hAnsi="Cambria Math" w:cs="Cambria Math"/>
        </w:rPr>
        <w:t>‐</w:t>
      </w:r>
      <w:r w:rsidRPr="00203E27">
        <w:t xml:space="preserve">chain gene family in rabbit: cloning and sequence analysis of 13 C alpha genes. </w:t>
      </w:r>
      <w:r w:rsidRPr="00203E27">
        <w:rPr>
          <w:i/>
          <w:iCs/>
        </w:rPr>
        <w:t>EMBO J. 1989;8:4041–4047</w:t>
      </w:r>
      <w:r w:rsidRPr="00203E27">
        <w:t xml:space="preserve">. </w:t>
      </w:r>
    </w:p>
    <w:p w14:paraId="0EB2EF9C" w14:textId="77777777" w:rsidR="00203E27" w:rsidRPr="00203E27" w:rsidRDefault="00203E27" w:rsidP="00203E27">
      <w:pPr>
        <w:jc w:val="both"/>
      </w:pPr>
      <w:r w:rsidRPr="00203E27">
        <w:t xml:space="preserve">Carabaño, R., Piquer, J., Menoyo, D., &amp; Badiola, I. (2010). The digestive system of the rabbit. </w:t>
      </w:r>
      <w:r w:rsidRPr="00203E27">
        <w:rPr>
          <w:i/>
          <w:iCs/>
        </w:rPr>
        <w:t>In Nutrition of the Rabbit (pp. 1-18). Wallingford UK: CABI.</w:t>
      </w:r>
      <w:r w:rsidRPr="00203E27">
        <w:t> </w:t>
      </w:r>
    </w:p>
    <w:p w14:paraId="019EF1DE" w14:textId="77777777" w:rsidR="00203E27" w:rsidRPr="00203E27" w:rsidRDefault="00203E27" w:rsidP="00203E27">
      <w:pPr>
        <w:jc w:val="both"/>
      </w:pPr>
      <w:r w:rsidRPr="00203E27">
        <w:t xml:space="preserve">Carabaño, R., Villamide, M., Garcia, J., Nicodemus, N., Llorente, A., Chamorro, S., . . . Blas, J. D. (2009). New concepts and objectives for protein-amino acid nutrition in rabbits: a review. </w:t>
      </w:r>
      <w:r w:rsidRPr="00203E27">
        <w:rPr>
          <w:i/>
          <w:iCs/>
        </w:rPr>
        <w:t>World Rabbit Science, 17 (2009), pp. 1-14</w:t>
      </w:r>
      <w:r w:rsidRPr="00203E27">
        <w:t>.</w:t>
      </w:r>
    </w:p>
    <w:p w14:paraId="49B17BFC" w14:textId="598AF96E" w:rsidR="00203E27" w:rsidRPr="00203E27" w:rsidRDefault="00203E27" w:rsidP="00203E27">
      <w:pPr>
        <w:jc w:val="both"/>
      </w:pPr>
      <w:r w:rsidRPr="00203E27">
        <w:t xml:space="preserve">Chamorro, S., Blas, C. d., Grant, G., Badiola, I., Menoyo, D., &amp; Carabaño, R. (2010). Effect of dietary supplementation with glutamine and a combination of glutamine-arginine on intestinal health in twenty-five-day-old weaned rabbits. </w:t>
      </w:r>
      <w:r w:rsidRPr="00203E27">
        <w:rPr>
          <w:i/>
          <w:iCs/>
        </w:rPr>
        <w:t>Journal of Animal Science, 88 (2010), pp. 170-180</w:t>
      </w:r>
      <w:r w:rsidRPr="00203E27">
        <w:t xml:space="preserve">. </w:t>
      </w:r>
    </w:p>
    <w:p w14:paraId="38EE3E14" w14:textId="79E21A8D" w:rsidR="00203E27" w:rsidRPr="00203E27" w:rsidRDefault="00203E27" w:rsidP="00203E27">
      <w:pPr>
        <w:jc w:val="both"/>
      </w:pPr>
      <w:r w:rsidRPr="00203E27">
        <w:t xml:space="preserve"> Chamorro, S., Gomez-Conde, M., Rozas, A. P., Carabaño, R., &amp; Blas, J . D. ( 2007). Effect on digestion and performance of dietary protein content   and of increased substitution of lucerne hay with soya-bean protein   concentrate in starter diets for young rabbits. </w:t>
      </w:r>
      <w:r w:rsidRPr="00203E27">
        <w:rPr>
          <w:i/>
          <w:iCs/>
        </w:rPr>
        <w:t>Animal, 1 (2007), pp.  651-659.</w:t>
      </w:r>
      <w:r w:rsidRPr="00203E27">
        <w:t xml:space="preserve"> </w:t>
      </w:r>
    </w:p>
    <w:p w14:paraId="26D047CE" w14:textId="77777777" w:rsidR="00203E27" w:rsidRPr="00203E27" w:rsidRDefault="00203E27" w:rsidP="00203E27">
      <w:pPr>
        <w:jc w:val="both"/>
      </w:pPr>
      <w:r w:rsidRPr="00203E27">
        <w:t xml:space="preserve">Charles River. (2010). </w:t>
      </w:r>
      <w:r w:rsidRPr="00203E27">
        <w:rPr>
          <w:i/>
          <w:iCs/>
        </w:rPr>
        <w:t>Handbook of Clinical Signs in Rodents, 2nd Edition.</w:t>
      </w:r>
      <w:r w:rsidRPr="00203E27">
        <w:t> </w:t>
      </w:r>
    </w:p>
    <w:p w14:paraId="1F5F68B4" w14:textId="4E99326E" w:rsidR="00203E27" w:rsidRPr="00203E27" w:rsidRDefault="00203E27" w:rsidP="00203E27">
      <w:pPr>
        <w:jc w:val="both"/>
      </w:pPr>
      <w:r w:rsidRPr="00203E27">
        <w:lastRenderedPageBreak/>
        <w:t>Chevance, A., &amp; Moulin, G. (2012). Suivi des ventes de  médicaments vétérinaires contenant des antibiotiques en France en 2011.   Ministère de l'Agriculture de l'Alimentation de la Pêche et des Affaires   Rurales, p. 38. Anses – ANMV, Maisons-Alfort, France. Retrieved from http://www.anses.fr/Documents/ANMV-Ra-Antibiotiques2011.pdf </w:t>
      </w:r>
    </w:p>
    <w:p w14:paraId="2A408414" w14:textId="72219D9D" w:rsidR="00203E27" w:rsidRPr="00203E27" w:rsidRDefault="00203E27" w:rsidP="00203E27">
      <w:pPr>
        <w:jc w:val="both"/>
      </w:pPr>
      <w:r w:rsidRPr="00203E27">
        <w:t xml:space="preserve">Clarke, G., Stilling, R. M., Kennedy, P. J., Stanton, C., Cryan, J. F., &amp; Dinan, T. G. (2014). Minireview: Gut Microbiota: The Neglected Endocrine Organ Get access Arrow. </w:t>
      </w:r>
      <w:r w:rsidRPr="00203E27">
        <w:rPr>
          <w:i/>
          <w:iCs/>
        </w:rPr>
        <w:t>Molecular Endocrinology, Volume 28, Issue 8, 1 August 2014, Pages 1221–1238</w:t>
      </w:r>
      <w:r w:rsidRPr="00203E27">
        <w:t xml:space="preserve">. </w:t>
      </w:r>
    </w:p>
    <w:p w14:paraId="0817C012" w14:textId="0EA87CC2" w:rsidR="00203E27" w:rsidRPr="00203E27" w:rsidRDefault="00203E27" w:rsidP="00203E27">
      <w:pPr>
        <w:jc w:val="both"/>
      </w:pPr>
      <w:r w:rsidRPr="00203E27">
        <w:t xml:space="preserve">Cochetière, M. F., T. Durand, P. L.,  Bourreille, A., Galmiche, J. P., &amp; Doré, J. (2005).  Resilience of the Dominant Human Fecal Microbiota upon Short-Course Antibiotic Challenge. </w:t>
      </w:r>
      <w:r w:rsidRPr="00203E27">
        <w:rPr>
          <w:i/>
          <w:iCs/>
        </w:rPr>
        <w:t>J Clin Microbiol. 2005; 43:5588</w:t>
      </w:r>
      <w:r w:rsidRPr="00203E27">
        <w:rPr>
          <w:rFonts w:ascii="Cambria Math" w:hAnsi="Cambria Math" w:cs="Cambria Math"/>
          <w:i/>
          <w:iCs/>
        </w:rPr>
        <w:t>‐</w:t>
      </w:r>
      <w:r w:rsidRPr="00203E27">
        <w:rPr>
          <w:i/>
          <w:iCs/>
        </w:rPr>
        <w:t>5592</w:t>
      </w:r>
      <w:r w:rsidRPr="00203E27">
        <w:t xml:space="preserve">.  </w:t>
      </w:r>
    </w:p>
    <w:p w14:paraId="12302CFC" w14:textId="70C6E787" w:rsidR="00203E27" w:rsidRPr="00203E27" w:rsidRDefault="00203E27" w:rsidP="00203E27">
      <w:pPr>
        <w:jc w:val="both"/>
      </w:pPr>
      <w:r w:rsidRPr="00203E27">
        <w:t xml:space="preserve"> Combes, S., Fortun-Lamothe, L., Cauquil, L., &amp; Gidenne, T . (2013). Engineering the rabbit digestive ecosystem to improve digestive health and efficacy. </w:t>
      </w:r>
      <w:r w:rsidRPr="00203E27">
        <w:rPr>
          <w:i/>
          <w:iCs/>
        </w:rPr>
        <w:t>Animal. Volume 7, Issue 9, 2013, Pages 1429-1439</w:t>
      </w:r>
      <w:r w:rsidRPr="00203E27">
        <w:t xml:space="preserve">. </w:t>
      </w:r>
    </w:p>
    <w:p w14:paraId="5D3A8D19" w14:textId="19AD2A12" w:rsidR="00203E27" w:rsidRPr="00203E27" w:rsidRDefault="00203E27" w:rsidP="00203E27">
      <w:pPr>
        <w:jc w:val="both"/>
      </w:pPr>
      <w:r w:rsidRPr="00203E27">
        <w:t xml:space="preserve">Delibes-Mateos, M., Rödel, H. G., Rouco, C., Alves, P. C., Carneiro, M., &amp; Villafuerte, R. (2023). European Rabbit Oryctolagus cuniculus (Linnaeus, 1758). </w:t>
      </w:r>
      <w:r w:rsidRPr="00203E27">
        <w:rPr>
          <w:i/>
          <w:iCs/>
        </w:rPr>
        <w:t>Hackländer, K., Alves, P.C. (eds) Primates and Lagomorpha. Handbook of the Mammals of Europe. Springer, Cham.</w:t>
      </w:r>
      <w:r w:rsidRPr="00203E27">
        <w:t xml:space="preserve"> </w:t>
      </w:r>
    </w:p>
    <w:p w14:paraId="2A43D1D9" w14:textId="2333AA1D" w:rsidR="00203E27" w:rsidRPr="00203E27" w:rsidRDefault="00203E27" w:rsidP="00203E27">
      <w:pPr>
        <w:jc w:val="both"/>
      </w:pPr>
      <w:r w:rsidRPr="00203E27">
        <w:t xml:space="preserve">Ericsson, A. C., &amp; Franklin, C. L. (2015a). Manipulating the Gut Microbiota: Methods and Challenges. </w:t>
      </w:r>
      <w:r w:rsidRPr="00203E27">
        <w:rPr>
          <w:i/>
          <w:iCs/>
        </w:rPr>
        <w:t>ILAR J. 2015;56:205</w:t>
      </w:r>
      <w:r w:rsidRPr="00203E27">
        <w:rPr>
          <w:rFonts w:ascii="Cambria Math" w:hAnsi="Cambria Math" w:cs="Cambria Math"/>
          <w:i/>
          <w:iCs/>
        </w:rPr>
        <w:t>‐</w:t>
      </w:r>
      <w:r w:rsidRPr="00203E27">
        <w:rPr>
          <w:i/>
          <w:iCs/>
        </w:rPr>
        <w:t>217</w:t>
      </w:r>
      <w:r w:rsidRPr="00203E27">
        <w:t xml:space="preserve">. </w:t>
      </w:r>
    </w:p>
    <w:p w14:paraId="06D63C8A" w14:textId="1011EF82" w:rsidR="00203E27" w:rsidRPr="00203E27" w:rsidRDefault="00203E27" w:rsidP="00203E27">
      <w:pPr>
        <w:jc w:val="both"/>
      </w:pPr>
      <w:r w:rsidRPr="00203E27">
        <w:t xml:space="preserve">Ericsson, A. C., Davis, J. W., Spollen, W.,  Bivens, N., Givan, S., Hagan, C. E., . . . Franklin, C. L . (2015b).  Effects of Vendor and Genetic Background on the Composition of the Fecal   Microbiota of Inbred Mice. </w:t>
      </w:r>
      <w:r w:rsidRPr="00203E27">
        <w:rPr>
          <w:i/>
          <w:iCs/>
        </w:rPr>
        <w:t>PLoS ONE. 2015;10:e0116704</w:t>
      </w:r>
      <w:r w:rsidRPr="00203E27">
        <w:t xml:space="preserve">.   </w:t>
      </w:r>
    </w:p>
    <w:p w14:paraId="63DD3147" w14:textId="1B1E00F5" w:rsidR="00203E27" w:rsidRPr="00203E27" w:rsidRDefault="00203E27" w:rsidP="00203E27">
      <w:pPr>
        <w:jc w:val="both"/>
      </w:pPr>
      <w:r w:rsidRPr="00203E27">
        <w:t xml:space="preserve">Esteves, P. J., Abrantes, J., Baldauf, H.-M., BenMohamed, L., Chen, Y., Christensen, N., . . . Lanning, D. K. (2018). The wide utility of rabbits as models of human diseases. </w:t>
      </w:r>
      <w:r w:rsidRPr="00203E27">
        <w:rPr>
          <w:i/>
          <w:iCs/>
        </w:rPr>
        <w:t>Exp Mol Med. 2018 May 22;50(5):66</w:t>
      </w:r>
      <w:r w:rsidRPr="00203E27">
        <w:t xml:space="preserve">. </w:t>
      </w:r>
    </w:p>
    <w:p w14:paraId="37B86502" w14:textId="6917695B" w:rsidR="00203E27" w:rsidRPr="00203E27" w:rsidRDefault="00203E27" w:rsidP="00203E27">
      <w:pPr>
        <w:jc w:val="both"/>
      </w:pPr>
      <w:r w:rsidRPr="00203E27">
        <w:t xml:space="preserve">F. W. Rogers Brambell. (1944). The Reproduction of the Wild Rabbit Oryctolagus cuniculus (L.). </w:t>
      </w:r>
      <w:r w:rsidRPr="00203E27">
        <w:rPr>
          <w:i/>
          <w:iCs/>
        </w:rPr>
        <w:t>Proceedings of the Zoological Society of LondonVolume 114, Issue 1-2 pp. 1-45</w:t>
      </w:r>
      <w:r w:rsidRPr="00203E27">
        <w:t xml:space="preserve">. </w:t>
      </w:r>
    </w:p>
    <w:p w14:paraId="3807CD00" w14:textId="0B568132" w:rsidR="00203E27" w:rsidRPr="00203E27" w:rsidRDefault="00203E27" w:rsidP="00203E27">
      <w:pPr>
        <w:jc w:val="both"/>
      </w:pPr>
      <w:r w:rsidRPr="00203E27">
        <w:t xml:space="preserve">Falcao-e-Cunha, L., Castro-Solla, L., Maertens, L., Marounek, M., Pinheiro, V., Freire, J., &amp; Mourao, J . (2007).  Alternatives   to antibiotic growth promoters in rabbit feeding: a review. </w:t>
      </w:r>
      <w:r w:rsidRPr="00203E27">
        <w:rPr>
          <w:i/>
          <w:iCs/>
        </w:rPr>
        <w:t>World Rabbit   Science, 15 (2007), pp. 127-140.</w:t>
      </w:r>
      <w:r w:rsidRPr="00203E27">
        <w:t xml:space="preserve"> </w:t>
      </w:r>
    </w:p>
    <w:p w14:paraId="1E505996" w14:textId="77777777" w:rsidR="00203E27" w:rsidRPr="00203E27" w:rsidRDefault="00203E27" w:rsidP="00203E27">
      <w:pPr>
        <w:jc w:val="both"/>
      </w:pPr>
      <w:r w:rsidRPr="00203E27">
        <w:t xml:space="preserve">Fonty, J.-F., Chaucheyras-Durand, P., &amp; Larpent., J.-P. (2007). Les écosystèmes digestifs. </w:t>
      </w:r>
      <w:r w:rsidRPr="00203E27">
        <w:rPr>
          <w:i/>
          <w:iCs/>
        </w:rPr>
        <w:t>Tec &amp; doc</w:t>
      </w:r>
      <w:r w:rsidRPr="00203E27">
        <w:t>.</w:t>
      </w:r>
    </w:p>
    <w:p w14:paraId="0B898824" w14:textId="10A7245F" w:rsidR="00203E27" w:rsidRPr="00203E27" w:rsidRDefault="00203E27" w:rsidP="00203E27">
      <w:pPr>
        <w:jc w:val="both"/>
      </w:pPr>
      <w:r w:rsidRPr="00203E27">
        <w:t xml:space="preserve"> Gallois, M., Gidenne, T., Fortun-Lamothe, L., Huerou-Luron, I . L., &amp;  Lallès, J . (2005).  An early stimulation of solid feed intake slightly   influences the morphological gut maturation in the rabbit. </w:t>
      </w:r>
      <w:r w:rsidRPr="00203E27">
        <w:rPr>
          <w:i/>
          <w:iCs/>
        </w:rPr>
        <w:t xml:space="preserve">Reproduction   Nutrition Development, 45  (2005),  pp. 109-122 </w:t>
      </w:r>
      <w:r w:rsidRPr="00203E27">
        <w:t xml:space="preserve">. </w:t>
      </w:r>
    </w:p>
    <w:p w14:paraId="2A7F7FAF" w14:textId="77777777" w:rsidR="00203E27" w:rsidRDefault="00203E27" w:rsidP="00203E27">
      <w:pPr>
        <w:jc w:val="both"/>
      </w:pPr>
      <w:r w:rsidRPr="00203E27">
        <w:t xml:space="preserve">García, J., Gidenne, T., Falcao-e-Cunhac, L., &amp; Blas, C. (2002). Identification of the main factors that influence caecal fermentation traits in growing rabbits. </w:t>
      </w:r>
      <w:r w:rsidRPr="00203E27">
        <w:rPr>
          <w:i/>
          <w:iCs/>
        </w:rPr>
        <w:t>Animal Research, 51 (2002), pp. 165-173</w:t>
      </w:r>
      <w:r w:rsidRPr="00203E27">
        <w:t xml:space="preserve">. </w:t>
      </w:r>
    </w:p>
    <w:p w14:paraId="3280040D" w14:textId="67ABAC4E" w:rsidR="00203E27" w:rsidRPr="00203E27" w:rsidRDefault="00203E27" w:rsidP="00203E27">
      <w:pPr>
        <w:jc w:val="both"/>
      </w:pPr>
      <w:r w:rsidRPr="00203E27">
        <w:t xml:space="preserve">Gibson, G. R., &amp; Roberfroid, M. B. (1995). Dietary Modulation of the Human Colonic Microbiota: Introducing the Concept of Prebiotics. </w:t>
      </w:r>
      <w:r w:rsidRPr="00203E27">
        <w:rPr>
          <w:i/>
          <w:iCs/>
        </w:rPr>
        <w:t>The Journal of Nutrition. Volume 125, Issue 6, June 1995, Pages 1401-1412</w:t>
      </w:r>
      <w:r w:rsidRPr="00203E27">
        <w:t xml:space="preserve">. </w:t>
      </w:r>
    </w:p>
    <w:p w14:paraId="7428286F" w14:textId="3FFE11DD" w:rsidR="00203E27" w:rsidRPr="00203E27" w:rsidRDefault="00203E27" w:rsidP="00203E27">
      <w:pPr>
        <w:jc w:val="both"/>
      </w:pPr>
      <w:r w:rsidRPr="00203E27">
        <w:lastRenderedPageBreak/>
        <w:t xml:space="preserve">Gidenne, T. (2003). Fibres in rabbit feeding for digestive troubles prevention: Respective role of low-digested and digestible fibre. </w:t>
      </w:r>
      <w:r w:rsidRPr="00203E27">
        <w:rPr>
          <w:i/>
          <w:iCs/>
        </w:rPr>
        <w:t>Livestock Production Science Volume: 81 Issue: 2-3 Pages: 105 - 117</w:t>
      </w:r>
      <w:r w:rsidRPr="00203E27">
        <w:t xml:space="preserve">. </w:t>
      </w:r>
    </w:p>
    <w:p w14:paraId="43A40FA1" w14:textId="265C8B69" w:rsidR="00203E27" w:rsidRPr="00203E27" w:rsidRDefault="00203E27" w:rsidP="00203E27">
      <w:pPr>
        <w:jc w:val="both"/>
      </w:pPr>
      <w:r w:rsidRPr="00203E27">
        <w:t xml:space="preserve"> Gidenne, T., &amp; Lebas, F. (2006). Feeding behaviour in rabbits. </w:t>
      </w:r>
      <w:r w:rsidRPr="00203E27">
        <w:rPr>
          <w:i/>
          <w:iCs/>
        </w:rPr>
        <w:t>V Bels (Ed.), Feeding in domestic vertebrates. From structure to behaviour, CABI   Publishing, Wallingford, UK (2006), pp. 179-209</w:t>
      </w:r>
      <w:r w:rsidRPr="00203E27">
        <w:t>. </w:t>
      </w:r>
    </w:p>
    <w:p w14:paraId="07F85D26" w14:textId="5692D52B" w:rsidR="00203E27" w:rsidRPr="00203E27" w:rsidRDefault="00203E27" w:rsidP="00203E27">
      <w:pPr>
        <w:jc w:val="both"/>
      </w:pPr>
      <w:r w:rsidRPr="00203E27">
        <w:t xml:space="preserve">Gidenne, T., Carabano, R., Garcia, J., &amp; Blas, C. (2010b). Fiber digestion. </w:t>
      </w:r>
      <w:r w:rsidRPr="00203E27">
        <w:rPr>
          <w:i/>
          <w:iCs/>
        </w:rPr>
        <w:t>C De Blas, J Wiseman (Eds.), Nutrition of the rabbit, CABI, Wallingford, UK (2010), pp. 179-199</w:t>
      </w:r>
      <w:r w:rsidRPr="00203E27">
        <w:t xml:space="preserve">. </w:t>
      </w:r>
    </w:p>
    <w:p w14:paraId="5E1A1D1F" w14:textId="5A08BAB2" w:rsidR="00203E27" w:rsidRPr="00203E27" w:rsidRDefault="00203E27" w:rsidP="00203E27">
      <w:pPr>
        <w:jc w:val="both"/>
      </w:pPr>
      <w:r w:rsidRPr="00203E27">
        <w:t xml:space="preserve">Gidenne, T., Combes, S., &amp; Fortun-Lamothe, L. (2012). Feed intake limitation strategies for the growing rabbit: effect on feeding behaviour, welfare, performance, digestive physiology and health: a review. </w:t>
      </w:r>
      <w:r w:rsidRPr="00203E27">
        <w:rPr>
          <w:i/>
          <w:iCs/>
        </w:rPr>
        <w:t>animal, Volume 6 , Issue 9 , September 2012 , pp. 1407 - 1419</w:t>
      </w:r>
      <w:r w:rsidRPr="00203E27">
        <w:t xml:space="preserve">. </w:t>
      </w:r>
    </w:p>
    <w:p w14:paraId="2ADC0F72" w14:textId="1BEF23F8" w:rsidR="00203E27" w:rsidRPr="00203E27" w:rsidRDefault="00203E27" w:rsidP="00203E27">
      <w:pPr>
        <w:jc w:val="both"/>
      </w:pPr>
      <w:r w:rsidRPr="00203E27">
        <w:t xml:space="preserve"> Gidenne, T., Garcia, J., Lebas, F., &amp; Licois, D . (2010a). Nutrition and  feeding strategy: interactions with pathology . </w:t>
      </w:r>
      <w:r w:rsidRPr="00203E27">
        <w:rPr>
          <w:i/>
          <w:iCs/>
        </w:rPr>
        <w:t>C De Blas, J Wiseman (Eds.), Nutrition of the rabbit, CABI, Wallingford, UK (2010), pp. 179-199</w:t>
      </w:r>
      <w:r w:rsidRPr="00203E27">
        <w:t xml:space="preserve">. </w:t>
      </w:r>
    </w:p>
    <w:p w14:paraId="57495271" w14:textId="4043AAC0" w:rsidR="00203E27" w:rsidRPr="00203E27" w:rsidRDefault="00203E27" w:rsidP="00203E27">
      <w:pPr>
        <w:jc w:val="both"/>
      </w:pPr>
      <w:r w:rsidRPr="00203E27">
        <w:t xml:space="preserve">Gidenne, T., Jehl, N., Lapanouse, A., &amp; Segura, M. (2004). Inter-relationship of microbial activity, digestion and gut health in the rabbit: effect of substituting fibre by starch in diets having a high proportion of rapidly fermentable polysaccharides. </w:t>
      </w:r>
      <w:r w:rsidRPr="00203E27">
        <w:rPr>
          <w:i/>
          <w:iCs/>
        </w:rPr>
        <w:t>British Journal of Nutrition, 92 (2004), pp. 95-104</w:t>
      </w:r>
      <w:r w:rsidRPr="00203E27">
        <w:t xml:space="preserve">. </w:t>
      </w:r>
    </w:p>
    <w:p w14:paraId="32ECA493" w14:textId="7EFA506D" w:rsidR="00203E27" w:rsidRPr="00203E27" w:rsidRDefault="00203E27" w:rsidP="00203E27">
      <w:pPr>
        <w:jc w:val="both"/>
      </w:pPr>
      <w:r w:rsidRPr="00203E27">
        <w:t xml:space="preserve">Gidenne, T., Lebas, F., &amp; Fortun-Lamothe, L. (2020). Feeding behaviour of rabbits. </w:t>
      </w:r>
      <w:r w:rsidRPr="00203E27">
        <w:rPr>
          <w:i/>
          <w:iCs/>
        </w:rPr>
        <w:t>Nutrition of the rabbit. pp. 254-274</w:t>
      </w:r>
      <w:r w:rsidRPr="00203E27">
        <w:t xml:space="preserve">. </w:t>
      </w:r>
    </w:p>
    <w:p w14:paraId="3B7267FB" w14:textId="63EC6D24" w:rsidR="00203E27" w:rsidRPr="00203E27" w:rsidRDefault="00203E27" w:rsidP="00203E27">
      <w:pPr>
        <w:jc w:val="both"/>
      </w:pPr>
      <w:r w:rsidRPr="00203E27">
        <w:t xml:space="preserve">Honda, K., &amp; Littman, D. R. (2012). The Microbiome in Infectious Disease and Inflammation. </w:t>
      </w:r>
      <w:r w:rsidRPr="00203E27">
        <w:rPr>
          <w:i/>
          <w:iCs/>
        </w:rPr>
        <w:t>Annu Rev Immunol. 2012;30:759</w:t>
      </w:r>
      <w:r w:rsidRPr="00203E27">
        <w:rPr>
          <w:rFonts w:ascii="Cambria Math" w:hAnsi="Cambria Math" w:cs="Cambria Math"/>
          <w:i/>
          <w:iCs/>
        </w:rPr>
        <w:t>‐</w:t>
      </w:r>
      <w:r w:rsidRPr="00203E27">
        <w:rPr>
          <w:i/>
          <w:iCs/>
        </w:rPr>
        <w:t>795</w:t>
      </w:r>
      <w:r w:rsidRPr="00203E27">
        <w:t xml:space="preserve">. </w:t>
      </w:r>
    </w:p>
    <w:p w14:paraId="2F0BD416" w14:textId="0023EE8D" w:rsidR="00203E27" w:rsidRPr="00203E27" w:rsidRDefault="00203E27" w:rsidP="00203E27">
      <w:pPr>
        <w:jc w:val="both"/>
      </w:pPr>
      <w:r w:rsidRPr="00203E27">
        <w:t xml:space="preserve">Huang, X., Yu, Y., Tian, N., Huang, J., Zhang, X., &amp; Yu, R. (2025). Human microbiota-associated animal models: a review. </w:t>
      </w:r>
      <w:r w:rsidRPr="00203E27">
        <w:rPr>
          <w:i/>
          <w:iCs/>
        </w:rPr>
        <w:t>Front. Cell. Infect. Microbiol., 27 August 2025</w:t>
      </w:r>
      <w:r w:rsidRPr="00203E27">
        <w:t xml:space="preserve">. </w:t>
      </w:r>
    </w:p>
    <w:p w14:paraId="73D429E7" w14:textId="7D833CFC" w:rsidR="00203E27" w:rsidRPr="00203E27" w:rsidRDefault="00203E27" w:rsidP="00203E27">
      <w:pPr>
        <w:jc w:val="both"/>
      </w:pPr>
      <w:r w:rsidRPr="00203E27">
        <w:t xml:space="preserve">Hugenholtz, F., &amp; Vos, W. M. (2017). Mouse models for human intestinal microbiota research: a critical evaluation. </w:t>
      </w:r>
      <w:r w:rsidRPr="00203E27">
        <w:rPr>
          <w:i/>
          <w:iCs/>
        </w:rPr>
        <w:t>Cell Mol Life Sci. 2018;75:149</w:t>
      </w:r>
      <w:r w:rsidRPr="00203E27">
        <w:rPr>
          <w:rFonts w:ascii="Cambria Math" w:hAnsi="Cambria Math" w:cs="Cambria Math"/>
          <w:i/>
          <w:iCs/>
        </w:rPr>
        <w:t>‐</w:t>
      </w:r>
      <w:r w:rsidRPr="00203E27">
        <w:rPr>
          <w:i/>
          <w:iCs/>
        </w:rPr>
        <w:t>160</w:t>
      </w:r>
      <w:r w:rsidRPr="00203E27">
        <w:t xml:space="preserve">. </w:t>
      </w:r>
    </w:p>
    <w:p w14:paraId="2D5881EC" w14:textId="2EC77E5E" w:rsidR="00203E27" w:rsidRPr="00203E27" w:rsidRDefault="00203E27" w:rsidP="00203E27">
      <w:pPr>
        <w:jc w:val="both"/>
      </w:pPr>
      <w:r w:rsidRPr="00203E27">
        <w:t xml:space="preserve">Kamada, N., Chen, G. Y., Inohara, N., &amp; Núñez, G. (2013). Control of pathogens and pathobionts by the gut microbiota. </w:t>
      </w:r>
      <w:r w:rsidRPr="00203E27">
        <w:rPr>
          <w:i/>
          <w:iCs/>
        </w:rPr>
        <w:t>Nat Immunol. 2013;14:685</w:t>
      </w:r>
      <w:r w:rsidRPr="00203E27">
        <w:rPr>
          <w:rFonts w:ascii="Cambria Math" w:hAnsi="Cambria Math" w:cs="Cambria Math"/>
          <w:i/>
          <w:iCs/>
        </w:rPr>
        <w:t>‐</w:t>
      </w:r>
      <w:r w:rsidRPr="00203E27">
        <w:rPr>
          <w:i/>
          <w:iCs/>
        </w:rPr>
        <w:t>690.</w:t>
      </w:r>
      <w:r w:rsidRPr="00203E27">
        <w:t xml:space="preserve"> </w:t>
      </w:r>
    </w:p>
    <w:p w14:paraId="377D1014" w14:textId="3647B6E3" w:rsidR="00203E27" w:rsidRPr="00203E27" w:rsidRDefault="00203E27" w:rsidP="00203E27">
      <w:pPr>
        <w:jc w:val="both"/>
      </w:pPr>
      <w:r w:rsidRPr="00203E27">
        <w:t xml:space="preserve">Kim, G.-B., Seo, Y., Kim, C., &amp; Paik, I. (2011). Effect of dietary prebiotic supplementation on the performance, intestinal microflora, and immune response of broilers. </w:t>
      </w:r>
      <w:r w:rsidRPr="00203E27">
        <w:rPr>
          <w:i/>
          <w:iCs/>
        </w:rPr>
        <w:t>Poultry Science. Volume 90, Issue 1, 1 January 2011, Pages 75-82</w:t>
      </w:r>
      <w:r w:rsidRPr="00203E27">
        <w:t xml:space="preserve">. </w:t>
      </w:r>
    </w:p>
    <w:p w14:paraId="53DEA4D5" w14:textId="783FFB07" w:rsidR="00203E27" w:rsidRPr="00203E27" w:rsidRDefault="00203E27" w:rsidP="00203E27">
      <w:pPr>
        <w:jc w:val="both"/>
      </w:pPr>
      <w:r w:rsidRPr="00203E27">
        <w:t xml:space="preserve">Kimsé, M., Bayourthe, C., Monteils, V., Fortun-Lamothe, L., Cauquil, L., Combes, S., &amp; Gidenne, T. (2012). Live yeast stability in rabbit digestive tract: Consequences on the caecal ecosystem, digestion, growth and digestive health. </w:t>
      </w:r>
      <w:r w:rsidRPr="00203E27">
        <w:rPr>
          <w:i/>
          <w:iCs/>
        </w:rPr>
        <w:t>Animal Feed Science and Technology, 173 (2012), pp. 235-243</w:t>
      </w:r>
      <w:r w:rsidRPr="00203E27">
        <w:t xml:space="preserve">. </w:t>
      </w:r>
    </w:p>
    <w:p w14:paraId="1F6669DB" w14:textId="498E3035" w:rsidR="00203E27" w:rsidRPr="00203E27" w:rsidRDefault="00203E27" w:rsidP="00203E27">
      <w:pPr>
        <w:jc w:val="both"/>
      </w:pPr>
      <w:r w:rsidRPr="00203E27">
        <w:t xml:space="preserve">Kovács, M., Bónai, A., Szendrő, Z., Milisits, G., Lukács, H., Szabó-Fodor, J., . . . Horn, P. (2012). Effect of different weaning ages (21, 28 or 35 days) on production, growth and certain parameters of the digestive tract in rabbits. </w:t>
      </w:r>
      <w:r w:rsidRPr="00203E27">
        <w:rPr>
          <w:i/>
          <w:iCs/>
        </w:rPr>
        <w:t>Animal. Volume 6, Issue 6, 2012, Pages 894-901</w:t>
      </w:r>
      <w:r w:rsidRPr="00203E27">
        <w:t xml:space="preserve">. </w:t>
      </w:r>
    </w:p>
    <w:p w14:paraId="36F7AE4E" w14:textId="6EDC340C" w:rsidR="00203E27" w:rsidRPr="00203E27" w:rsidRDefault="00203E27" w:rsidP="00203E27">
      <w:pPr>
        <w:jc w:val="both"/>
      </w:pPr>
      <w:r w:rsidRPr="00203E27">
        <w:t xml:space="preserve">Kovács, M., Szendro, Z., Milisits, G., Bóta, B., Bíró-Németh, E., Radnai, I., . . . Horn, P. (2006). Effect of nursing methods and faeces consumption on the development of the bacteroides, </w:t>
      </w:r>
      <w:r w:rsidRPr="00203E27">
        <w:lastRenderedPageBreak/>
        <w:t xml:space="preserve">lactobacillus and coliform flora in the caecum of the newborn rabbits. </w:t>
      </w:r>
      <w:r w:rsidRPr="00203E27">
        <w:rPr>
          <w:i/>
          <w:iCs/>
        </w:rPr>
        <w:t>Reprod. Nutr. Dev. Volume 46, Number 2, March-April 2006. 205 - 210</w:t>
      </w:r>
      <w:r w:rsidRPr="00203E27">
        <w:t xml:space="preserve">. </w:t>
      </w:r>
    </w:p>
    <w:p w14:paraId="56E6C592" w14:textId="77777777" w:rsidR="00203E27" w:rsidRPr="00203E27" w:rsidRDefault="00203E27" w:rsidP="00203E27">
      <w:pPr>
        <w:jc w:val="both"/>
      </w:pPr>
      <w:r w:rsidRPr="00203E27">
        <w:t xml:space="preserve">Kylie, J. (2016). An Investigation into the Fecal Microbiota of Domestic Rabbits (Oryctolagus cuniculus) and Factors Influencing its Composition. </w:t>
      </w:r>
      <w:r w:rsidRPr="00203E27">
        <w:rPr>
          <w:i/>
          <w:iCs/>
        </w:rPr>
        <w:t>A Thesis presented to The University of Guelph</w:t>
      </w:r>
      <w:r w:rsidRPr="00203E27">
        <w:t>.</w:t>
      </w:r>
    </w:p>
    <w:p w14:paraId="6E3646B5" w14:textId="77777777" w:rsidR="00203E27" w:rsidRPr="00203E27" w:rsidRDefault="00203E27" w:rsidP="00203E27">
      <w:pPr>
        <w:jc w:val="both"/>
      </w:pPr>
      <w:r w:rsidRPr="00203E27">
        <w:t xml:space="preserve">Louis DiVincenti Jr ; Angelika N Rehrig. (2016). The Social Nature of European Rabbits (Oryctolagus cuniculus). </w:t>
      </w:r>
      <w:r w:rsidRPr="00203E27">
        <w:rPr>
          <w:i/>
          <w:iCs/>
        </w:rPr>
        <w:t>J Am Assoc Lab Anim Sci. 2016 Nov;55(6):729–736.</w:t>
      </w:r>
      <w:r w:rsidRPr="00203E27">
        <w:t xml:space="preserve"> Ανάκτηση από PMC5113872</w:t>
      </w:r>
    </w:p>
    <w:p w14:paraId="33437156" w14:textId="10C5A58D" w:rsidR="00203E27" w:rsidRPr="00203E27" w:rsidRDefault="00203E27" w:rsidP="00203E27">
      <w:pPr>
        <w:jc w:val="both"/>
      </w:pPr>
      <w:r w:rsidRPr="00203E27">
        <w:t xml:space="preserve">Mackie, R. I. (2002). Mutualistic Fermentative Digestion in the Gastrointestinal Tract: Diversity and Evolution1. </w:t>
      </w:r>
      <w:r w:rsidRPr="00203E27">
        <w:rPr>
          <w:i/>
          <w:iCs/>
        </w:rPr>
        <w:t>INTEG. AND COMP. BIOL., 42:319–326 (2002)</w:t>
      </w:r>
      <w:r w:rsidRPr="00203E27">
        <w:t xml:space="preserve">. </w:t>
      </w:r>
    </w:p>
    <w:p w14:paraId="3D5FB327" w14:textId="096CC900" w:rsidR="00203E27" w:rsidRPr="00203E27" w:rsidRDefault="00203E27" w:rsidP="00203E27">
      <w:pPr>
        <w:jc w:val="both"/>
      </w:pPr>
      <w:r w:rsidRPr="00203E27">
        <w:t xml:space="preserve">Mackie, R. I., Sghir, A., &amp; Gaskins, H. R. (1999). Developmental microbial ecology of the neonatal gastrointestinal. </w:t>
      </w:r>
      <w:r w:rsidRPr="00203E27">
        <w:rPr>
          <w:i/>
          <w:iCs/>
        </w:rPr>
        <w:t>American Journal of Clinical Nutrition, 69 (1999), pp. 1035S-1045S</w:t>
      </w:r>
      <w:r w:rsidRPr="00203E27">
        <w:t xml:space="preserve">. </w:t>
      </w:r>
    </w:p>
    <w:p w14:paraId="1B68C0E1" w14:textId="2D67B003" w:rsidR="00203E27" w:rsidRPr="00203E27" w:rsidRDefault="00203E27" w:rsidP="00203E27">
      <w:pPr>
        <w:jc w:val="both"/>
      </w:pPr>
      <w:r w:rsidRPr="00203E27">
        <w:t xml:space="preserve">Mancini, S., &amp; Paci, G. (2021). Probiotics in Rabbit Farming: Growth Performance, Health Status, and Meat Quality. </w:t>
      </w:r>
      <w:r w:rsidRPr="00203E27">
        <w:rPr>
          <w:i/>
          <w:iCs/>
        </w:rPr>
        <w:t>Animals (Basel). 2021 Nov 26;11(12):3388</w:t>
      </w:r>
      <w:r w:rsidRPr="00203E27">
        <w:t xml:space="preserve">. </w:t>
      </w:r>
    </w:p>
    <w:p w14:paraId="1CBC25D2" w14:textId="7DD8209A" w:rsidR="00203E27" w:rsidRPr="00203E27" w:rsidRDefault="00203E27" w:rsidP="00203E27">
      <w:pPr>
        <w:jc w:val="both"/>
      </w:pPr>
      <w:r w:rsidRPr="00203E27">
        <w:t xml:space="preserve">Mapara, M., Thomas, B. S., &amp; Bhat, K. M. (2012). Rabbit as an animal model for experimental research. </w:t>
      </w:r>
      <w:r w:rsidRPr="00203E27">
        <w:rPr>
          <w:i/>
          <w:iCs/>
        </w:rPr>
        <w:t>Dent Res J (Isfahan). 2012 Jan-Mar;9(1):111–118</w:t>
      </w:r>
      <w:r w:rsidRPr="00203E27">
        <w:t xml:space="preserve">. </w:t>
      </w:r>
    </w:p>
    <w:p w14:paraId="7903B7F6" w14:textId="6767B904" w:rsidR="00203E27" w:rsidRPr="00203E27" w:rsidRDefault="00203E27" w:rsidP="00203E27">
      <w:pPr>
        <w:jc w:val="both"/>
      </w:pPr>
      <w:r w:rsidRPr="00203E27">
        <w:t xml:space="preserve">Martignon, M., Combes, S., &amp; Gidenne, T. (2010). Digestive physiology and hindgut bacterial community of the young rabbit (Oryctolagus cuniculus): Effects of age and short-term intake limitation. </w:t>
      </w:r>
      <w:r w:rsidRPr="00203E27">
        <w:rPr>
          <w:i/>
          <w:iCs/>
        </w:rPr>
        <w:t>Comparative Biochemistry and Physiology Part A: Molecular &amp; Integrative Physiology. Volume 156, Issue 1, May 2010, Pages 156- 162</w:t>
      </w:r>
      <w:r w:rsidRPr="00203E27">
        <w:t xml:space="preserve">. </w:t>
      </w:r>
    </w:p>
    <w:p w14:paraId="79A3CD85" w14:textId="1C105AB5" w:rsidR="00203E27" w:rsidRPr="00203E27" w:rsidRDefault="00203E27" w:rsidP="00203E27">
      <w:pPr>
        <w:jc w:val="both"/>
      </w:pPr>
      <w:r w:rsidRPr="00203E27">
        <w:t xml:space="preserve"> Michelland, R. J., Combes, S., Monteils, V., Cauquil, L., Gidenne, T., &amp;   Fortun-Lamothe, L. (2011). Rapid adaptation of the bacterial community in   the growing rabbit caecum after a change in dietary fibre supply. </w:t>
      </w:r>
      <w:r w:rsidRPr="00203E27">
        <w:rPr>
          <w:i/>
          <w:iCs/>
        </w:rPr>
        <w:t xml:space="preserve">Animal,  5 (2011),  pp. 1761-1768 </w:t>
      </w:r>
      <w:r w:rsidRPr="00203E27">
        <w:t xml:space="preserve">. </w:t>
      </w:r>
    </w:p>
    <w:p w14:paraId="2C7B7D27" w14:textId="77777777" w:rsidR="00203E27" w:rsidRPr="00203E27" w:rsidRDefault="00203E27" w:rsidP="00203E27">
      <w:pPr>
        <w:jc w:val="both"/>
      </w:pPr>
      <w:r w:rsidRPr="00203E27">
        <w:t xml:space="preserve">Moncomble, A. S., Quennedey, B., Coureaud, G., Langlois, D., Perrier, G., &amp; Schaal, B. (2004). Newborn rabbit attraction toward maternal faecal pellets. </w:t>
      </w:r>
      <w:r w:rsidRPr="00203E27">
        <w:rPr>
          <w:i/>
          <w:iCs/>
        </w:rPr>
        <w:t>Dev. Psychobiol, 45(4), 277.</w:t>
      </w:r>
      <w:r w:rsidRPr="00203E27">
        <w:t> </w:t>
      </w:r>
    </w:p>
    <w:p w14:paraId="187D04E8" w14:textId="3A74A11B" w:rsidR="00203E27" w:rsidRPr="00203E27" w:rsidRDefault="00203E27" w:rsidP="00203E27">
      <w:pPr>
        <w:jc w:val="both"/>
      </w:pPr>
      <w:r w:rsidRPr="00203E27">
        <w:t xml:space="preserve">Mourao, J., Pinheiro, V., Alves, A., Guedes, C., Pinto, L., Saavedra, M., . . . Kocher, A. (2006). Effect of mannan oligosaccharides on the performance, intestinal morphology and cecal fermentation of fattening rabbits. </w:t>
      </w:r>
      <w:r w:rsidRPr="00203E27">
        <w:rPr>
          <w:i/>
          <w:iCs/>
        </w:rPr>
        <w:t>Animal Feed Science and Technology, 126 (2006), pp. 107-120</w:t>
      </w:r>
      <w:r w:rsidRPr="00203E27">
        <w:t xml:space="preserve">. </w:t>
      </w:r>
    </w:p>
    <w:p w14:paraId="4AC5D9D2" w14:textId="77777777" w:rsidR="00203E27" w:rsidRDefault="00203E27" w:rsidP="00203E27">
      <w:pPr>
        <w:jc w:val="both"/>
      </w:pPr>
      <w:r w:rsidRPr="00203E27">
        <w:t xml:space="preserve">Naff, K. A., &amp; Craig, S. (2012). Chapter 6 - The Domestic Rabbit, Oryctolagus Cuniculus: Origins and History. </w:t>
      </w:r>
    </w:p>
    <w:p w14:paraId="0A5935B4" w14:textId="29A8C622" w:rsidR="00203E27" w:rsidRPr="00203E27" w:rsidRDefault="00203E27" w:rsidP="00203E27">
      <w:pPr>
        <w:jc w:val="both"/>
      </w:pPr>
      <w:r w:rsidRPr="00203E27">
        <w:t xml:space="preserve">NC3Rs. (2026). </w:t>
      </w:r>
      <w:r w:rsidRPr="00203E27">
        <w:rPr>
          <w:i/>
          <w:iCs/>
        </w:rPr>
        <w:t>The 3Rs</w:t>
      </w:r>
      <w:r w:rsidRPr="00203E27">
        <w:t>. Ανάκτηση από https://nc3rs.org.uk/who-we-are/3rs</w:t>
      </w:r>
    </w:p>
    <w:p w14:paraId="1B6DE6D3" w14:textId="23423478" w:rsidR="00203E27" w:rsidRPr="00203E27" w:rsidRDefault="00203E27" w:rsidP="00203E27">
      <w:pPr>
        <w:jc w:val="both"/>
      </w:pPr>
      <w:r w:rsidRPr="00203E27">
        <w:t xml:space="preserve">Okada, H., Kuhn, C., Feillet, H., &amp; Bach, J.-F. (2010). The ‘hygiene hypothesis’ for autoimmune and allergic diseases: an update Get access Arrow. </w:t>
      </w:r>
      <w:r w:rsidRPr="00203E27">
        <w:rPr>
          <w:i/>
          <w:iCs/>
        </w:rPr>
        <w:t>Clinical and Experimental Immunology, Volume 160, Issue 1, April 2010, Pages 1–9,</w:t>
      </w:r>
      <w:r w:rsidRPr="00203E27">
        <w:t xml:space="preserve">. </w:t>
      </w:r>
    </w:p>
    <w:p w14:paraId="623CFB7A" w14:textId="3DE397A4" w:rsidR="00203E27" w:rsidRPr="00203E27" w:rsidRDefault="00203E27" w:rsidP="00203E27">
      <w:pPr>
        <w:jc w:val="both"/>
      </w:pPr>
      <w:r w:rsidRPr="00203E27">
        <w:t xml:space="preserve">Onwuama K. T.; Nzalak O. J.; Dzenda T.; Ibe C. M.; Hambolu J.; Salami S. O. (2024). Gross morphologic and morphometric studies of the external features of the rabbit (Oryctolagus cuniculus - Linnaeus, 1758) at prepartum. </w:t>
      </w:r>
      <w:r w:rsidRPr="00203E27">
        <w:rPr>
          <w:i/>
          <w:iCs/>
        </w:rPr>
        <w:t>Savannah Veterinary Journal, 2024, Vol 7, Issue 2, p21</w:t>
      </w:r>
      <w:r w:rsidRPr="00203E27">
        <w:t xml:space="preserve">. </w:t>
      </w:r>
    </w:p>
    <w:p w14:paraId="58885474" w14:textId="77777777" w:rsidR="00203E27" w:rsidRPr="00203E27" w:rsidRDefault="00203E27" w:rsidP="00203E27">
      <w:pPr>
        <w:jc w:val="both"/>
      </w:pPr>
      <w:r w:rsidRPr="00203E27">
        <w:lastRenderedPageBreak/>
        <w:t xml:space="preserve">Padilha, M., Licois, D., &amp; Coudert, P. (1996). Frequency of the carriage and enumeration of Escherichia coli in caecal content of 15 to 49-day-old rabbits. </w:t>
      </w:r>
      <w:r w:rsidRPr="00203E27">
        <w:rPr>
          <w:i/>
          <w:iCs/>
        </w:rPr>
        <w:t>In 6. World Rabbit Congress. Association Française de Cuniculture.</w:t>
      </w:r>
      <w:r w:rsidRPr="00203E27">
        <w:t> </w:t>
      </w:r>
    </w:p>
    <w:p w14:paraId="011CDDE1" w14:textId="77777777" w:rsidR="00203E27" w:rsidRPr="00203E27" w:rsidRDefault="00203E27" w:rsidP="00203E27">
      <w:pPr>
        <w:jc w:val="both"/>
      </w:pPr>
      <w:r w:rsidRPr="00203E27">
        <w:t xml:space="preserve">Padilha, M., Licois, D., Gidenne, T., &amp; Carré, B. (1999).  Caecal microflora and fermentation pattern in exclusively milk-fed young   rabbits. </w:t>
      </w:r>
      <w:r w:rsidRPr="00203E27">
        <w:rPr>
          <w:i/>
          <w:iCs/>
        </w:rPr>
        <w:t xml:space="preserve">Reproduction Nutrition Development, 39  (1999),  pp. 223-230 </w:t>
      </w:r>
      <w:r w:rsidRPr="00203E27">
        <w:t>.</w:t>
      </w:r>
    </w:p>
    <w:p w14:paraId="4B78BE41" w14:textId="77777777" w:rsidR="00203E27" w:rsidRPr="00203E27" w:rsidRDefault="00203E27" w:rsidP="00203E27">
      <w:pPr>
        <w:jc w:val="both"/>
      </w:pPr>
      <w:r w:rsidRPr="00203E27">
        <w:t>Pascual, J., Moya, V., Martinez, E., Calvo, M., Adelantado, C., Jimenez, G., . . . Castillo, M. (2008). Effects of dietary inclusion of Toyocerin (Bacillus cereus var. toyoi) on performance, health and faecal nitrogen excretion in growing rabbits, 9th World Rabbit.</w:t>
      </w:r>
    </w:p>
    <w:p w14:paraId="7227A252" w14:textId="77777777" w:rsidR="00203E27" w:rsidRPr="00203E27" w:rsidRDefault="00203E27" w:rsidP="00203E27">
      <w:pPr>
        <w:jc w:val="both"/>
      </w:pPr>
      <w:r w:rsidRPr="00203E27">
        <w:t xml:space="preserve">Rodríguez-Romero, N., Abecia, L., Balcells, J., Martínez, B., &amp; Fondevila, M. (2009). Comparison of bacterial profile from caecal content and caecotrophes in growing rabbits fed on two levels of indigestible fibre. </w:t>
      </w:r>
      <w:r w:rsidRPr="00203E27">
        <w:rPr>
          <w:i/>
          <w:iCs/>
        </w:rPr>
        <w:t>XXXIX Jornadas de Estudio, XIII Jornadas sobre Producción Animal, Zaragoza, España, 12 y 13 de mayo de 2009</w:t>
      </w:r>
      <w:r w:rsidRPr="00203E27">
        <w:t>.</w:t>
      </w:r>
    </w:p>
    <w:p w14:paraId="758B1FDE" w14:textId="5F3D4352" w:rsidR="00203E27" w:rsidRPr="00203E27" w:rsidRDefault="00203E27" w:rsidP="00203E27">
      <w:pPr>
        <w:jc w:val="both"/>
      </w:pPr>
      <w:r w:rsidRPr="00203E27">
        <w:t xml:space="preserve">Savietto, D., Paës, C., Cauquil, L., Fortun-Lamothe, L., &amp; Combes, S. (2020). Evolution of gut microbial community through reproductive life in female rabbits and investigation of the link with offspring survival. </w:t>
      </w:r>
      <w:r w:rsidRPr="00203E27">
        <w:rPr>
          <w:i/>
          <w:iCs/>
        </w:rPr>
        <w:t>Animal. Volume 14, Issue 11, 2020, Pages 2253-2261</w:t>
      </w:r>
      <w:r w:rsidRPr="00203E27">
        <w:t xml:space="preserve">. </w:t>
      </w:r>
    </w:p>
    <w:p w14:paraId="7552800E" w14:textId="2F8A4752" w:rsidR="00203E27" w:rsidRPr="00203E27" w:rsidRDefault="00203E27" w:rsidP="00203E27">
      <w:pPr>
        <w:jc w:val="both"/>
      </w:pPr>
      <w:r w:rsidRPr="00203E27">
        <w:t xml:space="preserve">Sekirov, I., Russell, S. L., Antunes, L. C., &amp; Finlay, B. B . (2010). Gut Microbiota in Health and Disease. </w:t>
      </w:r>
      <w:r w:rsidRPr="00203E27">
        <w:rPr>
          <w:i/>
          <w:iCs/>
        </w:rPr>
        <w:t>Physiol Rev. 2010;90:859</w:t>
      </w:r>
      <w:r w:rsidRPr="00203E27">
        <w:rPr>
          <w:rFonts w:ascii="Cambria Math" w:hAnsi="Cambria Math" w:cs="Cambria Math"/>
          <w:i/>
          <w:iCs/>
        </w:rPr>
        <w:t>‐</w:t>
      </w:r>
      <w:r w:rsidRPr="00203E27">
        <w:rPr>
          <w:i/>
          <w:iCs/>
        </w:rPr>
        <w:t>904</w:t>
      </w:r>
      <w:r w:rsidRPr="00203E27">
        <w:t xml:space="preserve">.  </w:t>
      </w:r>
    </w:p>
    <w:p w14:paraId="79079564" w14:textId="66DEEFE6" w:rsidR="00203E27" w:rsidRPr="00203E27" w:rsidRDefault="00203E27" w:rsidP="00203E27">
      <w:pPr>
        <w:jc w:val="both"/>
      </w:pPr>
      <w:r w:rsidRPr="00203E27">
        <w:t xml:space="preserve">Setiaji, A., Sutopo, S., Lestari, D. A., Kurnianto, E., &amp; Novianti, M. E. (2022). Morphometric characterization of New Zealand white rabbit raised at different areas. </w:t>
      </w:r>
      <w:r w:rsidRPr="00203E27">
        <w:rPr>
          <w:i/>
          <w:iCs/>
        </w:rPr>
        <w:t xml:space="preserve">Online Journal of Animal and Feed Research. Volume 12, Issue 6: 350-355; November 25, 2022 </w:t>
      </w:r>
      <w:r w:rsidRPr="00203E27">
        <w:t xml:space="preserve">. </w:t>
      </w:r>
    </w:p>
    <w:p w14:paraId="32FB045B" w14:textId="11A645F7" w:rsidR="00203E27" w:rsidRPr="00203E27" w:rsidRDefault="00203E27" w:rsidP="00203E27">
      <w:pPr>
        <w:jc w:val="both"/>
      </w:pPr>
      <w:r w:rsidRPr="00203E27">
        <w:t xml:space="preserve"> Spor, A., Koren, O., &amp; Ley, R . (2011).  Unravelling the effects of the   environment and host genotype on the gut microbiome. </w:t>
      </w:r>
      <w:r w:rsidRPr="00203E27">
        <w:rPr>
          <w:i/>
          <w:iCs/>
        </w:rPr>
        <w:t>Nat Rev Microbiol.  2011;9:279</w:t>
      </w:r>
      <w:r w:rsidRPr="00203E27">
        <w:rPr>
          <w:rFonts w:ascii="Cambria Math" w:hAnsi="Cambria Math" w:cs="Cambria Math"/>
          <w:i/>
          <w:iCs/>
        </w:rPr>
        <w:t>‐</w:t>
      </w:r>
      <w:r w:rsidRPr="00203E27">
        <w:rPr>
          <w:i/>
          <w:iCs/>
        </w:rPr>
        <w:t>290.</w:t>
      </w:r>
      <w:r w:rsidRPr="00203E27">
        <w:t xml:space="preserve"> </w:t>
      </w:r>
    </w:p>
    <w:p w14:paraId="62E2E79B" w14:textId="77777777" w:rsidR="00203E27" w:rsidRPr="00203E27" w:rsidRDefault="00203E27" w:rsidP="00203E27">
      <w:pPr>
        <w:jc w:val="both"/>
      </w:pPr>
      <w:r w:rsidRPr="00203E27">
        <w:t xml:space="preserve">Thompson, H., &amp; King, C. (1994). </w:t>
      </w:r>
      <w:r w:rsidRPr="00203E27">
        <w:rPr>
          <w:i/>
          <w:iCs/>
        </w:rPr>
        <w:t>The European rabbit: history and biology of a successful colonizer. .</w:t>
      </w:r>
      <w:r w:rsidRPr="00203E27">
        <w:t xml:space="preserve"> Oxford University Press, Oxford, UK.</w:t>
      </w:r>
    </w:p>
    <w:p w14:paraId="35DC0944" w14:textId="32D6CE6D" w:rsidR="00203E27" w:rsidRPr="00203E27" w:rsidRDefault="00203E27" w:rsidP="00203E27">
      <w:pPr>
        <w:jc w:val="both"/>
      </w:pPr>
      <w:r w:rsidRPr="00203E27">
        <w:t xml:space="preserve">Turner, P. V. (2018). The role of the gut microbiota on animal model reproducibility. </w:t>
      </w:r>
      <w:r w:rsidRPr="00203E27">
        <w:rPr>
          <w:i/>
          <w:iCs/>
        </w:rPr>
        <w:t>Animal Model Exp Med. 2018 Jul 28;1(2):109–115</w:t>
      </w:r>
      <w:r w:rsidRPr="00203E27">
        <w:t xml:space="preserve">. </w:t>
      </w:r>
    </w:p>
    <w:p w14:paraId="555C3504" w14:textId="75BA0030" w:rsidR="00203E27" w:rsidRPr="00203E27" w:rsidRDefault="00203E27" w:rsidP="00203E27">
      <w:pPr>
        <w:jc w:val="both"/>
      </w:pPr>
      <w:r w:rsidRPr="00203E27">
        <w:t xml:space="preserve">Uzbay, T. (2019). Germ-free animal experiments in the gut microbiota studies. </w:t>
      </w:r>
      <w:r w:rsidRPr="00203E27">
        <w:rPr>
          <w:i/>
          <w:iCs/>
        </w:rPr>
        <w:t>Current Opinion in Pharmacology. Volume 49, December 2019, Pages 6-10</w:t>
      </w:r>
      <w:r w:rsidRPr="00203E27">
        <w:t xml:space="preserve">. </w:t>
      </w:r>
    </w:p>
    <w:p w14:paraId="4D6AC6F3" w14:textId="32358D77" w:rsidR="00203E27" w:rsidRPr="00203E27" w:rsidRDefault="00203E27" w:rsidP="00203E27">
      <w:pPr>
        <w:jc w:val="both"/>
      </w:pPr>
      <w:r w:rsidRPr="00203E27">
        <w:t xml:space="preserve">Valle, J. C., Bonadero, M. C., &amp; Fernández-Gimenez, A. V. (2023). Saccharomyces cerevisiae as probiotic, prebiotic, synbiotic, postbiotics and parabiotics in aquaculture: An overview. </w:t>
      </w:r>
      <w:r w:rsidRPr="00203E27">
        <w:rPr>
          <w:i/>
          <w:iCs/>
        </w:rPr>
        <w:t>Aquaculture. Volume 569, 15 May 2023, 739342</w:t>
      </w:r>
      <w:r>
        <w:t>.</w:t>
      </w:r>
    </w:p>
    <w:p w14:paraId="145F32B8" w14:textId="4B80E8AB" w:rsidR="00203E27" w:rsidRPr="00203E27" w:rsidRDefault="00203E27" w:rsidP="00203E27">
      <w:pPr>
        <w:jc w:val="both"/>
      </w:pPr>
      <w:r w:rsidRPr="00203E27">
        <w:t xml:space="preserve">Vaquerizas, P. H., Delibes-Mateos, M., Piorno, V., Arroyo, B., F. C., &amp; Villafuerte, R. (2020). The paradox of endangered European rabbits regarded as pests: subspecies differences in trends matter. </w:t>
      </w:r>
      <w:r w:rsidRPr="00203E27">
        <w:rPr>
          <w:i/>
          <w:iCs/>
        </w:rPr>
        <w:t>Endanger Species Res 43:99–102</w:t>
      </w:r>
      <w:r w:rsidRPr="00203E27">
        <w:t xml:space="preserve">. </w:t>
      </w:r>
    </w:p>
    <w:p w14:paraId="2329798A" w14:textId="2B6ACB2E" w:rsidR="00203E27" w:rsidRPr="00203E27" w:rsidRDefault="00203E27" w:rsidP="00203E27">
      <w:pPr>
        <w:jc w:val="both"/>
      </w:pPr>
      <w:r w:rsidRPr="00203E27">
        <w:t xml:space="preserve">Wiele, T. V., Praet, J. T., Marzorati, M., Drennan, M. B., &amp; Elewaut, D. (2016). How the microbiota shapes rheumatic diseases. </w:t>
      </w:r>
      <w:r w:rsidRPr="00203E27">
        <w:rPr>
          <w:i/>
          <w:iCs/>
        </w:rPr>
        <w:t>Nature Reviews Rheumatology volume 12, pages 398–411 (2016</w:t>
      </w:r>
      <w:r w:rsidRPr="00203E27">
        <w:t xml:space="preserve">. </w:t>
      </w:r>
    </w:p>
    <w:p w14:paraId="09285B8F" w14:textId="3B015C22" w:rsidR="00203E27" w:rsidRPr="00203E27" w:rsidRDefault="00203E27" w:rsidP="00203E27">
      <w:pPr>
        <w:jc w:val="both"/>
      </w:pPr>
      <w:r w:rsidRPr="00203E27">
        <w:t xml:space="preserve">Willing, B., Russell, S., &amp; Finlay, B. (2011). Shifting the balance: Antibiotic effects on host-microbiota mutualism. </w:t>
      </w:r>
      <w:r w:rsidRPr="00203E27">
        <w:rPr>
          <w:i/>
          <w:iCs/>
        </w:rPr>
        <w:t>Nature Reviews Microbiology, 9 (2011), pp. 233-243</w:t>
      </w:r>
      <w:r w:rsidRPr="00203E27">
        <w:t xml:space="preserve">. </w:t>
      </w:r>
    </w:p>
    <w:p w14:paraId="6C4D27CE" w14:textId="3E385593" w:rsidR="00203E27" w:rsidRPr="00203E27" w:rsidRDefault="00203E27" w:rsidP="00203E27">
      <w:pPr>
        <w:jc w:val="both"/>
      </w:pPr>
      <w:r w:rsidRPr="00203E27">
        <w:lastRenderedPageBreak/>
        <w:t xml:space="preserve">Yu, H.-L., Hou, X.-W., Zhao, J.-X., Liu, G.-H., Meng, J.-X., Wei, Y.-J., . . . Yang, X. (2025). Insights from metagenomics on microbial biosynthesis of vitamins B and K2 in chicken gut microbiota. </w:t>
      </w:r>
      <w:r w:rsidRPr="00203E27">
        <w:rPr>
          <w:i/>
          <w:iCs/>
        </w:rPr>
        <w:t>Sec. Animal Nutrition and Metabolism. Front. Vet. Sci., 14 August 2025</w:t>
      </w:r>
      <w:r w:rsidRPr="00203E27">
        <w:t xml:space="preserve">. </w:t>
      </w:r>
    </w:p>
    <w:p w14:paraId="66FD0624" w14:textId="1237BE59" w:rsidR="00203E27" w:rsidRDefault="00203E27" w:rsidP="00203E27">
      <w:pPr>
        <w:jc w:val="both"/>
      </w:pPr>
      <w:r w:rsidRPr="00203E27">
        <w:t xml:space="preserve"> Zdunczyk, P., Matusevicius, P., Juskiewicz, J., Jeroch, H., Jankowski,   J., &amp; Zdunczyk, Z. (2011). Gastrointestinal tract response to dietary   probiotic (Bacillus cereus vartoyoi) and phytogenic preparation   containing herbs, and spices and essential oils in growing White New   Zealand rabbits. </w:t>
      </w:r>
      <w:r w:rsidRPr="00203E27">
        <w:rPr>
          <w:i/>
          <w:iCs/>
        </w:rPr>
        <w:t>Archiv für Geflügelkunde, 75  (2011), pp. 125-131</w:t>
      </w:r>
      <w:r w:rsidRPr="00203E27">
        <w:t xml:space="preserve">. </w:t>
      </w:r>
    </w:p>
    <w:p w14:paraId="09F8533E" w14:textId="77777777" w:rsidR="00203E27" w:rsidRDefault="00203E27" w:rsidP="00203E27">
      <w:pPr>
        <w:jc w:val="both"/>
      </w:pPr>
    </w:p>
    <w:p w14:paraId="4D17F5FF" w14:textId="77777777" w:rsidR="00203E27" w:rsidRDefault="00203E27" w:rsidP="00203E27">
      <w:pPr>
        <w:jc w:val="both"/>
      </w:pPr>
    </w:p>
    <w:p w14:paraId="1662A879" w14:textId="77777777" w:rsidR="00203E27" w:rsidRDefault="00203E27" w:rsidP="00203E27">
      <w:pPr>
        <w:jc w:val="both"/>
      </w:pPr>
    </w:p>
    <w:p w14:paraId="4E15D2D6" w14:textId="77777777" w:rsidR="00203E27" w:rsidRDefault="00203E27" w:rsidP="00203E27">
      <w:pPr>
        <w:jc w:val="both"/>
      </w:pPr>
    </w:p>
    <w:p w14:paraId="3E5468DF" w14:textId="77777777" w:rsidR="00203E27" w:rsidRDefault="00203E27" w:rsidP="00203E27">
      <w:pPr>
        <w:jc w:val="both"/>
      </w:pPr>
    </w:p>
    <w:p w14:paraId="3072AC44" w14:textId="77777777" w:rsidR="00203E27" w:rsidRDefault="00203E27" w:rsidP="00203E27">
      <w:pPr>
        <w:jc w:val="both"/>
      </w:pPr>
    </w:p>
    <w:p w14:paraId="6596CD71" w14:textId="77777777" w:rsidR="00203E27" w:rsidRDefault="00203E27" w:rsidP="00203E27">
      <w:pPr>
        <w:jc w:val="both"/>
      </w:pPr>
    </w:p>
    <w:p w14:paraId="6EC0BEDB" w14:textId="77777777" w:rsidR="00203E27" w:rsidRDefault="00203E27" w:rsidP="00203E27">
      <w:pPr>
        <w:jc w:val="both"/>
      </w:pPr>
    </w:p>
    <w:p w14:paraId="4AA12EE6" w14:textId="77777777" w:rsidR="00203E27" w:rsidRDefault="00203E27" w:rsidP="00203E27">
      <w:pPr>
        <w:jc w:val="both"/>
      </w:pPr>
    </w:p>
    <w:p w14:paraId="6A4B8592" w14:textId="77777777" w:rsidR="00203E27" w:rsidRDefault="00203E27" w:rsidP="00203E27">
      <w:pPr>
        <w:jc w:val="both"/>
      </w:pPr>
    </w:p>
    <w:p w14:paraId="10B93ED8" w14:textId="77777777" w:rsidR="00203E27" w:rsidRDefault="00203E27" w:rsidP="00203E27">
      <w:pPr>
        <w:jc w:val="both"/>
      </w:pPr>
    </w:p>
    <w:p w14:paraId="51876E00" w14:textId="77777777" w:rsidR="00203E27" w:rsidRDefault="00203E27" w:rsidP="00203E27">
      <w:pPr>
        <w:jc w:val="both"/>
      </w:pPr>
    </w:p>
    <w:p w14:paraId="67AD8761" w14:textId="77777777" w:rsidR="00203E27" w:rsidRDefault="00203E27" w:rsidP="00203E27">
      <w:pPr>
        <w:jc w:val="both"/>
      </w:pPr>
    </w:p>
    <w:p w14:paraId="4633922C" w14:textId="77777777" w:rsidR="00203E27" w:rsidRDefault="00203E27" w:rsidP="00203E27">
      <w:pPr>
        <w:jc w:val="both"/>
      </w:pPr>
    </w:p>
    <w:p w14:paraId="7435D4B7" w14:textId="77777777" w:rsidR="00203E27" w:rsidRDefault="00203E27" w:rsidP="00203E27">
      <w:pPr>
        <w:jc w:val="both"/>
      </w:pPr>
    </w:p>
    <w:p w14:paraId="21AE2F6D" w14:textId="77777777" w:rsidR="00203E27" w:rsidRDefault="00203E27" w:rsidP="00203E27">
      <w:pPr>
        <w:jc w:val="both"/>
      </w:pPr>
    </w:p>
    <w:p w14:paraId="610E6390" w14:textId="77777777" w:rsidR="00203E27" w:rsidRDefault="00203E27" w:rsidP="00203E27">
      <w:pPr>
        <w:jc w:val="both"/>
      </w:pPr>
    </w:p>
    <w:p w14:paraId="446DADC7" w14:textId="77777777" w:rsidR="00203E27" w:rsidRDefault="00203E27" w:rsidP="00203E27">
      <w:pPr>
        <w:jc w:val="both"/>
      </w:pPr>
    </w:p>
    <w:p w14:paraId="15BC5F7B" w14:textId="77777777" w:rsidR="00203E27" w:rsidRDefault="00203E27" w:rsidP="00203E27">
      <w:pPr>
        <w:jc w:val="both"/>
      </w:pPr>
    </w:p>
    <w:p w14:paraId="1AE1EBC4" w14:textId="77777777" w:rsidR="00203E27" w:rsidRDefault="00203E27" w:rsidP="00203E27">
      <w:pPr>
        <w:jc w:val="both"/>
      </w:pPr>
    </w:p>
    <w:p w14:paraId="7260B8DD" w14:textId="77777777" w:rsidR="00203E27" w:rsidRDefault="00203E27" w:rsidP="00203E27">
      <w:pPr>
        <w:jc w:val="both"/>
      </w:pPr>
    </w:p>
    <w:p w14:paraId="4FE67920" w14:textId="77777777" w:rsidR="00203E27" w:rsidRDefault="00203E27" w:rsidP="00203E27">
      <w:pPr>
        <w:jc w:val="both"/>
      </w:pPr>
    </w:p>
    <w:p w14:paraId="37FF4809" w14:textId="77777777" w:rsidR="00203E27" w:rsidRDefault="00203E27" w:rsidP="00203E27">
      <w:pPr>
        <w:jc w:val="both"/>
      </w:pPr>
    </w:p>
    <w:p w14:paraId="2FD69034" w14:textId="77777777" w:rsidR="00203E27" w:rsidRDefault="00203E27" w:rsidP="00203E27">
      <w:pPr>
        <w:jc w:val="both"/>
      </w:pPr>
    </w:p>
    <w:p w14:paraId="662CC51E" w14:textId="77777777" w:rsidR="00203E27" w:rsidRDefault="00203E27" w:rsidP="00203E27">
      <w:pPr>
        <w:jc w:val="both"/>
      </w:pPr>
    </w:p>
    <w:p w14:paraId="47D28A2A" w14:textId="77777777" w:rsidR="00203E27" w:rsidRPr="00203E27" w:rsidRDefault="00203E27" w:rsidP="00203E27">
      <w:pPr>
        <w:jc w:val="both"/>
      </w:pPr>
    </w:p>
    <w:p w14:paraId="13E17A1C" w14:textId="77777777" w:rsidR="00203E27" w:rsidRPr="00203E27" w:rsidRDefault="00203E27" w:rsidP="00203E27">
      <w:pPr>
        <w:jc w:val="both"/>
      </w:pPr>
      <w:r w:rsidRPr="00203E27">
        <w:rPr>
          <w:b/>
          <w:bCs/>
        </w:rPr>
        <w:lastRenderedPageBreak/>
        <w:t>Influence of Biological Sex in Laboratory Animals on Experimental Outcomes</w:t>
      </w:r>
    </w:p>
    <w:p w14:paraId="09FA5D25" w14:textId="1345F529" w:rsidR="00203E27" w:rsidRPr="00203E27" w:rsidRDefault="00203E27" w:rsidP="00203E27">
      <w:pPr>
        <w:jc w:val="both"/>
      </w:pPr>
      <w:r w:rsidRPr="00203E27">
        <w:t>Panagiotis Mamolos</w:t>
      </w:r>
      <w:r w:rsidRPr="00203E27">
        <w:rPr>
          <w:vertAlign w:val="superscript"/>
        </w:rPr>
        <w:t>1</w:t>
      </w:r>
      <w:r w:rsidRPr="00203E27">
        <w:t>, Christos A. Tsekouras</w:t>
      </w:r>
      <w:r w:rsidRPr="00203E27">
        <w:rPr>
          <w:vertAlign w:val="superscript"/>
        </w:rPr>
        <w:t>1</w:t>
      </w:r>
      <w:r w:rsidRPr="00203E27">
        <w:t>, Ioannis Margaritis</w:t>
      </w:r>
      <w:r w:rsidRPr="00203E27">
        <w:rPr>
          <w:vertAlign w:val="superscript"/>
        </w:rPr>
        <w:t>2</w:t>
      </w:r>
    </w:p>
    <w:p w14:paraId="64D417E0" w14:textId="77777777" w:rsidR="00203E27" w:rsidRPr="00203E27" w:rsidRDefault="00203E27">
      <w:pPr>
        <w:numPr>
          <w:ilvl w:val="0"/>
          <w:numId w:val="79"/>
        </w:numPr>
        <w:jc w:val="both"/>
      </w:pPr>
      <w:r w:rsidRPr="00203E27">
        <w:t>Undergraduate Student, Department of Veterinary Medicine, School of Health Sciences, Aristotle University of Thessaloniki</w:t>
      </w:r>
    </w:p>
    <w:p w14:paraId="37A4D87F" w14:textId="77777777" w:rsidR="00203E27" w:rsidRDefault="00203E27">
      <w:pPr>
        <w:numPr>
          <w:ilvl w:val="0"/>
          <w:numId w:val="79"/>
        </w:numPr>
        <w:jc w:val="both"/>
      </w:pPr>
      <w:r w:rsidRPr="00203E27">
        <w:t>Lecturer, Laboratory of Physiology, Division of Structure and Function of Animal Organisms, Department of Veterinary Medicine, School of Health Sciences, Aristotle University of Thessaloniki</w:t>
      </w:r>
    </w:p>
    <w:p w14:paraId="52C3014D" w14:textId="77777777" w:rsidR="00203E27" w:rsidRPr="00203E27" w:rsidRDefault="00203E27" w:rsidP="00203E27">
      <w:pPr>
        <w:ind w:left="720"/>
        <w:jc w:val="both"/>
      </w:pPr>
    </w:p>
    <w:p w14:paraId="4A125E19" w14:textId="77777777" w:rsidR="00203E27" w:rsidRPr="00203E27" w:rsidRDefault="00203E27" w:rsidP="00203E27">
      <w:pPr>
        <w:jc w:val="both"/>
      </w:pPr>
      <w:r w:rsidRPr="00203E27">
        <w:rPr>
          <w:b/>
          <w:bCs/>
        </w:rPr>
        <w:t>Abstract</w:t>
      </w:r>
    </w:p>
    <w:p w14:paraId="42ACC795" w14:textId="797168EE" w:rsidR="00203E27" w:rsidRDefault="00203E27" w:rsidP="00203E27">
      <w:pPr>
        <w:jc w:val="both"/>
      </w:pPr>
      <w:r w:rsidRPr="00203E27">
        <w:t>The sex of laboratory animals is a crucial biological factor that significantly influences the outcome of preclinical studies and the reliability of the results. This work demonstrates the multifactoral effects of sex on the physiology, pharmacokinetic and pharmacodynamic response, disease pathophysiology and behavioral expression of laboratory animals. Hormonal differences between male and female organisms regulate critical functions such as metabolism, immune response and neurobiological activity, leading to differentiated experimental outcomes. At the same time, gender affects the bioavailability and pharmacological properties of certain active substances through differences in hepatic enzyme activity, resulting in variable efficacy or toxicity of drugs between the sexes. In addition, clear differences are recorded in the occurrence and progression of metabolic, cardiovascular and autoimmune diseases, while behavioral and neurophysiological responses also show a strong dependence on sex. Findings from the literature indicate that the unilateral use of male animals in preclinical studies may lead to biased or non-generalizable results. Overall, the inclusion of gender as an independent biological variable is a necessary premise for reliable and clinically applicable scientific conclusions.</w:t>
      </w:r>
    </w:p>
    <w:p w14:paraId="60671AFD" w14:textId="77777777" w:rsidR="00203E27" w:rsidRPr="00203E27" w:rsidRDefault="00203E27" w:rsidP="00203E27">
      <w:pPr>
        <w:jc w:val="both"/>
      </w:pPr>
    </w:p>
    <w:p w14:paraId="3F518426" w14:textId="77777777" w:rsidR="00203E27" w:rsidRPr="00203E27" w:rsidRDefault="00203E27" w:rsidP="00203E27">
      <w:pPr>
        <w:jc w:val="both"/>
      </w:pPr>
      <w:r w:rsidRPr="00203E27">
        <w:rPr>
          <w:b/>
          <w:bCs/>
        </w:rPr>
        <w:t>Bibliography</w:t>
      </w:r>
    </w:p>
    <w:p w14:paraId="354788A3" w14:textId="77777777" w:rsidR="00203E27" w:rsidRPr="00203E27" w:rsidRDefault="00203E27" w:rsidP="00203E27">
      <w:pPr>
        <w:jc w:val="both"/>
        <w:rPr>
          <w:b/>
          <w:bCs/>
        </w:rPr>
      </w:pPr>
      <w:r w:rsidRPr="00203E27">
        <w:t xml:space="preserve">Adams, N., &amp; Boice, R. (1989). Development of dominance in domestic rats in laboratory and seminatural environments. </w:t>
      </w:r>
      <w:r w:rsidRPr="00203E27">
        <w:rPr>
          <w:i/>
          <w:iCs/>
        </w:rPr>
        <w:t>Behavioural Processes. Volume 19, Issues 1–3, June 1989, Pages 127-142</w:t>
      </w:r>
      <w:r w:rsidRPr="00203E27">
        <w:t>. </w:t>
      </w:r>
    </w:p>
    <w:p w14:paraId="14519F19" w14:textId="77777777" w:rsidR="00203E27" w:rsidRPr="00203E27" w:rsidRDefault="00203E27" w:rsidP="00203E27">
      <w:pPr>
        <w:jc w:val="both"/>
      </w:pPr>
      <w:r w:rsidRPr="00203E27">
        <w:t xml:space="preserve">Alsufyani, H. A., &amp; Docherty, J. R. (2017). Gender differences in the effects of cathinone and the interaction with caffeine on temperature and locomotor activity in the rat. </w:t>
      </w:r>
      <w:r w:rsidRPr="00203E27">
        <w:rPr>
          <w:i/>
          <w:iCs/>
        </w:rPr>
        <w:t>European Journal of Pharmacology, 809, 203–208</w:t>
      </w:r>
      <w:r w:rsidRPr="00203E27">
        <w:t>. </w:t>
      </w:r>
    </w:p>
    <w:p w14:paraId="1A51394F" w14:textId="77777777" w:rsidR="00203E27" w:rsidRPr="00203E27" w:rsidRDefault="00203E27" w:rsidP="00203E27">
      <w:pPr>
        <w:jc w:val="both"/>
      </w:pPr>
      <w:r w:rsidRPr="00203E27">
        <w:t xml:space="preserve">Beatty, W. W. (1979). Gonadal hormones and sex differences in nonreproductive behaviors in rodents: Organizational and activational influences. </w:t>
      </w:r>
      <w:r w:rsidRPr="00203E27">
        <w:rPr>
          <w:i/>
          <w:iCs/>
        </w:rPr>
        <w:t>Hormones and Behavior, 12, 112–163.</w:t>
      </w:r>
      <w:r w:rsidRPr="00203E27">
        <w:t> </w:t>
      </w:r>
    </w:p>
    <w:p w14:paraId="39103A28" w14:textId="77777777" w:rsidR="00203E27" w:rsidRPr="00203E27" w:rsidRDefault="00203E27" w:rsidP="00203E27">
      <w:pPr>
        <w:jc w:val="both"/>
      </w:pPr>
      <w:r w:rsidRPr="00203E27">
        <w:t xml:space="preserve">Becker, J. B., Prendergast, B. J., &amp; Liang, J. W. (2016). Female rats are not more variable than male rats: a meta-analysis of neuroscience studies. </w:t>
      </w:r>
      <w:r w:rsidRPr="00203E27">
        <w:rPr>
          <w:i/>
          <w:iCs/>
        </w:rPr>
        <w:t>Biology of sex differences, 7, 34</w:t>
      </w:r>
      <w:r w:rsidRPr="00203E27">
        <w:t>. </w:t>
      </w:r>
    </w:p>
    <w:p w14:paraId="3E93DBAF" w14:textId="77777777" w:rsidR="00203E27" w:rsidRPr="00203E27" w:rsidRDefault="00203E27" w:rsidP="00203E27">
      <w:pPr>
        <w:jc w:val="both"/>
      </w:pPr>
      <w:r w:rsidRPr="00203E27">
        <w:t xml:space="preserve">Bonfiglio, F., Zheng, T., Garcia-Etxebarria, K., Hadizadeh, F., Bujanda, L., Bresso, F., &amp; D'Amato, M. (2018). Female-specific association between variants on chromosome 9 and self-reported diagnosis of irritable bowel syndrome. </w:t>
      </w:r>
      <w:r w:rsidRPr="00203E27">
        <w:rPr>
          <w:i/>
          <w:iCs/>
        </w:rPr>
        <w:t>Gastroenterology, 155, 168–179</w:t>
      </w:r>
      <w:r w:rsidRPr="00203E27">
        <w:t>.</w:t>
      </w:r>
    </w:p>
    <w:p w14:paraId="495FA988" w14:textId="77777777" w:rsidR="00203E27" w:rsidRPr="00203E27" w:rsidRDefault="00203E27" w:rsidP="00203E27">
      <w:pPr>
        <w:jc w:val="both"/>
      </w:pPr>
      <w:r w:rsidRPr="00203E27">
        <w:t xml:space="preserve">Bredy, T. W., &amp; Barad, M. (2008). Social modulation of associative fear learning by pheromone communication. </w:t>
      </w:r>
      <w:r w:rsidRPr="00203E27">
        <w:rPr>
          <w:i/>
          <w:iCs/>
        </w:rPr>
        <w:t>Learn Mem. 2009;16:12–18</w:t>
      </w:r>
      <w:r w:rsidRPr="00203E27">
        <w:t>. </w:t>
      </w:r>
    </w:p>
    <w:p w14:paraId="75F7A1E4" w14:textId="77777777" w:rsidR="00203E27" w:rsidRPr="00203E27" w:rsidRDefault="00203E27" w:rsidP="00203E27">
      <w:pPr>
        <w:jc w:val="both"/>
      </w:pPr>
      <w:r w:rsidRPr="00203E27">
        <w:lastRenderedPageBreak/>
        <w:t xml:space="preserve">Czerniak, R. (2001). Gender-based differences in pharmacokinetics in laboratory animal models. </w:t>
      </w:r>
      <w:r w:rsidRPr="00203E27">
        <w:rPr>
          <w:i/>
          <w:iCs/>
        </w:rPr>
        <w:t>International journal of toxicology, 20(3), 161–163.</w:t>
      </w:r>
      <w:r w:rsidRPr="00203E27">
        <w:t> </w:t>
      </w:r>
    </w:p>
    <w:p w14:paraId="380A9FB7" w14:textId="77777777" w:rsidR="00203E27" w:rsidRPr="00203E27" w:rsidRDefault="00203E27" w:rsidP="00203E27">
      <w:pPr>
        <w:jc w:val="both"/>
      </w:pPr>
      <w:r w:rsidRPr="00203E27">
        <w:t xml:space="preserve">Dellinger, R. W., Garcia, A. M., &amp; Meyskens, F. L. (2014). Differences in the glucuronidation of resveratrol and pterostilbene: Altered enzyme specificity and potential gender differences. </w:t>
      </w:r>
      <w:r w:rsidRPr="00203E27">
        <w:rPr>
          <w:i/>
          <w:iCs/>
        </w:rPr>
        <w:t>Drug Metabolism and Pharmacokinetics, 29, 112–119.</w:t>
      </w:r>
      <w:r w:rsidRPr="00203E27">
        <w:t> </w:t>
      </w:r>
    </w:p>
    <w:p w14:paraId="0A9DFAF0" w14:textId="77777777" w:rsidR="00203E27" w:rsidRPr="00203E27" w:rsidRDefault="00203E27" w:rsidP="00203E27">
      <w:pPr>
        <w:jc w:val="both"/>
      </w:pPr>
      <w:r w:rsidRPr="00203E27">
        <w:t xml:space="preserve">Docherty, J. R., Stanford, S. C., Panattieri, R. A., Alexander, S. P., Cirino, G., George, C. H., . . . Ahluwalia, A. (2019). Sex: A change in our guidelines to authors to ensure that this is no longer an ignored experimental variable. </w:t>
      </w:r>
      <w:r w:rsidRPr="00203E27">
        <w:rPr>
          <w:i/>
          <w:iCs/>
        </w:rPr>
        <w:t>British journal of pharmacology, 176(21), 4081–4086.</w:t>
      </w:r>
      <w:r w:rsidRPr="00203E27">
        <w:t> </w:t>
      </w:r>
    </w:p>
    <w:p w14:paraId="69B0794A" w14:textId="77777777" w:rsidR="00203E27" w:rsidRPr="00203E27" w:rsidRDefault="00203E27" w:rsidP="00203E27">
      <w:pPr>
        <w:jc w:val="both"/>
      </w:pPr>
      <w:r w:rsidRPr="00203E27">
        <w:t xml:space="preserve">Eid, S. A., &amp; Feldman, E. L. (2021). Advances in diet-induced rodent models of metabolically acquired peripheral neuropathy. </w:t>
      </w:r>
      <w:r w:rsidRPr="00203E27">
        <w:rPr>
          <w:i/>
          <w:iCs/>
        </w:rPr>
        <w:t>Disease models &amp; mechanisms, 14(11)</w:t>
      </w:r>
      <w:r w:rsidRPr="00203E27">
        <w:t>. </w:t>
      </w:r>
    </w:p>
    <w:p w14:paraId="3229FD40" w14:textId="77777777" w:rsidR="00203E27" w:rsidRPr="00203E27" w:rsidRDefault="00203E27" w:rsidP="00203E27">
      <w:pPr>
        <w:jc w:val="both"/>
      </w:pPr>
      <w:r w:rsidRPr="00203E27">
        <w:t xml:space="preserve">Gogos, A., Ney, L. J., Seymour, N., Van Rheenen, T. E., &amp; Felmingham, K. L. (2019). Sex differences in schizophrenia, bipolar disorder, and post-traumatic stress disorder: Are gonadal hormones the link? </w:t>
      </w:r>
      <w:r w:rsidRPr="00203E27">
        <w:rPr>
          <w:i/>
          <w:iCs/>
        </w:rPr>
        <w:t>British Journal of Pharmacology</w:t>
      </w:r>
      <w:r w:rsidRPr="00203E27">
        <w:t>. </w:t>
      </w:r>
    </w:p>
    <w:p w14:paraId="0FE55346" w14:textId="77777777" w:rsidR="00203E27" w:rsidRPr="00203E27" w:rsidRDefault="00203E27" w:rsidP="00203E27">
      <w:pPr>
        <w:jc w:val="both"/>
      </w:pPr>
      <w:r w:rsidRPr="00203E27">
        <w:t xml:space="preserve">Jones, C. E., &amp; Monfils, M.-H. (2016). Dominance status predicts social fear transmission in laboratory rats. </w:t>
      </w:r>
      <w:r w:rsidRPr="00203E27">
        <w:rPr>
          <w:i/>
          <w:iCs/>
        </w:rPr>
        <w:t>Anim Cogn. 2016 Jul 13;19(6):1051–1069</w:t>
      </w:r>
      <w:r w:rsidRPr="00203E27">
        <w:t>. </w:t>
      </w:r>
    </w:p>
    <w:p w14:paraId="6BB861CB" w14:textId="77777777" w:rsidR="00203E27" w:rsidRPr="00203E27" w:rsidRDefault="00203E27" w:rsidP="00203E27">
      <w:pPr>
        <w:jc w:val="both"/>
      </w:pPr>
      <w:r w:rsidRPr="00203E27">
        <w:t xml:space="preserve">Justice, M. J. (2024). Sex matters in preclinical research. </w:t>
      </w:r>
      <w:r w:rsidRPr="00203E27">
        <w:rPr>
          <w:i/>
          <w:iCs/>
        </w:rPr>
        <w:t>Disease models &amp; mechanisms, 17(3)</w:t>
      </w:r>
      <w:r w:rsidRPr="00203E27">
        <w:t>.</w:t>
      </w:r>
    </w:p>
    <w:p w14:paraId="1B8C9FE2" w14:textId="77777777" w:rsidR="00203E27" w:rsidRPr="00203E27" w:rsidRDefault="00203E27" w:rsidP="00203E27">
      <w:pPr>
        <w:jc w:val="both"/>
      </w:pPr>
      <w:r w:rsidRPr="00203E27">
        <w:t xml:space="preserve">Karlsson, S. A., Haziri, K., Hansson, E., Kettunen, P., &amp; Westberg, L. (2015). Effects of sex and gonadectomy on social investigation and social recognition in mice. </w:t>
      </w:r>
      <w:r w:rsidRPr="00203E27">
        <w:rPr>
          <w:i/>
          <w:iCs/>
        </w:rPr>
        <w:t>BMC neuroscience, 16, 83</w:t>
      </w:r>
      <w:r w:rsidRPr="00203E27">
        <w:t>.</w:t>
      </w:r>
    </w:p>
    <w:p w14:paraId="7CDE73BE" w14:textId="77777777" w:rsidR="00203E27" w:rsidRPr="00203E27" w:rsidRDefault="00203E27" w:rsidP="00203E27">
      <w:pPr>
        <w:jc w:val="both"/>
      </w:pPr>
      <w:r w:rsidRPr="00203E27">
        <w:t xml:space="preserve">Karp, N. A., Berdoy, M., Gray, K., Hunt, L., Jennings, M., Kerton, A., . . . Well, S. (2025). The Sex Inclusive Research Framework to address sex bias in preclinical research proposals. </w:t>
      </w:r>
      <w:r w:rsidRPr="00203E27">
        <w:rPr>
          <w:i/>
          <w:iCs/>
        </w:rPr>
        <w:t>Nat Commun 16, 3763 (2025)</w:t>
      </w:r>
      <w:r w:rsidRPr="00203E27">
        <w:t>. </w:t>
      </w:r>
    </w:p>
    <w:p w14:paraId="7D0B4DA2" w14:textId="77777777" w:rsidR="00203E27" w:rsidRPr="00203E27" w:rsidRDefault="00203E27" w:rsidP="00203E27">
      <w:pPr>
        <w:jc w:val="both"/>
      </w:pPr>
      <w:r w:rsidRPr="00203E27">
        <w:t xml:space="preserve">Kundu, P., Paraiso, I. L., Choi, J., Miranda, C. L., Kioussi, C., Maier, C. S., . . . Raber, J. (2022). Xanthohumol improves cognition in farnesoid X receptor-deficient mice on a high-fat diet. </w:t>
      </w:r>
      <w:r w:rsidRPr="00203E27">
        <w:rPr>
          <w:i/>
          <w:iCs/>
        </w:rPr>
        <w:t>Disease models &amp; mechanisms, 15(11)</w:t>
      </w:r>
      <w:r w:rsidRPr="00203E27">
        <w:t>. </w:t>
      </w:r>
    </w:p>
    <w:p w14:paraId="35AE4BBE" w14:textId="77777777" w:rsidR="00203E27" w:rsidRPr="00203E27" w:rsidRDefault="00203E27" w:rsidP="00203E27">
      <w:pPr>
        <w:jc w:val="both"/>
      </w:pPr>
      <w:r w:rsidRPr="00203E27">
        <w:t xml:space="preserve">Orfanos, S., Jude, J., Deeney, B. T., Cao, G., Rastogi, D., van Zee, M., &amp; Panettieri, R. A. (2018). Obesity increases airway smooth muscle responses to contractile agonists. </w:t>
      </w:r>
      <w:r w:rsidRPr="00203E27">
        <w:rPr>
          <w:i/>
          <w:iCs/>
        </w:rPr>
        <w:t>American Journal of Physiology. Lung Cellular and Molecular Physiology, 315, L673–L681.</w:t>
      </w:r>
      <w:r w:rsidRPr="00203E27">
        <w:t> </w:t>
      </w:r>
    </w:p>
    <w:p w14:paraId="7A9C96A8" w14:textId="77777777" w:rsidR="00203E27" w:rsidRDefault="00203E27" w:rsidP="00203E27">
      <w:pPr>
        <w:jc w:val="both"/>
      </w:pPr>
      <w:r w:rsidRPr="00203E27">
        <w:t xml:space="preserve">Talley, S., Bonomo, R., Gavini, C., Hatahet, J., Gornick, E., Cook, T., . . . Mansuy-Aubert, V. (2022). Monitoring of inflammation using novel biosensor mouse model reveals tissue- and sex-specific responses to Western diet. </w:t>
      </w:r>
      <w:r w:rsidRPr="00203E27">
        <w:rPr>
          <w:i/>
          <w:iCs/>
        </w:rPr>
        <w:t>Disease models &amp; mechanisms, 15(6)</w:t>
      </w:r>
      <w:r w:rsidRPr="00203E27">
        <w:t xml:space="preserve">. </w:t>
      </w:r>
    </w:p>
    <w:p w14:paraId="3E2FD034" w14:textId="77777777" w:rsidR="00203E27" w:rsidRDefault="00203E27" w:rsidP="00203E27">
      <w:pPr>
        <w:jc w:val="both"/>
      </w:pPr>
    </w:p>
    <w:p w14:paraId="4FB39748" w14:textId="77777777" w:rsidR="00203E27" w:rsidRDefault="00203E27" w:rsidP="00203E27">
      <w:pPr>
        <w:jc w:val="both"/>
      </w:pPr>
    </w:p>
    <w:p w14:paraId="48554FDC" w14:textId="77777777" w:rsidR="00203E27" w:rsidRDefault="00203E27" w:rsidP="00203E27">
      <w:pPr>
        <w:jc w:val="both"/>
      </w:pPr>
    </w:p>
    <w:p w14:paraId="00BB2C27" w14:textId="77777777" w:rsidR="00203E27" w:rsidRDefault="00203E27" w:rsidP="00203E27">
      <w:pPr>
        <w:jc w:val="both"/>
      </w:pPr>
    </w:p>
    <w:p w14:paraId="466EA834" w14:textId="77777777" w:rsidR="00203E27" w:rsidRDefault="00203E27" w:rsidP="00203E27">
      <w:pPr>
        <w:jc w:val="both"/>
      </w:pPr>
    </w:p>
    <w:p w14:paraId="58536A6E" w14:textId="77777777" w:rsidR="00203E27" w:rsidRDefault="00203E27" w:rsidP="00203E27">
      <w:pPr>
        <w:jc w:val="both"/>
      </w:pPr>
    </w:p>
    <w:p w14:paraId="4631E539" w14:textId="77777777" w:rsidR="00203E27" w:rsidRPr="00203E27" w:rsidRDefault="00203E27" w:rsidP="00203E27">
      <w:pPr>
        <w:jc w:val="both"/>
      </w:pPr>
    </w:p>
    <w:p w14:paraId="644C94AE" w14:textId="77777777" w:rsidR="00203E27" w:rsidRPr="00203E27" w:rsidRDefault="00203E27" w:rsidP="00203E27">
      <w:pPr>
        <w:jc w:val="both"/>
      </w:pPr>
      <w:r w:rsidRPr="00203E27">
        <w:rPr>
          <w:b/>
          <w:bCs/>
        </w:rPr>
        <w:lastRenderedPageBreak/>
        <w:t>Surgery in fish: Fundamental principles and clinical applications</w:t>
      </w:r>
    </w:p>
    <w:p w14:paraId="757189A2" w14:textId="6C22775C" w:rsidR="00203E27" w:rsidRPr="00203E27" w:rsidRDefault="00203E27" w:rsidP="00203E27">
      <w:pPr>
        <w:jc w:val="both"/>
      </w:pPr>
      <w:r w:rsidRPr="00203E27">
        <w:t>Vasilakis Marios</w:t>
      </w:r>
      <w:r w:rsidRPr="00203E27">
        <w:rPr>
          <w:b/>
          <w:bCs/>
          <w:vertAlign w:val="superscript"/>
        </w:rPr>
        <w:t>1</w:t>
      </w:r>
      <w:r w:rsidRPr="00203E27">
        <w:t>, Karagiannis Dimitrios</w:t>
      </w:r>
      <w:r w:rsidRPr="00203E27">
        <w:rPr>
          <w:b/>
          <w:bCs/>
          <w:vertAlign w:val="superscript"/>
        </w:rPr>
        <w:t>2</w:t>
      </w:r>
    </w:p>
    <w:p w14:paraId="1FB9FA86" w14:textId="77777777" w:rsidR="00203E27" w:rsidRPr="00203E27" w:rsidRDefault="00203E27">
      <w:pPr>
        <w:numPr>
          <w:ilvl w:val="0"/>
          <w:numId w:val="80"/>
        </w:numPr>
        <w:jc w:val="both"/>
      </w:pPr>
      <w:r w:rsidRPr="00203E27">
        <w:t>Undergraduate student, Department of Veterinary Medicine, School of Health Sciences, Aristotle University of Thessaloniki</w:t>
      </w:r>
    </w:p>
    <w:p w14:paraId="3CCCA518" w14:textId="77777777" w:rsidR="00203E27" w:rsidRPr="00203E27" w:rsidRDefault="00203E27">
      <w:pPr>
        <w:numPr>
          <w:ilvl w:val="0"/>
          <w:numId w:val="80"/>
        </w:numPr>
        <w:jc w:val="both"/>
      </w:pPr>
      <w:r w:rsidRPr="00203E27">
        <w:t>Assistant Professor, Laboratory of Aquaculture and Aquatic Animals Diseases, Department of Veterinary Medicine, School of Health Sciences, Aristotle University of Thessaloniki</w:t>
      </w:r>
    </w:p>
    <w:p w14:paraId="11E66F53" w14:textId="77777777" w:rsidR="00203E27" w:rsidRPr="00203E27" w:rsidRDefault="00203E27" w:rsidP="00203E27">
      <w:pPr>
        <w:jc w:val="both"/>
      </w:pPr>
    </w:p>
    <w:p w14:paraId="50498251" w14:textId="77777777" w:rsidR="00203E27" w:rsidRPr="00203E27" w:rsidRDefault="00203E27" w:rsidP="00203E27">
      <w:pPr>
        <w:jc w:val="both"/>
      </w:pPr>
      <w:r w:rsidRPr="00203E27">
        <w:rPr>
          <w:b/>
          <w:bCs/>
        </w:rPr>
        <w:t>Abstract</w:t>
      </w:r>
    </w:p>
    <w:p w14:paraId="2F193BFD" w14:textId="77777777" w:rsidR="00203E27" w:rsidRPr="00203E27" w:rsidRDefault="00203E27" w:rsidP="00203E27">
      <w:pPr>
        <w:jc w:val="both"/>
      </w:pPr>
      <w:r w:rsidRPr="00203E27">
        <w:t>Fish surgery is a rapidly evolving field within aquatic animal medicine, with significant applications in clinical practice, research and biodiversity conservation. Surgical interventions require a specialized approach tailored to the unique anatomical and physiological characteristics of fish. Proper preoperative preparation, preservation of tissue hydration and the use of appropriate surgical equipment are critical factors for successful outcomes. In addition, the selection of sutures and closure techniques plays a key role in wound healing and infection prevention. Common procedures, such as mass removal, exploratory coeliotomy and ophthalmic surgery are performed for both diagnostic and therapeutic purposes. Particular emphasis is placed on minimizing stress and preventing postoperative complications in order to ensure survival and promote the welfare of aquatic patients.</w:t>
      </w:r>
    </w:p>
    <w:p w14:paraId="761F1539" w14:textId="77777777" w:rsidR="00203E27" w:rsidRPr="00203E27" w:rsidRDefault="00203E27" w:rsidP="00203E27">
      <w:pPr>
        <w:jc w:val="both"/>
      </w:pPr>
    </w:p>
    <w:p w14:paraId="01AC2CB5" w14:textId="0149E41D" w:rsidR="00203E27" w:rsidRPr="00203E27" w:rsidRDefault="00203E27" w:rsidP="00203E27">
      <w:pPr>
        <w:jc w:val="both"/>
      </w:pPr>
      <w:r w:rsidRPr="00203E27">
        <w:rPr>
          <w:b/>
          <w:bCs/>
        </w:rPr>
        <w:t>Bibliography</w:t>
      </w:r>
    </w:p>
    <w:p w14:paraId="453BC976" w14:textId="77777777" w:rsidR="00203E27" w:rsidRPr="00203E27" w:rsidRDefault="00203E27" w:rsidP="00203E27">
      <w:pPr>
        <w:jc w:val="both"/>
      </w:pPr>
      <w:r w:rsidRPr="00203E27">
        <w:t xml:space="preserve">Avery, Bennett R, and Geoffrey W Pye. </w:t>
      </w:r>
      <w:r w:rsidRPr="00203E27">
        <w:rPr>
          <w:i/>
          <w:iCs/>
        </w:rPr>
        <w:t>Surgery of Exotic Animals</w:t>
      </w:r>
      <w:r w:rsidRPr="00203E27">
        <w:t>. Hoboken, Nj, John Wiley &amp; Sons, Inc, 2022.</w:t>
      </w:r>
    </w:p>
    <w:p w14:paraId="21AC8611" w14:textId="77777777" w:rsidR="00203E27" w:rsidRPr="00203E27" w:rsidRDefault="00203E27" w:rsidP="00203E27">
      <w:pPr>
        <w:jc w:val="both"/>
      </w:pPr>
      <w:r w:rsidRPr="00203E27">
        <w:t>Harms CA. Surgery in fish research: common procedures and postoperative care. Lab Anim (NY). 2005 Jan;34(1):28-34. </w:t>
      </w:r>
    </w:p>
    <w:p w14:paraId="72A00E9E" w14:textId="77777777" w:rsidR="00203E27" w:rsidRPr="00203E27" w:rsidRDefault="00203E27" w:rsidP="00203E27">
      <w:pPr>
        <w:jc w:val="both"/>
      </w:pPr>
      <w:r w:rsidRPr="00203E27">
        <w:t>Michael J. Murray, Fish surgery, Seminars in Avian and Exotic Pet Medicine, Volume 11, Issue 4, 2002, Pages 246-257, ISSN 1055-937X, </w:t>
      </w:r>
    </w:p>
    <w:p w14:paraId="015DB871" w14:textId="77777777" w:rsidR="00203E27" w:rsidRDefault="00203E27" w:rsidP="00203E27">
      <w:pPr>
        <w:jc w:val="both"/>
      </w:pPr>
      <w:r w:rsidRPr="00203E27">
        <w:rPr>
          <w:rFonts w:ascii="Malgun Gothic" w:eastAsia="Malgun Gothic" w:hAnsi="Malgun Gothic" w:cs="Malgun Gothic" w:hint="eastAsia"/>
        </w:rPr>
        <w:t>저자</w:t>
      </w:r>
      <w:r w:rsidRPr="00203E27">
        <w:t xml:space="preserve">: Catherine Hadfield, and Leigh Clayton. </w:t>
      </w:r>
      <w:r w:rsidRPr="00203E27">
        <w:rPr>
          <w:i/>
          <w:iCs/>
        </w:rPr>
        <w:t>Clinical Guide to Fish Medicine</w:t>
      </w:r>
      <w:r w:rsidRPr="00203E27">
        <w:t xml:space="preserve">. </w:t>
      </w:r>
      <w:r w:rsidRPr="00203E27">
        <w:rPr>
          <w:rFonts w:ascii="Malgun Gothic" w:eastAsia="Malgun Gothic" w:hAnsi="Malgun Gothic" w:cs="Malgun Gothic" w:hint="eastAsia"/>
        </w:rPr>
        <w:t>출판사</w:t>
      </w:r>
      <w:r w:rsidRPr="00203E27">
        <w:t>: Hoboken, Nj, John Wiley &amp; Sons, Inc, 2021.</w:t>
      </w:r>
    </w:p>
    <w:p w14:paraId="21CF4240" w14:textId="77777777" w:rsidR="00203E27" w:rsidRDefault="00203E27" w:rsidP="00203E27">
      <w:pPr>
        <w:jc w:val="both"/>
      </w:pPr>
    </w:p>
    <w:p w14:paraId="132EC194" w14:textId="77777777" w:rsidR="00203E27" w:rsidRDefault="00203E27" w:rsidP="00203E27">
      <w:pPr>
        <w:jc w:val="both"/>
      </w:pPr>
    </w:p>
    <w:p w14:paraId="3AA60C3D" w14:textId="77777777" w:rsidR="00203E27" w:rsidRDefault="00203E27" w:rsidP="00203E27">
      <w:pPr>
        <w:jc w:val="both"/>
      </w:pPr>
    </w:p>
    <w:p w14:paraId="4CBE965C" w14:textId="77777777" w:rsidR="00203E27" w:rsidRDefault="00203E27" w:rsidP="00203E27">
      <w:pPr>
        <w:jc w:val="both"/>
      </w:pPr>
    </w:p>
    <w:p w14:paraId="49F5C663" w14:textId="77777777" w:rsidR="00203E27" w:rsidRDefault="00203E27" w:rsidP="00203E27">
      <w:pPr>
        <w:jc w:val="both"/>
      </w:pPr>
    </w:p>
    <w:p w14:paraId="5257571B" w14:textId="77777777" w:rsidR="00203E27" w:rsidRDefault="00203E27" w:rsidP="00203E27">
      <w:pPr>
        <w:jc w:val="both"/>
      </w:pPr>
    </w:p>
    <w:p w14:paraId="194499A6" w14:textId="77777777" w:rsidR="00203E27" w:rsidRPr="00203E27" w:rsidRDefault="00203E27" w:rsidP="00203E27">
      <w:pPr>
        <w:jc w:val="both"/>
      </w:pPr>
    </w:p>
    <w:p w14:paraId="0379700A" w14:textId="77777777" w:rsidR="00203E27" w:rsidRPr="00203E27" w:rsidRDefault="00203E27" w:rsidP="00203E27">
      <w:pPr>
        <w:jc w:val="both"/>
      </w:pPr>
      <w:r w:rsidRPr="00203E27">
        <w:rPr>
          <w:b/>
          <w:bCs/>
        </w:rPr>
        <w:lastRenderedPageBreak/>
        <w:t>Practical anaesthetic toolkit for fish in small animal practise</w:t>
      </w:r>
    </w:p>
    <w:p w14:paraId="64CBF0D2" w14:textId="77777777" w:rsidR="00203E27" w:rsidRPr="00203E27" w:rsidRDefault="00203E27" w:rsidP="00203E27">
      <w:pPr>
        <w:jc w:val="both"/>
      </w:pPr>
      <w:r w:rsidRPr="00203E27">
        <w:t> Nasiopoulou Theodora</w:t>
      </w:r>
      <w:r w:rsidRPr="00203E27">
        <w:rPr>
          <w:vertAlign w:val="superscript"/>
        </w:rPr>
        <w:t>1</w:t>
      </w:r>
      <w:r w:rsidRPr="00203E27">
        <w:t>, Karagiannis Dimitrios</w:t>
      </w:r>
      <w:r w:rsidRPr="00203E27">
        <w:rPr>
          <w:vertAlign w:val="superscript"/>
        </w:rPr>
        <w:t>2</w:t>
      </w:r>
    </w:p>
    <w:p w14:paraId="7EE28EAC" w14:textId="77777777" w:rsidR="00203E27" w:rsidRPr="00203E27" w:rsidRDefault="00203E27">
      <w:pPr>
        <w:numPr>
          <w:ilvl w:val="0"/>
          <w:numId w:val="81"/>
        </w:numPr>
        <w:jc w:val="both"/>
      </w:pPr>
      <w:r w:rsidRPr="00203E27">
        <w:t>Undergraduate student, Department of Veterinary Medicine, School oh Health Sciences, Aristotle University of Thessaloniki </w:t>
      </w:r>
    </w:p>
    <w:p w14:paraId="54884A07" w14:textId="77777777" w:rsidR="00203E27" w:rsidRPr="00203E27" w:rsidRDefault="00203E27">
      <w:pPr>
        <w:numPr>
          <w:ilvl w:val="0"/>
          <w:numId w:val="81"/>
        </w:numPr>
        <w:jc w:val="both"/>
      </w:pPr>
      <w:r w:rsidRPr="00203E27">
        <w:t>Assistant professor, Department of Veterinary Medicine, Laboratory of Aquaculture and Aquatic Animal Diseases</w:t>
      </w:r>
    </w:p>
    <w:p w14:paraId="0B8CDDF7" w14:textId="77777777" w:rsidR="00203E27" w:rsidRPr="00203E27" w:rsidRDefault="00203E27" w:rsidP="00203E27">
      <w:pPr>
        <w:jc w:val="both"/>
      </w:pPr>
    </w:p>
    <w:p w14:paraId="362C0407" w14:textId="77777777" w:rsidR="00203E27" w:rsidRPr="00203E27" w:rsidRDefault="00203E27" w:rsidP="00203E27">
      <w:pPr>
        <w:jc w:val="both"/>
      </w:pPr>
      <w:r w:rsidRPr="00203E27">
        <w:rPr>
          <w:b/>
          <w:bCs/>
        </w:rPr>
        <w:t>Abstract</w:t>
      </w:r>
    </w:p>
    <w:p w14:paraId="51A35C54" w14:textId="06316103" w:rsidR="00203E27" w:rsidRPr="00203E27" w:rsidRDefault="00203E27" w:rsidP="00203E27">
      <w:pPr>
        <w:jc w:val="both"/>
      </w:pPr>
      <w:r w:rsidRPr="00203E27">
        <w:t>The knowledge of anaesthetic drugs and their usage is a cornerstone in small animal practise for every veterinarian. There are many difficulties around anaesthesia, and this is the reason why new guidelines should be introduced whenever possible. Before immersing anaesthesia, it is crucial to establish excellent water conditions for fish (temperature, pH, dissolved oxygen) and choose the appropriate anaesthetic drug. In veterinary clinics there is a variety of available drugs (propofol, ketamine, midazolam) for small animals’ anaesthesia but as it comes to fish there are different choices with better results for onset anaesthesia, duration and recovery. The most widespread are tricaine (MS-222), 2-phenoxyethanol, etomidate and eugenol and their advantages will be explained. Anaesthesia is generally used in many cases from light sedation and loss of reflex activity to total loss of equilibrium in order to perform a variety of tasks such as vaccination, tagging, transportation and samples collection even performing specific surgeries is sometimes needed. Considering all the above, the management of water conditions, the advantages of the described anaesthetic substances and the needs of fish will form a practical toolkit with the necessary equipment to provide support to the veterinarians who will be asked to handle a different than usual case. </w:t>
      </w:r>
    </w:p>
    <w:p w14:paraId="0319EFEA" w14:textId="77777777" w:rsidR="00203E27" w:rsidRPr="00203E27" w:rsidRDefault="00203E27" w:rsidP="00203E27">
      <w:pPr>
        <w:jc w:val="both"/>
      </w:pPr>
    </w:p>
    <w:p w14:paraId="15159EFB" w14:textId="77777777" w:rsidR="00203E27" w:rsidRPr="00203E27" w:rsidRDefault="00203E27" w:rsidP="00203E27">
      <w:pPr>
        <w:jc w:val="both"/>
      </w:pPr>
      <w:r w:rsidRPr="00203E27">
        <w:rPr>
          <w:b/>
          <w:bCs/>
        </w:rPr>
        <w:t>Bibliography</w:t>
      </w:r>
    </w:p>
    <w:p w14:paraId="7980B4C9" w14:textId="77777777" w:rsidR="00203E27" w:rsidRPr="00203E27" w:rsidRDefault="00203E27" w:rsidP="00203E27">
      <w:pPr>
        <w:jc w:val="both"/>
      </w:pPr>
      <w:r w:rsidRPr="00203E27">
        <w:t>Ackerman P, Morgan J, &amp; Iwama G (2005). Anesthetics. CCAC guidelines on: The care and use of fish in research, teaching and testing. Altun T, Danabas D. Effects of short and long exposure to the anesthetic 2-phenoxyethanol mixed with ethyl alcohol on common carp (Cyprinus carpio L., 1758) fingerlings.</w:t>
      </w:r>
    </w:p>
    <w:p w14:paraId="59A47D4D" w14:textId="77777777" w:rsidR="00203E27" w:rsidRPr="00203E27" w:rsidRDefault="00203E27" w:rsidP="00203E27">
      <w:pPr>
        <w:jc w:val="both"/>
      </w:pPr>
      <w:r w:rsidRPr="00203E27">
        <w:t>Anaesthesia and Analgesia, A10, Donald L. Neiffer, National Zoological Park, Washington DC, USA</w:t>
      </w:r>
    </w:p>
    <w:p w14:paraId="2FED35CF" w14:textId="4C31466E" w:rsidR="00E84E15" w:rsidRDefault="00203E27" w:rsidP="00203E27">
      <w:pPr>
        <w:jc w:val="both"/>
      </w:pPr>
      <w:r w:rsidRPr="00203E27">
        <w:br/>
      </w:r>
    </w:p>
    <w:p w14:paraId="1967CA65" w14:textId="77777777" w:rsidR="00E84E15" w:rsidRDefault="00E84E15">
      <w:r>
        <w:br w:type="page"/>
      </w:r>
    </w:p>
    <w:p w14:paraId="1DA8F161" w14:textId="77777777" w:rsidR="00E84E15" w:rsidRPr="00E84E15" w:rsidRDefault="00E84E15" w:rsidP="00E84E15">
      <w:pPr>
        <w:jc w:val="both"/>
      </w:pPr>
      <w:r w:rsidRPr="00E84E15">
        <w:rPr>
          <w:b/>
          <w:bCs/>
        </w:rPr>
        <w:lastRenderedPageBreak/>
        <w:t>Artificial Intelligence (A.I.) in Renal Ultrasonography: A Comparative Study of Available Techniques and Methods</w:t>
      </w:r>
    </w:p>
    <w:p w14:paraId="7540E9DB" w14:textId="77777777" w:rsidR="00E84E15" w:rsidRPr="00E84E15" w:rsidRDefault="00E84E15" w:rsidP="00E84E15">
      <w:pPr>
        <w:jc w:val="both"/>
      </w:pPr>
      <w:r w:rsidRPr="00E84E15">
        <w:t>Panteras Evangelos</w:t>
      </w:r>
      <w:r w:rsidRPr="00E84E15">
        <w:rPr>
          <w:vertAlign w:val="superscript"/>
        </w:rPr>
        <w:t>1</w:t>
      </w:r>
      <w:r w:rsidRPr="00E84E15">
        <w:t>, Barbagianni Mariana</w:t>
      </w:r>
      <w:r w:rsidRPr="00E84E15">
        <w:rPr>
          <w:vertAlign w:val="superscript"/>
        </w:rPr>
        <w:t>2</w:t>
      </w:r>
      <w:r w:rsidRPr="00E84E15">
        <w:t>, Karatrantos T. Anargyros</w:t>
      </w:r>
      <w:r w:rsidRPr="00E84E15">
        <w:rPr>
          <w:vertAlign w:val="superscript"/>
        </w:rPr>
        <w:t>3</w:t>
      </w:r>
    </w:p>
    <w:p w14:paraId="56586BAC" w14:textId="77777777" w:rsidR="00E84E15" w:rsidRPr="00E84E15" w:rsidRDefault="00E84E15">
      <w:pPr>
        <w:numPr>
          <w:ilvl w:val="0"/>
          <w:numId w:val="82"/>
        </w:numPr>
        <w:jc w:val="both"/>
      </w:pPr>
      <w:r w:rsidRPr="00E84E15">
        <w:t>Undergraduate Student, Department of Veterinary Medicine, School of Health Sciences, University of Thessaly</w:t>
      </w:r>
    </w:p>
    <w:p w14:paraId="19277BBB" w14:textId="77777777" w:rsidR="00E84E15" w:rsidRPr="00E84E15" w:rsidRDefault="00E84E15">
      <w:pPr>
        <w:numPr>
          <w:ilvl w:val="0"/>
          <w:numId w:val="82"/>
        </w:numPr>
        <w:jc w:val="both"/>
      </w:pPr>
      <w:r w:rsidRPr="00E84E15">
        <w:t>Associate Professor of Veterinary Diagnostic Imaging, Department of Veterinary Medicine, School of Health Sciences, University of Thessaly</w:t>
      </w:r>
    </w:p>
    <w:p w14:paraId="1AC26B09" w14:textId="77777777" w:rsidR="00E84E15" w:rsidRDefault="00E84E15">
      <w:pPr>
        <w:numPr>
          <w:ilvl w:val="0"/>
          <w:numId w:val="82"/>
        </w:numPr>
        <w:jc w:val="both"/>
      </w:pPr>
      <w:r w:rsidRPr="00E84E15">
        <w:t>PhD Candidate in Diagnostic Imaging, Department of Veterinary Medicine, School of Health Sciences, University of Thessaly</w:t>
      </w:r>
    </w:p>
    <w:p w14:paraId="0BDD03BD" w14:textId="77777777" w:rsidR="00E84E15" w:rsidRPr="00E84E15" w:rsidRDefault="00E84E15" w:rsidP="00E84E15">
      <w:pPr>
        <w:ind w:left="720"/>
        <w:jc w:val="both"/>
      </w:pPr>
    </w:p>
    <w:p w14:paraId="2F90F14B" w14:textId="77777777" w:rsidR="00E84E15" w:rsidRPr="00E84E15" w:rsidRDefault="00E84E15" w:rsidP="00E84E15">
      <w:pPr>
        <w:jc w:val="both"/>
      </w:pPr>
      <w:r w:rsidRPr="00E84E15">
        <w:rPr>
          <w:b/>
          <w:bCs/>
        </w:rPr>
        <w:t>Abstract</w:t>
      </w:r>
    </w:p>
    <w:p w14:paraId="6685867D" w14:textId="77777777" w:rsidR="00E84E15" w:rsidRDefault="00E84E15" w:rsidP="00E84E15">
      <w:pPr>
        <w:jc w:val="both"/>
      </w:pPr>
      <w:r w:rsidRPr="00E84E15">
        <w:t>Ultrasonography constitutes a rapid, non-invasive and relatively cost-effective imaging method. It generates in real-time two-dimensional images (ultrasonographic sections) based on the reflection and scattering of sound waves by tissues with different acoustic impedance. During the ultrasonographic examination of the kidney, parameters such as the architectural structure, shape, and size of the kidney, vascularization, the echogenicity of the renal cortex and medulla, as well as the dimensions of the renal pelvis are evaluated. This allows for the identification of pathological conditions such as nephrolithiasis, hydronephrosis, pyelonephritis, atrophy – renal failure, glomerulonephritis, interstitial nephritis, nephrocalcinosis, infarcts, neoplasms, and cysts. The application of Artificial Intelligence (A.I.) methods in medical science is steadily increasing. In ultrasonography, it represents an innovation that can potentially enhance diagnostic accuracy; however, it should be used with caution, especially if the reliability of the respective models has not been documented in veterinary science. The aim of the present study is the statistical analysis of the reliability of available A.I. models in the correct evaluation of ultrasonographic images of canine and feline kidneys, and the highlighting of risks arising from their indiscriminate use in supporting clinical decisions.</w:t>
      </w:r>
    </w:p>
    <w:p w14:paraId="494DD15E" w14:textId="77777777" w:rsidR="00E84E15" w:rsidRPr="00E84E15" w:rsidRDefault="00E84E15" w:rsidP="00E84E15">
      <w:pPr>
        <w:jc w:val="both"/>
      </w:pPr>
    </w:p>
    <w:p w14:paraId="2B8544C0" w14:textId="77777777" w:rsidR="00E84E15" w:rsidRPr="00E84E15" w:rsidRDefault="00E84E15" w:rsidP="00E84E15">
      <w:pPr>
        <w:jc w:val="both"/>
      </w:pPr>
      <w:r w:rsidRPr="00E84E15">
        <w:rPr>
          <w:b/>
          <w:bCs/>
        </w:rPr>
        <w:t>Bibliography</w:t>
      </w:r>
    </w:p>
    <w:p w14:paraId="6E5CDFEF" w14:textId="4965E993" w:rsidR="00E84E15" w:rsidRPr="00E84E15" w:rsidRDefault="00E84E15" w:rsidP="00E84E15">
      <w:pPr>
        <w:jc w:val="both"/>
      </w:pPr>
      <w:r w:rsidRPr="00E84E15">
        <w:t xml:space="preserve">Berry, C. R., Nelson, N. C., &amp; Winter, M. D. (Eds.). (2023). </w:t>
      </w:r>
      <w:r w:rsidRPr="00E84E15">
        <w:rPr>
          <w:i/>
          <w:iCs/>
        </w:rPr>
        <w:t>Atlas of small animal diagnostic imaging</w:t>
      </w:r>
      <w:r w:rsidRPr="00E84E15">
        <w:t>. John Wiley &amp; Sons.</w:t>
      </w:r>
    </w:p>
    <w:p w14:paraId="52BFC954" w14:textId="65BE91DA" w:rsidR="00E84E15" w:rsidRPr="00E84E15" w:rsidRDefault="00E84E15" w:rsidP="00E84E15">
      <w:pPr>
        <w:jc w:val="both"/>
      </w:pPr>
      <w:r w:rsidRPr="00E84E15">
        <w:t xml:space="preserve">Elliott, J., Grauer, G. F., &amp; Westropp, J. L. (Eds.). (2017). </w:t>
      </w:r>
      <w:r w:rsidRPr="00E84E15">
        <w:rPr>
          <w:i/>
          <w:iCs/>
        </w:rPr>
        <w:t>BSAVA manual of canine and feline nephrology and urology</w:t>
      </w:r>
      <w:r w:rsidRPr="00E84E15">
        <w:t xml:space="preserve"> (3rd ed.). British Small Animal Veterinary Association.</w:t>
      </w:r>
    </w:p>
    <w:p w14:paraId="405C7C75" w14:textId="5AEE5626" w:rsidR="00E84E15" w:rsidRPr="00E84E15" w:rsidRDefault="00E84E15" w:rsidP="00E84E15">
      <w:pPr>
        <w:jc w:val="both"/>
      </w:pPr>
      <w:r w:rsidRPr="00E84E15">
        <w:t xml:space="preserve">König, H. E., &amp; Liebich, H.-G. (Eds.). (2020). </w:t>
      </w:r>
      <w:r w:rsidRPr="00E84E15">
        <w:rPr>
          <w:i/>
          <w:iCs/>
        </w:rPr>
        <w:t>Veterinary anatomy of domestic animals: Textbook and colour atlas</w:t>
      </w:r>
      <w:r w:rsidRPr="00E84E15">
        <w:t xml:space="preserve"> (7</w:t>
      </w:r>
      <w:r w:rsidRPr="00E84E15">
        <w:rPr>
          <w:vertAlign w:val="superscript"/>
        </w:rPr>
        <w:t>th</w:t>
      </w:r>
      <w:r w:rsidRPr="00E84E15">
        <w:t xml:space="preserve"> ed.). Georg Thieme Verlag.</w:t>
      </w:r>
    </w:p>
    <w:p w14:paraId="371F5E02" w14:textId="77777777" w:rsidR="00E84E15" w:rsidRDefault="00E84E15" w:rsidP="00E84E15">
      <w:pPr>
        <w:jc w:val="both"/>
      </w:pPr>
      <w:r w:rsidRPr="00E84E15">
        <w:t xml:space="preserve">Lisciandro, G. R. (Ed.). (2014). </w:t>
      </w:r>
      <w:r w:rsidRPr="00E84E15">
        <w:rPr>
          <w:i/>
          <w:iCs/>
        </w:rPr>
        <w:t>Focused ultrasound techniques for the small animal practitioner.</w:t>
      </w:r>
      <w:r w:rsidRPr="00E84E15">
        <w:t xml:space="preserve"> Wiley-Blackwell.</w:t>
      </w:r>
    </w:p>
    <w:p w14:paraId="3814DA3E" w14:textId="77777777" w:rsidR="00E84E15" w:rsidRDefault="00E84E15" w:rsidP="00E84E15">
      <w:pPr>
        <w:jc w:val="both"/>
      </w:pPr>
    </w:p>
    <w:p w14:paraId="4B6246E7" w14:textId="77777777" w:rsidR="00E84E15" w:rsidRDefault="00E84E15" w:rsidP="00E84E15">
      <w:pPr>
        <w:jc w:val="both"/>
      </w:pPr>
    </w:p>
    <w:p w14:paraId="7D7C0592" w14:textId="77777777" w:rsidR="00E84E15" w:rsidRPr="00E84E15" w:rsidRDefault="00E84E15" w:rsidP="00E84E15">
      <w:pPr>
        <w:jc w:val="both"/>
      </w:pPr>
    </w:p>
    <w:p w14:paraId="496653D5" w14:textId="77777777" w:rsidR="00E84E15" w:rsidRPr="00E84E15" w:rsidRDefault="00E84E15" w:rsidP="00E84E15">
      <w:pPr>
        <w:jc w:val="both"/>
      </w:pPr>
      <w:r w:rsidRPr="00E84E15">
        <w:rPr>
          <w:b/>
          <w:bCs/>
        </w:rPr>
        <w:lastRenderedPageBreak/>
        <w:t>Modern Imaging Indices in Canine Cardiology: RPAD, LADi, and VLAS</w:t>
      </w:r>
    </w:p>
    <w:p w14:paraId="75AAFBCD" w14:textId="77777777" w:rsidR="00E84E15" w:rsidRPr="00E84E15" w:rsidRDefault="00E84E15" w:rsidP="00E84E15">
      <w:pPr>
        <w:jc w:val="both"/>
      </w:pPr>
      <w:r w:rsidRPr="00E84E15">
        <w:t>Paschali Styliani</w:t>
      </w:r>
      <w:r w:rsidRPr="00E84E15">
        <w:rPr>
          <w:vertAlign w:val="superscript"/>
        </w:rPr>
        <w:t>1</w:t>
      </w:r>
      <w:r w:rsidRPr="00E84E15">
        <w:t>, Skampas Nikitas-Myronas</w:t>
      </w:r>
      <w:r w:rsidRPr="00E84E15">
        <w:rPr>
          <w:vertAlign w:val="superscript"/>
        </w:rPr>
        <w:t>1</w:t>
      </w:r>
      <w:r w:rsidRPr="00E84E15">
        <w:t>, Stavridis Fotios</w:t>
      </w:r>
      <w:r w:rsidRPr="00E84E15">
        <w:rPr>
          <w:vertAlign w:val="superscript"/>
        </w:rPr>
        <w:t>1</w:t>
      </w:r>
      <w:r w:rsidRPr="00E84E15">
        <w:t>, Koutinas Christos</w:t>
      </w:r>
      <w:r w:rsidRPr="00E84E15">
        <w:rPr>
          <w:vertAlign w:val="superscript"/>
        </w:rPr>
        <w:t>2</w:t>
      </w:r>
    </w:p>
    <w:p w14:paraId="3B8AD71E" w14:textId="77777777" w:rsidR="00E84E15" w:rsidRPr="00E84E15" w:rsidRDefault="00E84E15">
      <w:pPr>
        <w:numPr>
          <w:ilvl w:val="0"/>
          <w:numId w:val="83"/>
        </w:numPr>
        <w:jc w:val="both"/>
      </w:pPr>
      <w:r w:rsidRPr="00E84E15">
        <w:t>Undergraduate student, Department of Veterinary Medicine, School of Health Sciences, Aristotle University of Thessaloniki</w:t>
      </w:r>
    </w:p>
    <w:p w14:paraId="586B6640" w14:textId="77777777" w:rsidR="00E84E15" w:rsidRDefault="00E84E15">
      <w:pPr>
        <w:numPr>
          <w:ilvl w:val="0"/>
          <w:numId w:val="83"/>
        </w:numPr>
        <w:jc w:val="both"/>
      </w:pPr>
      <w:r w:rsidRPr="00E84E15">
        <w:t>Associate Professor, Department of Veterinary Medicine, School of Health Sciences, Aristotle University of Thessaloniki</w:t>
      </w:r>
    </w:p>
    <w:p w14:paraId="73197EC9" w14:textId="77777777" w:rsidR="00E84E15" w:rsidRPr="00E84E15" w:rsidRDefault="00E84E15" w:rsidP="00E84E15">
      <w:pPr>
        <w:ind w:left="720"/>
        <w:jc w:val="both"/>
      </w:pPr>
    </w:p>
    <w:p w14:paraId="2B3E829D" w14:textId="77777777" w:rsidR="00E84E15" w:rsidRPr="00E84E15" w:rsidRDefault="00E84E15" w:rsidP="00E84E15">
      <w:pPr>
        <w:jc w:val="both"/>
      </w:pPr>
      <w:r w:rsidRPr="00E84E15">
        <w:rPr>
          <w:b/>
          <w:bCs/>
        </w:rPr>
        <w:t>Abstract</w:t>
      </w:r>
    </w:p>
    <w:p w14:paraId="182580F4" w14:textId="77777777" w:rsidR="00E84E15" w:rsidRDefault="00E84E15" w:rsidP="00E84E15">
      <w:pPr>
        <w:jc w:val="both"/>
      </w:pPr>
      <w:r w:rsidRPr="00E84E15">
        <w:t xml:space="preserve">The present study highlights the significance of modern imaging indices in evaluating cardiac function in dogs. The objective is to emphasize indices that offer objectivity and reproducibility in daily clinical practice, combining speed and ease of use. In terms of echocardiography, the </w:t>
      </w:r>
      <w:r w:rsidRPr="00E84E15">
        <w:rPr>
          <w:b/>
          <w:bCs/>
        </w:rPr>
        <w:t>Right Pulmonary Artery Distensibility (RPAD)</w:t>
      </w:r>
      <w:r w:rsidRPr="00E84E15">
        <w:t xml:space="preserve"> index, defined as the percentage change in the diameter of the right pulmonary artery between systole and diastole, serves as a valuable tool for diagnosing pulmonary hypertension. It provides diagnostic capability even in the absence of a measurable tricuspid regurgitation jet. Furthermore, the use of the </w:t>
      </w:r>
      <w:r w:rsidRPr="00E84E15">
        <w:rPr>
          <w:b/>
          <w:bCs/>
        </w:rPr>
        <w:t>Indexed Left Atrial Dimension (LADi)</w:t>
      </w:r>
      <w:r w:rsidRPr="00E84E15">
        <w:t xml:space="preserve"> is proposed as a more reliable alternative to the LA/Ao ratio for assessing left atrial size, as it demonstrates lower variability between measurements and a consistent allometric relationship with body weight. Finally, the radiographic index </w:t>
      </w:r>
      <w:r w:rsidRPr="00E84E15">
        <w:rPr>
          <w:b/>
          <w:bCs/>
        </w:rPr>
        <w:t>VLAS (Vertebral Left Atrial Size)</w:t>
      </w:r>
      <w:r w:rsidRPr="00E84E15">
        <w:t xml:space="preserve"> offers a quantitative method for evaluating atrial enlargement through thoracic radiography. With reference values exceeding 2.5 vertebrae, VLAS constitutes a robust indicator for diagnosing left atrial enlargement. These indices have the potential to enhance a clinician's diagnostic capacity by providing increased accuracy and limiting errors associated with the use of multiple measurements for calculating reference intervals.</w:t>
      </w:r>
    </w:p>
    <w:p w14:paraId="1166C46C" w14:textId="77777777" w:rsidR="00E84E15" w:rsidRPr="00E84E15" w:rsidRDefault="00E84E15" w:rsidP="00E84E15">
      <w:pPr>
        <w:jc w:val="both"/>
      </w:pPr>
    </w:p>
    <w:p w14:paraId="71D0C1CA" w14:textId="77777777" w:rsidR="00E84E15" w:rsidRPr="00E84E15" w:rsidRDefault="00E84E15" w:rsidP="00E84E15">
      <w:pPr>
        <w:jc w:val="both"/>
      </w:pPr>
      <w:r w:rsidRPr="00E84E15">
        <w:rPr>
          <w:b/>
          <w:bCs/>
        </w:rPr>
        <w:t>Bibliography</w:t>
      </w:r>
    </w:p>
    <w:p w14:paraId="6163DBE4" w14:textId="2E8A24B9" w:rsidR="00E84E15" w:rsidRPr="00E84E15" w:rsidRDefault="00E84E15" w:rsidP="00E84E15">
      <w:pPr>
        <w:jc w:val="both"/>
      </w:pPr>
      <w:r w:rsidRPr="00E84E15">
        <w:t xml:space="preserve">Baisan, R. A., &amp; Vulpe, V. (2025). </w:t>
      </w:r>
      <w:r w:rsidRPr="00E84E15">
        <w:rPr>
          <w:i/>
          <w:iCs/>
        </w:rPr>
        <w:t>Vertebral Heart Score and Vertebral Left Atrial Size as Radiographic Measurements for Cardiac Size in Dogs—A Literature Review.</w:t>
      </w:r>
      <w:r w:rsidRPr="00E84E15">
        <w:t> </w:t>
      </w:r>
      <w:r w:rsidRPr="00E84E15">
        <w:rPr>
          <w:i/>
          <w:iCs/>
        </w:rPr>
        <w:t>Animals</w:t>
      </w:r>
      <w:r w:rsidRPr="00E84E15">
        <w:t>, </w:t>
      </w:r>
      <w:r w:rsidRPr="00E84E15">
        <w:rPr>
          <w:i/>
          <w:iCs/>
        </w:rPr>
        <w:t>15</w:t>
      </w:r>
      <w:r w:rsidRPr="00E84E15">
        <w:t>(5), 683. </w:t>
      </w:r>
    </w:p>
    <w:p w14:paraId="0E3BB284" w14:textId="04AF9D9C" w:rsidR="00E84E15" w:rsidRPr="00E84E15" w:rsidRDefault="00E84E15" w:rsidP="00E84E15">
      <w:pPr>
        <w:jc w:val="both"/>
      </w:pPr>
      <w:r w:rsidRPr="00E84E15">
        <w:t xml:space="preserve">Szatmári, V., Hofman, Z. M. M., van Bijsterveldt, N. J., Tellegen, A. R., &amp; Vilaplana Grosso, F. R. (2023). </w:t>
      </w:r>
      <w:r w:rsidRPr="00E84E15">
        <w:rPr>
          <w:i/>
          <w:iCs/>
        </w:rPr>
        <w:t>A Novel Standardized Method for Aiding to Determine Left Atrial Enlargement on Lateral Thoracic Radiographs in Dogs</w:t>
      </w:r>
      <w:r w:rsidRPr="00E84E15">
        <w:t>. </w:t>
      </w:r>
      <w:r w:rsidRPr="00E84E15">
        <w:rPr>
          <w:i/>
          <w:iCs/>
        </w:rPr>
        <w:t>Animals</w:t>
      </w:r>
      <w:r w:rsidRPr="00E84E15">
        <w:t>, </w:t>
      </w:r>
      <w:r w:rsidRPr="00E84E15">
        <w:rPr>
          <w:i/>
          <w:iCs/>
        </w:rPr>
        <w:t>13</w:t>
      </w:r>
      <w:r w:rsidRPr="00E84E15">
        <w:t>(13), 2178. </w:t>
      </w:r>
    </w:p>
    <w:p w14:paraId="568E71F5" w14:textId="603E1953" w:rsidR="00E84E15" w:rsidRPr="00E84E15" w:rsidRDefault="00E84E15" w:rsidP="00E84E15">
      <w:pPr>
        <w:jc w:val="both"/>
      </w:pPr>
      <w:r w:rsidRPr="00E84E15">
        <w:t xml:space="preserve">Akabane, R., Shimano, S., Sakatani, A., Ogawa, M., Nagakawa, M., Miyakawa, H., Miyagawa, Y., &amp; Takemura, N. (2019). </w:t>
      </w:r>
      <w:r w:rsidRPr="00E84E15">
        <w:rPr>
          <w:i/>
          <w:iCs/>
        </w:rPr>
        <w:t>Relationship between right heart echocardiographic parameters and invasive pulmonary artery pressures in canine models of chronic embolic pulmonary hypertension</w:t>
      </w:r>
      <w:r w:rsidRPr="00E84E15">
        <w:t xml:space="preserve">. </w:t>
      </w:r>
      <w:r w:rsidRPr="00E84E15">
        <w:rPr>
          <w:i/>
          <w:iCs/>
        </w:rPr>
        <w:t>Journal of Veterinary Medical Science</w:t>
      </w:r>
      <w:r w:rsidRPr="00E84E15">
        <w:t xml:space="preserve">, </w:t>
      </w:r>
      <w:r w:rsidRPr="00E84E15">
        <w:rPr>
          <w:i/>
          <w:iCs/>
        </w:rPr>
        <w:t>81</w:t>
      </w:r>
      <w:r w:rsidRPr="00E84E15">
        <w:t>(10), 1485–1491. </w:t>
      </w:r>
    </w:p>
    <w:p w14:paraId="48789A9F" w14:textId="495E7312" w:rsidR="00E84E15" w:rsidRPr="00E84E15" w:rsidRDefault="00E84E15" w:rsidP="00E84E15">
      <w:pPr>
        <w:jc w:val="both"/>
      </w:pPr>
      <w:r w:rsidRPr="00E84E15">
        <w:t>Grosso, G., Tognetti, R., Domenech, O., Della Pina, A., Marchesotti, F., Patata, V., &amp; Vezzosi, T. (2025).</w:t>
      </w:r>
      <w:r w:rsidRPr="00E84E15">
        <w:rPr>
          <w:i/>
          <w:iCs/>
        </w:rPr>
        <w:t xml:space="preserve"> Echocardiographic evaluation of the size of the main pulmonary artery and right pulmonary artery in dogs with pulmonary hypertension</w:t>
      </w:r>
      <w:r w:rsidRPr="00E84E15">
        <w:t xml:space="preserve">. </w:t>
      </w:r>
      <w:r w:rsidRPr="00E84E15">
        <w:rPr>
          <w:i/>
          <w:iCs/>
        </w:rPr>
        <w:t>Journal of Veterinary Internal Medicine</w:t>
      </w:r>
      <w:r w:rsidRPr="00E84E15">
        <w:t xml:space="preserve">, </w:t>
      </w:r>
      <w:r w:rsidRPr="00E84E15">
        <w:rPr>
          <w:i/>
          <w:iCs/>
        </w:rPr>
        <w:t>39</w:t>
      </w:r>
      <w:r w:rsidRPr="00E84E15">
        <w:t>(1), Article e17241. </w:t>
      </w:r>
    </w:p>
    <w:p w14:paraId="3D7100AC" w14:textId="47716549" w:rsidR="00E84E15" w:rsidRPr="00E84E15" w:rsidRDefault="00E84E15" w:rsidP="00E84E15">
      <w:pPr>
        <w:jc w:val="both"/>
      </w:pPr>
      <w:r w:rsidRPr="00E84E15">
        <w:t xml:space="preserve">Grosso, G., Tognetti, R., Domenech, O., Marchesotti, F., Patata, V., &amp; Vezzosi, T. (2023). </w:t>
      </w:r>
      <w:r w:rsidRPr="00E84E15">
        <w:rPr>
          <w:i/>
          <w:iCs/>
        </w:rPr>
        <w:t xml:space="preserve">Echocardiographic reference intervals of the dimensions of the main pulmonary artery and the </w:t>
      </w:r>
      <w:r w:rsidRPr="00E84E15">
        <w:rPr>
          <w:i/>
          <w:iCs/>
        </w:rPr>
        <w:lastRenderedPageBreak/>
        <w:t>right pulmonary artery: A prospective study in 269 healthy dogs.</w:t>
      </w:r>
      <w:r w:rsidRPr="00E84E15">
        <w:t xml:space="preserve"> </w:t>
      </w:r>
      <w:r w:rsidRPr="00E84E15">
        <w:rPr>
          <w:i/>
          <w:iCs/>
        </w:rPr>
        <w:t>Journal of Veterinary Cardiology</w:t>
      </w:r>
      <w:r w:rsidRPr="00E84E15">
        <w:t xml:space="preserve">, </w:t>
      </w:r>
      <w:r w:rsidRPr="00E84E15">
        <w:rPr>
          <w:i/>
          <w:iCs/>
        </w:rPr>
        <w:t>50</w:t>
      </w:r>
      <w:r w:rsidRPr="00E84E15">
        <w:t>, 29–38. </w:t>
      </w:r>
    </w:p>
    <w:p w14:paraId="5E6C63E4" w14:textId="64478300" w:rsidR="00E84E15" w:rsidRPr="00E84E15" w:rsidRDefault="00E84E15" w:rsidP="00E84E15">
      <w:pPr>
        <w:jc w:val="both"/>
      </w:pPr>
      <w:r w:rsidRPr="00E84E15">
        <w:t xml:space="preserve">Hsue, W., &amp; Visser, L. C. (2020). </w:t>
      </w:r>
      <w:r w:rsidRPr="00E84E15">
        <w:rPr>
          <w:i/>
          <w:iCs/>
        </w:rPr>
        <w:t>Reproducibility of echocardiographic indices of left atrial size in dogs with subclinical myxomatous mitral valve disease.</w:t>
      </w:r>
      <w:r w:rsidRPr="00E84E15">
        <w:t xml:space="preserve"> </w:t>
      </w:r>
      <w:r w:rsidRPr="00E84E15">
        <w:rPr>
          <w:i/>
          <w:iCs/>
        </w:rPr>
        <w:t>Journal of Veterinary Internal Medicine</w:t>
      </w:r>
      <w:r w:rsidRPr="00E84E15">
        <w:t xml:space="preserve">, </w:t>
      </w:r>
      <w:r w:rsidRPr="00E84E15">
        <w:rPr>
          <w:i/>
          <w:iCs/>
        </w:rPr>
        <w:t>34</w:t>
      </w:r>
      <w:r w:rsidRPr="00E84E15">
        <w:t xml:space="preserve">(5), 1779–1786. Marchesotti, F., Vezzosi, T., Tognetti, R., Marchetti, F., Patata, V., Contiero, B., Zini, E., &amp; Domenech, O. (2019). </w:t>
      </w:r>
      <w:r w:rsidRPr="00E84E15">
        <w:rPr>
          <w:i/>
          <w:iCs/>
        </w:rPr>
        <w:t>Left atrial anteroposterior diameter in dogs: Reference interval, allometric scaling, and agreement with the left atrial-to-aortic root ratio</w:t>
      </w:r>
      <w:r w:rsidRPr="00E84E15">
        <w:t xml:space="preserve">. </w:t>
      </w:r>
      <w:r w:rsidRPr="00E84E15">
        <w:rPr>
          <w:i/>
          <w:iCs/>
        </w:rPr>
        <w:t>Journal of Veterinary Medical Science</w:t>
      </w:r>
      <w:r w:rsidRPr="00E84E15">
        <w:t xml:space="preserve">, </w:t>
      </w:r>
      <w:r w:rsidRPr="00E84E15">
        <w:rPr>
          <w:i/>
          <w:iCs/>
        </w:rPr>
        <w:t>81</w:t>
      </w:r>
      <w:r w:rsidRPr="00E84E15">
        <w:t>(11), 1655–1662. </w:t>
      </w:r>
    </w:p>
    <w:p w14:paraId="7F1431F9" w14:textId="26797CE8" w:rsidR="00E84E15" w:rsidRPr="00E84E15" w:rsidRDefault="00E84E15" w:rsidP="00E84E15">
      <w:pPr>
        <w:jc w:val="both"/>
      </w:pPr>
      <w:r w:rsidRPr="00E84E15">
        <w:t xml:space="preserve">Matos, J. I., Caro-Vadillo, A., Mohr-Peraza, E., García-Rodríguez, S. N., Montoya-Alonso, J. A., &amp; Carretón, E. (2025). </w:t>
      </w:r>
      <w:r w:rsidRPr="00E84E15">
        <w:rPr>
          <w:i/>
          <w:iCs/>
        </w:rPr>
        <w:t>Comparative Echocardiographic Evaluation of Right Pulmonary Artery Dimensions and Right Pulmonary Artery Distensibility Index in Dogs with Heartworm Disease</w:t>
      </w:r>
      <w:r w:rsidRPr="00E84E15">
        <w:t>. </w:t>
      </w:r>
      <w:r w:rsidRPr="00E84E15">
        <w:rPr>
          <w:i/>
          <w:iCs/>
        </w:rPr>
        <w:t>Veterinary Sciences</w:t>
      </w:r>
      <w:r w:rsidRPr="00E84E15">
        <w:t>, </w:t>
      </w:r>
      <w:r w:rsidRPr="00E84E15">
        <w:rPr>
          <w:i/>
          <w:iCs/>
        </w:rPr>
        <w:t>12</w:t>
      </w:r>
      <w:r w:rsidRPr="00E84E15">
        <w:t>(3), 246. </w:t>
      </w:r>
    </w:p>
    <w:p w14:paraId="32EA276B" w14:textId="1DB984F5" w:rsidR="00E84E15" w:rsidRPr="00E84E15" w:rsidRDefault="00E84E15" w:rsidP="00E84E15">
      <w:pPr>
        <w:jc w:val="both"/>
      </w:pPr>
      <w:r w:rsidRPr="00E84E15">
        <w:t xml:space="preserve">Serrano-Parreño, B., Carretón, E., Caro-Vadillo, A., Falcón-Cordón, Y., Falcón-Cordón, S., &amp; Montoya-Alonso, J. A. (2017). </w:t>
      </w:r>
      <w:r w:rsidRPr="00E84E15">
        <w:rPr>
          <w:i/>
          <w:iCs/>
        </w:rPr>
        <w:t>Evaluation of pulmonary hypertension and clinical status in dogs with heartworm by Right Pulmonary Artery Distensibility Index and other echocardiographic parameters</w:t>
      </w:r>
      <w:r w:rsidRPr="00E84E15">
        <w:t xml:space="preserve">. </w:t>
      </w:r>
      <w:r w:rsidRPr="00E84E15">
        <w:rPr>
          <w:i/>
          <w:iCs/>
        </w:rPr>
        <w:t>Parasites &amp; Vectors</w:t>
      </w:r>
      <w:r w:rsidRPr="00E84E15">
        <w:t xml:space="preserve">, </w:t>
      </w:r>
      <w:r w:rsidRPr="00E84E15">
        <w:rPr>
          <w:i/>
          <w:iCs/>
        </w:rPr>
        <w:t>10</w:t>
      </w:r>
      <w:r w:rsidRPr="00E84E15">
        <w:t>(1), Article 106. </w:t>
      </w:r>
    </w:p>
    <w:p w14:paraId="2D718C56" w14:textId="712E7914" w:rsidR="00E84E15" w:rsidRPr="00E84E15" w:rsidRDefault="00E84E15" w:rsidP="00E84E15">
      <w:pPr>
        <w:jc w:val="both"/>
      </w:pPr>
      <w:r w:rsidRPr="00E84E15">
        <w:t xml:space="preserve">Venco, L., Mihaylova, L., &amp; Boon, J. A. (2014). Right Pulmonary Artery Distensibility Index (RPAD Index). </w:t>
      </w:r>
      <w:r w:rsidRPr="00E84E15">
        <w:rPr>
          <w:i/>
          <w:iCs/>
        </w:rPr>
        <w:t>A field study of an echocardiographic method to detect early development of pulmonary hypertension and its severity even in the absence of regurgitant jets for Doppler evaluation in heartworm-infected dogs</w:t>
      </w:r>
      <w:r w:rsidRPr="00E84E15">
        <w:t xml:space="preserve">. </w:t>
      </w:r>
      <w:r w:rsidRPr="00E84E15">
        <w:rPr>
          <w:i/>
          <w:iCs/>
        </w:rPr>
        <w:t>Veterinary Parasitology</w:t>
      </w:r>
      <w:r w:rsidRPr="00E84E15">
        <w:t xml:space="preserve">, </w:t>
      </w:r>
      <w:r w:rsidRPr="00E84E15">
        <w:rPr>
          <w:i/>
          <w:iCs/>
        </w:rPr>
        <w:t>206</w:t>
      </w:r>
      <w:r w:rsidRPr="00E84E15">
        <w:t>(1–2), 60–66. </w:t>
      </w:r>
    </w:p>
    <w:p w14:paraId="3B39F4F7" w14:textId="1EE7D872" w:rsidR="00E84E15" w:rsidRPr="00E84E15" w:rsidRDefault="00E84E15" w:rsidP="00E84E15">
      <w:pPr>
        <w:jc w:val="both"/>
      </w:pPr>
      <w:r w:rsidRPr="00E84E15">
        <w:t xml:space="preserve">Vezzosi, T., Domenech, O., Costa, G., Marchesotti, F., Venco, L., Zini, E., Fernández del Palacio, M. J., &amp; Tognetti, R. (2018). </w:t>
      </w:r>
      <w:r w:rsidRPr="00E84E15">
        <w:rPr>
          <w:i/>
          <w:iCs/>
        </w:rPr>
        <w:t>Echocardiographic evaluation of the right ventricular dimension and systolic function in dogs with pulmonary hypertension</w:t>
      </w:r>
      <w:r w:rsidRPr="00E84E15">
        <w:t xml:space="preserve">. </w:t>
      </w:r>
      <w:r w:rsidRPr="00E84E15">
        <w:rPr>
          <w:i/>
          <w:iCs/>
        </w:rPr>
        <w:t>Journal of Veterinary Internal Medicine</w:t>
      </w:r>
      <w:r w:rsidRPr="00E84E15">
        <w:t xml:space="preserve">, </w:t>
      </w:r>
      <w:r w:rsidRPr="00E84E15">
        <w:rPr>
          <w:i/>
          <w:iCs/>
        </w:rPr>
        <w:t>32</w:t>
      </w:r>
      <w:r w:rsidRPr="00E84E15">
        <w:t>(5), 1541–1548.</w:t>
      </w:r>
    </w:p>
    <w:p w14:paraId="397788C3" w14:textId="77777777" w:rsidR="00E84E15" w:rsidRPr="00E84E15" w:rsidRDefault="00E84E15" w:rsidP="00E84E15">
      <w:pPr>
        <w:jc w:val="both"/>
      </w:pPr>
      <w:r w:rsidRPr="00E84E15">
        <w:t xml:space="preserve">Visser, L. C., Im, M. K., Johnson, L. R., &amp; Stern, J. A. (2016). </w:t>
      </w:r>
      <w:r w:rsidRPr="00E84E15">
        <w:rPr>
          <w:i/>
          <w:iCs/>
        </w:rPr>
        <w:t>Diagnostic value of right pulmonary artery distensibility index in dogs with pulmonary hypertension: Comparison with Doppler echocardiographic estimates of pulmonary arterial pressure</w:t>
      </w:r>
      <w:r w:rsidRPr="00E84E15">
        <w:t xml:space="preserve">. </w:t>
      </w:r>
      <w:r w:rsidRPr="00E84E15">
        <w:rPr>
          <w:i/>
          <w:iCs/>
        </w:rPr>
        <w:t>Journal of Veterinary Internal Medicine</w:t>
      </w:r>
      <w:r w:rsidRPr="00E84E15">
        <w:t xml:space="preserve">, </w:t>
      </w:r>
      <w:r w:rsidRPr="00E84E15">
        <w:rPr>
          <w:i/>
          <w:iCs/>
        </w:rPr>
        <w:t>30</w:t>
      </w:r>
      <w:r w:rsidRPr="00E84E15">
        <w:t>(2), 543–552. </w:t>
      </w:r>
    </w:p>
    <w:p w14:paraId="6E97AF69" w14:textId="3F6761B5" w:rsidR="00E84E15" w:rsidRDefault="00E84E15">
      <w:r>
        <w:br w:type="page"/>
      </w:r>
    </w:p>
    <w:p w14:paraId="77D219D6" w14:textId="77777777" w:rsidR="00E84E15" w:rsidRPr="00E84E15" w:rsidRDefault="00E84E15" w:rsidP="00E84E15">
      <w:pPr>
        <w:jc w:val="both"/>
      </w:pPr>
      <w:r w:rsidRPr="00E84E15">
        <w:rPr>
          <w:b/>
          <w:bCs/>
        </w:rPr>
        <w:lastRenderedPageBreak/>
        <w:t>Beak and Feather Disease in Psittaciformes: Clinical Approach, Diagnostic Options, and Practical Management </w:t>
      </w:r>
    </w:p>
    <w:p w14:paraId="52361170" w14:textId="77777777" w:rsidR="00E84E15" w:rsidRPr="00E84E15" w:rsidRDefault="00E84E15" w:rsidP="00E84E15">
      <w:pPr>
        <w:jc w:val="both"/>
      </w:pPr>
      <w:r w:rsidRPr="00E84E15">
        <w:t>Kourantis Angelos</w:t>
      </w:r>
      <w:r w:rsidRPr="00E84E15">
        <w:rPr>
          <w:vertAlign w:val="superscript"/>
        </w:rPr>
        <w:t>1</w:t>
      </w:r>
      <w:r w:rsidRPr="00E84E15">
        <w:t>, Mantzios Telemachus</w:t>
      </w:r>
      <w:r w:rsidRPr="00E84E15">
        <w:rPr>
          <w:vertAlign w:val="superscript"/>
        </w:rPr>
        <w:t>2</w:t>
      </w:r>
      <w:r w:rsidRPr="00E84E15">
        <w:t>, Tsiouris Vasileios</w:t>
      </w:r>
      <w:r w:rsidRPr="00E84E15">
        <w:rPr>
          <w:vertAlign w:val="superscript"/>
        </w:rPr>
        <w:t>3</w:t>
      </w:r>
    </w:p>
    <w:p w14:paraId="7D399CE6" w14:textId="77777777" w:rsidR="00E84E15" w:rsidRDefault="00E84E15">
      <w:pPr>
        <w:numPr>
          <w:ilvl w:val="0"/>
          <w:numId w:val="84"/>
        </w:numPr>
        <w:jc w:val="both"/>
      </w:pPr>
      <w:r w:rsidRPr="00E84E15">
        <w:t>Undergraduate student, Department of Veterinary Medicine, School of Health Sciences, Aristotle University of Thessaloniki</w:t>
      </w:r>
    </w:p>
    <w:p w14:paraId="7E912447" w14:textId="55EB675F" w:rsidR="00E84E15" w:rsidRDefault="00E84E15">
      <w:pPr>
        <w:numPr>
          <w:ilvl w:val="0"/>
          <w:numId w:val="84"/>
        </w:numPr>
        <w:jc w:val="both"/>
      </w:pPr>
      <w:r w:rsidRPr="00E84E15">
        <w:t>Postdoctoral Researcher in Avian Pathology, Department of Veterinary Medicine, School of Health Sciences, Aristotle University of Thessaloniki</w:t>
      </w:r>
    </w:p>
    <w:p w14:paraId="5A7B8CD3" w14:textId="0A49DB5C" w:rsidR="00E84E15" w:rsidRPr="00E84E15" w:rsidRDefault="00E84E15">
      <w:pPr>
        <w:numPr>
          <w:ilvl w:val="0"/>
          <w:numId w:val="84"/>
        </w:numPr>
        <w:jc w:val="both"/>
      </w:pPr>
      <w:r w:rsidRPr="00E84E15">
        <w:t>Professor of Avian Pathology, Department of Veterinary Medicine, School of Health Sciences, Aristotle University of Thessaloniki</w:t>
      </w:r>
    </w:p>
    <w:p w14:paraId="50D669B2" w14:textId="77777777" w:rsidR="00E84E15" w:rsidRPr="00E84E15" w:rsidRDefault="00E84E15" w:rsidP="00E84E15">
      <w:pPr>
        <w:jc w:val="both"/>
      </w:pPr>
    </w:p>
    <w:p w14:paraId="4CA1B2D8" w14:textId="77777777" w:rsidR="00E84E15" w:rsidRPr="00E84E15" w:rsidRDefault="00E84E15" w:rsidP="00E84E15">
      <w:pPr>
        <w:jc w:val="both"/>
      </w:pPr>
      <w:r w:rsidRPr="00E84E15">
        <w:rPr>
          <w:b/>
          <w:bCs/>
        </w:rPr>
        <w:t>Abstract</w:t>
      </w:r>
    </w:p>
    <w:p w14:paraId="7256F8DC" w14:textId="77777777" w:rsidR="00E84E15" w:rsidRPr="00E84E15" w:rsidRDefault="00E84E15" w:rsidP="00E84E15">
      <w:pPr>
        <w:jc w:val="both"/>
      </w:pPr>
      <w:r w:rsidRPr="00E84E15">
        <w:t>Psittaciform Beak and Feather Disease (PBFD) is one of the most significant viral diseases affecting psittaciformes, with growing importance in clinical practice. The interest within the scientific community is growing, as the range of hosts appears to be constantly expanding. The causative virus, in addition to its potent cytopathic and immunosuppressive effects, is characterized by high environmental resilience, a fact that complicates the control of transmission and underscores the importance of its epidemiological study. Diagnosis is based on modern laboratory methods, in conjunction with the clinical picture, while disease management remains primarily supportive and preventive. Veterinarians are called upon to effectively address the disease, taking into account anthropogenic factors that appear to influence its spread, such as deforestation, globalization, climate change, and the illegal trade in wild birds.</w:t>
      </w:r>
    </w:p>
    <w:p w14:paraId="0D95FB73" w14:textId="77777777" w:rsidR="00E84E15" w:rsidRPr="00E84E15" w:rsidRDefault="00E84E15" w:rsidP="00E84E15">
      <w:pPr>
        <w:jc w:val="both"/>
      </w:pPr>
    </w:p>
    <w:p w14:paraId="4DDC1111" w14:textId="77777777" w:rsidR="00E84E15" w:rsidRPr="00E84E15" w:rsidRDefault="00E84E15" w:rsidP="00E84E15">
      <w:pPr>
        <w:jc w:val="both"/>
      </w:pPr>
      <w:r w:rsidRPr="00E84E15">
        <w:rPr>
          <w:b/>
          <w:bCs/>
        </w:rPr>
        <w:t>Bibliography</w:t>
      </w:r>
    </w:p>
    <w:p w14:paraId="01147E28" w14:textId="2B6AA613" w:rsidR="00E84E15" w:rsidRPr="00E84E15" w:rsidRDefault="00E84E15" w:rsidP="00E84E15">
      <w:pPr>
        <w:jc w:val="both"/>
      </w:pPr>
      <w:r w:rsidRPr="00E84E15">
        <w:t xml:space="preserve">Kang, E. G., Han, J. H., Shim, Y. J., Lee, D. N., Choi, K. S., &amp; Yeon, S. C. (2025). Psittacine beak and feather disease: Global spread, international trade, and conservation challenges. </w:t>
      </w:r>
      <w:r w:rsidRPr="00E84E15">
        <w:rPr>
          <w:i/>
          <w:iCs/>
        </w:rPr>
        <w:t>Animals, 15</w:t>
      </w:r>
      <w:r w:rsidRPr="00E84E15">
        <w:t>(20), 2947.</w:t>
      </w:r>
    </w:p>
    <w:p w14:paraId="334117D3" w14:textId="3571F7E7" w:rsidR="00E84E15" w:rsidRPr="00E84E15" w:rsidRDefault="00E84E15" w:rsidP="00E84E15">
      <w:pPr>
        <w:jc w:val="both"/>
      </w:pPr>
      <w:r w:rsidRPr="00E84E15">
        <w:t xml:space="preserve">Olivares, R. W. I., Bass, L. G., Sáenz-Bräutigam, A., Sandí-Carmiol, J., Villada-Rosales, A. M., Dolz, G., Solórzano-Morales, A., Zúniga-Moya, M. J., Granados-Solano, R., McHale, B., Zúñiga-Cortés, D. S., &amp; Uzal, F. A. (2025). Psittacine beak and feather disease in 2 free-living great green macaws: A case report and literature review. </w:t>
      </w:r>
      <w:r w:rsidRPr="00E84E15">
        <w:rPr>
          <w:i/>
          <w:iCs/>
        </w:rPr>
        <w:t>Journal of Veterinary Diagnostic Investigation, 37</w:t>
      </w:r>
      <w:r w:rsidRPr="00E84E15">
        <w:t>(4), 666–673. </w:t>
      </w:r>
    </w:p>
    <w:p w14:paraId="633BBF26" w14:textId="77777777" w:rsidR="00E84E15" w:rsidRPr="00E84E15" w:rsidRDefault="00E84E15" w:rsidP="00E84E15">
      <w:pPr>
        <w:jc w:val="both"/>
      </w:pPr>
      <w:r w:rsidRPr="00E84E15">
        <w:t xml:space="preserve">Raidal, S. R., Sarker, S., &amp; Peters, A. (2015). Review of psittacine beak and feather disease and its effect on Australian endangered species. </w:t>
      </w:r>
      <w:r w:rsidRPr="00E84E15">
        <w:rPr>
          <w:i/>
          <w:iCs/>
        </w:rPr>
        <w:t>Australian Veterinary Journal, 93</w:t>
      </w:r>
      <w:r w:rsidRPr="00E84E15">
        <w:t>(12), 466–470.</w:t>
      </w:r>
    </w:p>
    <w:p w14:paraId="0620ED90" w14:textId="77777777" w:rsidR="00E84E15" w:rsidRDefault="00E84E15" w:rsidP="00E84E15">
      <w:pPr>
        <w:jc w:val="both"/>
      </w:pPr>
      <w:r w:rsidRPr="00E84E15">
        <w:t> </w:t>
      </w:r>
    </w:p>
    <w:p w14:paraId="663098F4" w14:textId="77777777" w:rsidR="00E84E15" w:rsidRDefault="00E84E15" w:rsidP="00E84E15">
      <w:pPr>
        <w:jc w:val="both"/>
      </w:pPr>
    </w:p>
    <w:p w14:paraId="5952F625" w14:textId="77777777" w:rsidR="00E84E15" w:rsidRDefault="00E84E15" w:rsidP="00E84E15">
      <w:pPr>
        <w:jc w:val="both"/>
      </w:pPr>
    </w:p>
    <w:p w14:paraId="1706F885" w14:textId="77777777" w:rsidR="00E84E15" w:rsidRPr="00E84E15" w:rsidRDefault="00E84E15" w:rsidP="00E84E15">
      <w:pPr>
        <w:jc w:val="both"/>
      </w:pPr>
    </w:p>
    <w:p w14:paraId="38465387" w14:textId="77777777" w:rsidR="00E84E15" w:rsidRPr="00E84E15" w:rsidRDefault="00E84E15" w:rsidP="00E84E15">
      <w:pPr>
        <w:jc w:val="both"/>
      </w:pPr>
    </w:p>
    <w:p w14:paraId="7CFF2DF1" w14:textId="13988316" w:rsidR="00E84E15" w:rsidRPr="00E84E15" w:rsidRDefault="00E84E15" w:rsidP="00E84E15">
      <w:pPr>
        <w:jc w:val="both"/>
      </w:pPr>
      <w:r w:rsidRPr="00E84E15">
        <w:rPr>
          <w:b/>
          <w:bCs/>
        </w:rPr>
        <w:lastRenderedPageBreak/>
        <w:t>Invisible threats; Zoonoses in pet reptiles</w:t>
      </w:r>
    </w:p>
    <w:p w14:paraId="649276D3" w14:textId="77777777" w:rsidR="00E84E15" w:rsidRPr="00E84E15" w:rsidRDefault="00E84E15" w:rsidP="00E84E15">
      <w:pPr>
        <w:jc w:val="both"/>
      </w:pPr>
      <w:r w:rsidRPr="00E84E15">
        <w:t>Oikonomou Georgios</w:t>
      </w:r>
      <w:r w:rsidRPr="00E84E15">
        <w:rPr>
          <w:vertAlign w:val="superscript"/>
        </w:rPr>
        <w:t>1</w:t>
      </w:r>
      <w:r w:rsidRPr="00E84E15">
        <w:t>, Komnenou Anastasia</w:t>
      </w:r>
      <w:r w:rsidRPr="00E84E15">
        <w:rPr>
          <w:vertAlign w:val="superscript"/>
        </w:rPr>
        <w:t>2</w:t>
      </w:r>
    </w:p>
    <w:p w14:paraId="61E57BA7" w14:textId="77777777" w:rsidR="00E84E15" w:rsidRPr="00E84E15" w:rsidRDefault="00E84E15">
      <w:pPr>
        <w:numPr>
          <w:ilvl w:val="0"/>
          <w:numId w:val="85"/>
        </w:numPr>
        <w:jc w:val="both"/>
      </w:pPr>
      <w:r w:rsidRPr="00E84E15">
        <w:t>Undergraduate student, Faculty of Health Science, Aristotle School of Veterinary Medicine, University of Thessaloniki</w:t>
      </w:r>
    </w:p>
    <w:p w14:paraId="3BC5B14D" w14:textId="77777777" w:rsidR="00E84E15" w:rsidRPr="00E84E15" w:rsidRDefault="00E84E15">
      <w:pPr>
        <w:numPr>
          <w:ilvl w:val="0"/>
          <w:numId w:val="85"/>
        </w:numPr>
        <w:jc w:val="both"/>
      </w:pPr>
      <w:r w:rsidRPr="00E84E15">
        <w:t>Professor, School of Veterinary Medicine, Faculty of Health Science, Aristotle University of Thessaloniki, Aristotle University of Thessaloniki</w:t>
      </w:r>
    </w:p>
    <w:p w14:paraId="2A2FA593" w14:textId="77777777" w:rsidR="00E84E15" w:rsidRPr="00E84E15" w:rsidRDefault="00E84E15" w:rsidP="00E84E15">
      <w:pPr>
        <w:jc w:val="both"/>
      </w:pPr>
    </w:p>
    <w:p w14:paraId="00EFC0A3" w14:textId="77777777" w:rsidR="00E84E15" w:rsidRPr="00E84E15" w:rsidRDefault="00E84E15" w:rsidP="00E84E15">
      <w:pPr>
        <w:jc w:val="both"/>
      </w:pPr>
      <w:r w:rsidRPr="00E84E15">
        <w:rPr>
          <w:b/>
          <w:bCs/>
        </w:rPr>
        <w:t>Abstract</w:t>
      </w:r>
    </w:p>
    <w:p w14:paraId="0C1B2A48" w14:textId="0931CF98" w:rsidR="00E84E15" w:rsidRDefault="00E84E15" w:rsidP="00E84E15">
      <w:pPr>
        <w:jc w:val="both"/>
      </w:pPr>
      <w:r w:rsidRPr="00E84E15">
        <w:t xml:space="preserve">In recent years, there has been a marked global interest in keeping reptiles as companion animals, extending beyond traditional pets such as dogs and cats. Pet reptiles primarily include species belonging to the order </w:t>
      </w:r>
      <w:r w:rsidRPr="00E84E15">
        <w:rPr>
          <w:i/>
          <w:iCs/>
        </w:rPr>
        <w:t>Squamata</w:t>
      </w:r>
      <w:r w:rsidRPr="00E84E15">
        <w:t xml:space="preserve"> (snakes and lizards) and the order </w:t>
      </w:r>
      <w:r w:rsidRPr="00E84E15">
        <w:rPr>
          <w:i/>
          <w:iCs/>
        </w:rPr>
        <w:t>Chelonia</w:t>
      </w:r>
      <w:r w:rsidRPr="00E84E15">
        <w:t xml:space="preserve"> (turtles). These animals may serve as carriers of a wide range of pathogens, both exotic and endemic, or may develop clinical disease under specific conditions, particularly when husbandry and environmental management are inadequate. Moreover, close contact between reptiles and humans poses a potential risk for the transmission of zoonotic diseases. The present study is a literature review aiming to summarize the major zoonotic diseases associated with pet reptiles. Emphasis is placed on significant bacterial pathogens, including </w:t>
      </w:r>
      <w:r w:rsidRPr="00E84E15">
        <w:rPr>
          <w:i/>
          <w:iCs/>
        </w:rPr>
        <w:t>Salmonella spp.</w:t>
      </w:r>
      <w:r w:rsidRPr="00E84E15">
        <w:t xml:space="preserve">, </w:t>
      </w:r>
      <w:r w:rsidRPr="00E84E15">
        <w:rPr>
          <w:i/>
          <w:iCs/>
        </w:rPr>
        <w:t>Aeromonas spp.</w:t>
      </w:r>
      <w:r w:rsidRPr="00E84E15">
        <w:t xml:space="preserve">, </w:t>
      </w:r>
      <w:r w:rsidRPr="00E84E15">
        <w:rPr>
          <w:i/>
          <w:iCs/>
        </w:rPr>
        <w:t>Mycobacterium spp.</w:t>
      </w:r>
      <w:r w:rsidRPr="00E84E15">
        <w:t xml:space="preserve">, and </w:t>
      </w:r>
      <w:r w:rsidRPr="00E84E15">
        <w:rPr>
          <w:i/>
          <w:iCs/>
        </w:rPr>
        <w:t>Campylobacter spp.</w:t>
      </w:r>
      <w:r w:rsidRPr="00E84E15">
        <w:t xml:space="preserve">, as well as parasitic agents such as Pentastomids, </w:t>
      </w:r>
      <w:r w:rsidRPr="00E84E15">
        <w:rPr>
          <w:i/>
          <w:iCs/>
        </w:rPr>
        <w:t>Cryptosporidium spp.</w:t>
      </w:r>
      <w:r w:rsidRPr="00E84E15">
        <w:t xml:space="preserve">, </w:t>
      </w:r>
      <w:r w:rsidRPr="00E84E15">
        <w:rPr>
          <w:i/>
          <w:iCs/>
        </w:rPr>
        <w:t>Giardia spp.</w:t>
      </w:r>
      <w:r w:rsidRPr="00E84E15">
        <w:t>, and various arthropods. Furthermore, the modes of transmission of these pathogens are discussed, alongside the clinical manifestations observed in both reptiles and humans, and the available therapeutic approaches. Finally, focus is placed to preventive strategies and proper husbandry practices, highlighting the pivotal role of veterinarians in prevention, early diagnosis, and the effective management of zoonotic risks associated with pet reptiles.</w:t>
      </w:r>
    </w:p>
    <w:p w14:paraId="2CD2B7C8" w14:textId="77777777" w:rsidR="00E84E15" w:rsidRPr="00E84E15" w:rsidRDefault="00E84E15" w:rsidP="00E84E15">
      <w:pPr>
        <w:jc w:val="both"/>
      </w:pPr>
    </w:p>
    <w:p w14:paraId="77F7313F" w14:textId="77777777" w:rsidR="00E84E15" w:rsidRPr="00E84E15" w:rsidRDefault="00E84E15" w:rsidP="00E84E15">
      <w:pPr>
        <w:jc w:val="both"/>
      </w:pPr>
      <w:r w:rsidRPr="00E84E15">
        <w:rPr>
          <w:b/>
          <w:bCs/>
        </w:rPr>
        <w:t>Bibliography</w:t>
      </w:r>
    </w:p>
    <w:p w14:paraId="612932A9" w14:textId="77777777" w:rsidR="00E84E15" w:rsidRPr="00E84E15" w:rsidRDefault="00E84E15" w:rsidP="00E84E15">
      <w:pPr>
        <w:jc w:val="both"/>
      </w:pPr>
      <w:r w:rsidRPr="00E84E15">
        <w:t>Childress, A., &amp; Wellehan, J. F. X. (n.d.). </w:t>
      </w:r>
      <w:r w:rsidRPr="00E84E15">
        <w:rPr>
          <w:i/>
          <w:iCs/>
        </w:rPr>
        <w:t>Laboratories to contact for additional information and reptile virus testing</w:t>
      </w:r>
      <w:r w:rsidRPr="00E84E15">
        <w:t>. Azabu University. </w:t>
      </w:r>
    </w:p>
    <w:p w14:paraId="04896DDE" w14:textId="77777777" w:rsidR="00E84E15" w:rsidRPr="00E84E15" w:rsidRDefault="00E84E15" w:rsidP="00E84E15">
      <w:pPr>
        <w:jc w:val="both"/>
      </w:pPr>
      <w:r w:rsidRPr="00E84E15">
        <w:t>Corrente, M., Sangiorgio, G., Grandolfo, E., Bodnar, L., Catella, C., Trotta, A., Martella, V., &amp; Buonavoglia, D. (2017). Risk for zoonotic </w:t>
      </w:r>
      <w:r w:rsidRPr="00E84E15">
        <w:rPr>
          <w:i/>
          <w:iCs/>
        </w:rPr>
        <w:t>Salmonella</w:t>
      </w:r>
      <w:r w:rsidRPr="00E84E15">
        <w:t> transmission from pet reptiles: A survey on knowledge, attitudes and practices of reptile owners related to reptile husbandry. </w:t>
      </w:r>
      <w:r w:rsidRPr="00E84E15">
        <w:rPr>
          <w:i/>
          <w:iCs/>
        </w:rPr>
        <w:t>Preventive Veterinary Medicine, 146</w:t>
      </w:r>
      <w:r w:rsidRPr="00E84E15">
        <w:t>, 73–78.</w:t>
      </w:r>
    </w:p>
    <w:p w14:paraId="2748836A" w14:textId="77777777" w:rsidR="00E84E15" w:rsidRPr="00E84E15" w:rsidRDefault="00E84E15" w:rsidP="00E84E15">
      <w:pPr>
        <w:jc w:val="both"/>
      </w:pPr>
      <w:r w:rsidRPr="00E84E15">
        <w:t>Doneley, B., Monks, D., Johnson, R., &amp; Carmel, B. (2018). </w:t>
      </w:r>
      <w:r w:rsidRPr="00E84E15">
        <w:rPr>
          <w:i/>
          <w:iCs/>
        </w:rPr>
        <w:t>Reptile medicine and surgery in clinical practice</w:t>
      </w:r>
      <w:r w:rsidRPr="00E84E15">
        <w:t>. Wiley.</w:t>
      </w:r>
    </w:p>
    <w:p w14:paraId="23E641F7" w14:textId="77777777" w:rsidR="00E84E15" w:rsidRPr="00E84E15" w:rsidRDefault="00E84E15" w:rsidP="00E84E15">
      <w:pPr>
        <w:jc w:val="both"/>
      </w:pPr>
      <w:r w:rsidRPr="00E84E15">
        <w:t>Ebani, V. V. (2017). Domestic reptiles as a source of zoonotic bacteria: A mini review. </w:t>
      </w:r>
      <w:r w:rsidRPr="00E84E15">
        <w:rPr>
          <w:i/>
          <w:iCs/>
        </w:rPr>
        <w:t>Asian Pacific Journal of Tropical Medicine, 10</w:t>
      </w:r>
      <w:r w:rsidRPr="00E84E15">
        <w:t>(8), 723–728.</w:t>
      </w:r>
    </w:p>
    <w:p w14:paraId="537D6D02" w14:textId="77777777" w:rsidR="00E84E15" w:rsidRPr="00E84E15" w:rsidRDefault="00E84E15" w:rsidP="00E84E15">
      <w:pPr>
        <w:jc w:val="both"/>
      </w:pPr>
      <w:r w:rsidRPr="00E84E15">
        <w:t>Egan, S., Barbosa, A. D., Feng, Y., Xiao, L., &amp; Ryan, U. (2024). Minimal zoonotic risk of cryptosporidiosis and giardiasis from frogs and reptiles. </w:t>
      </w:r>
      <w:r w:rsidRPr="00E84E15">
        <w:rPr>
          <w:i/>
          <w:iCs/>
        </w:rPr>
        <w:t>European Journal of Protistology, 93</w:t>
      </w:r>
      <w:r w:rsidRPr="00E84E15">
        <w:t>, Article 126066.</w:t>
      </w:r>
    </w:p>
    <w:p w14:paraId="0DCBBC1F" w14:textId="77777777" w:rsidR="00E84E15" w:rsidRPr="00E84E15" w:rsidRDefault="00E84E15" w:rsidP="00E84E15">
      <w:pPr>
        <w:jc w:val="both"/>
      </w:pPr>
      <w:r w:rsidRPr="00E84E15">
        <w:t>Johnson-Delaney, C. A. (1996). Zoonotic parasites of selected exotic animals.</w:t>
      </w:r>
    </w:p>
    <w:p w14:paraId="5BFCB54C" w14:textId="77777777" w:rsidR="00E84E15" w:rsidRPr="00E84E15" w:rsidRDefault="00E84E15" w:rsidP="00E84E15">
      <w:pPr>
        <w:jc w:val="both"/>
      </w:pPr>
      <w:r w:rsidRPr="00E84E15">
        <w:lastRenderedPageBreak/>
        <w:t>Klingenberg, R. J. (2012). </w:t>
      </w:r>
      <w:r w:rsidRPr="00E84E15">
        <w:rPr>
          <w:i/>
          <w:iCs/>
        </w:rPr>
        <w:t>Understanding reptile parasites</w:t>
      </w:r>
      <w:r w:rsidRPr="00E84E15">
        <w:t>. Advanced Vivarium Systems.</w:t>
      </w:r>
    </w:p>
    <w:p w14:paraId="08C3FBC1" w14:textId="77777777" w:rsidR="00E84E15" w:rsidRPr="00E84E15" w:rsidRDefault="00E84E15" w:rsidP="00E84E15">
      <w:pPr>
        <w:jc w:val="both"/>
      </w:pPr>
      <w:r w:rsidRPr="00E84E15">
        <w:t>Leung, T. L. F. (2024). Zoonotic parasites in reptiles, with particular emphasis on potential zoonoses in Australian reptiles. </w:t>
      </w:r>
      <w:r w:rsidRPr="00E84E15">
        <w:rPr>
          <w:i/>
          <w:iCs/>
        </w:rPr>
        <w:t>Current Clinical Microbiology Reports, 11</w:t>
      </w:r>
      <w:r w:rsidRPr="00E84E15">
        <w:t>(2), 88–98. </w:t>
      </w:r>
    </w:p>
    <w:p w14:paraId="619DD81A" w14:textId="77777777" w:rsidR="00E84E15" w:rsidRPr="00E84E15" w:rsidRDefault="00E84E15" w:rsidP="00E84E15">
      <w:pPr>
        <w:jc w:val="both"/>
      </w:pPr>
      <w:r w:rsidRPr="00E84E15">
        <w:t>Lidani, K. C. F., Andrade, F. A., Bavia, L., Damasceno, F. S., Beltrame, M. H., Messias-Reason, I. J., &amp; Sandri, T. L. (2019). Chagas disease: From discovery to a worldwide health problem. </w:t>
      </w:r>
      <w:r w:rsidRPr="00E84E15">
        <w:rPr>
          <w:i/>
          <w:iCs/>
        </w:rPr>
        <w:t>Frontiers in Public Health, 7</w:t>
      </w:r>
      <w:r w:rsidRPr="00E84E15">
        <w:t>, Article 166. </w:t>
      </w:r>
    </w:p>
    <w:p w14:paraId="7F785819" w14:textId="77777777" w:rsidR="00E84E15" w:rsidRPr="00E84E15" w:rsidRDefault="00E84E15" w:rsidP="00E84E15">
      <w:pPr>
        <w:jc w:val="both"/>
      </w:pPr>
      <w:r w:rsidRPr="00E84E15">
        <w:t>Louro, M., Hernandez, L., Antunes, J., Madeira de Carvalho, L., Pereira da Fonseca, I., &amp; Gomes, J. (2025). </w:t>
      </w:r>
      <w:r w:rsidRPr="00E84E15">
        <w:rPr>
          <w:i/>
          <w:iCs/>
        </w:rPr>
        <w:t>Cryptosporidium</w:t>
      </w:r>
      <w:r w:rsidRPr="00E84E15">
        <w:t> spp. in reptiles: Detection challenges, molecular characterization and zoonotic risk. </w:t>
      </w:r>
      <w:r w:rsidRPr="00E84E15">
        <w:rPr>
          <w:i/>
          <w:iCs/>
        </w:rPr>
        <w:t>Food and Waterborne Parasitology, 40</w:t>
      </w:r>
      <w:r w:rsidRPr="00E84E15">
        <w:t>, e00272. </w:t>
      </w:r>
    </w:p>
    <w:p w14:paraId="46D8C48C" w14:textId="77777777" w:rsidR="00E84E15" w:rsidRPr="00E84E15" w:rsidRDefault="00E84E15" w:rsidP="00E84E15">
      <w:pPr>
        <w:jc w:val="both"/>
      </w:pPr>
      <w:r w:rsidRPr="00E84E15">
        <w:t>Lupescu, I., &amp; Baraitareanu, S. (n.d.). </w:t>
      </w:r>
      <w:r w:rsidRPr="00E84E15">
        <w:rPr>
          <w:i/>
          <w:iCs/>
        </w:rPr>
        <w:t>Emerging diseases associated with “new companion animals”: Review in zoonoses transmitted by reptiles</w:t>
      </w:r>
      <w:r w:rsidRPr="00E84E15">
        <w:t>.</w:t>
      </w:r>
    </w:p>
    <w:p w14:paraId="04F9064E" w14:textId="77777777" w:rsidR="00E84E15" w:rsidRPr="00E84E15" w:rsidRDefault="00E84E15" w:rsidP="00E84E15">
      <w:pPr>
        <w:jc w:val="both"/>
      </w:pPr>
      <w:r w:rsidRPr="00E84E15">
        <w:t>McWhorter, A. R., &amp; Whiley, H. (2025). Zoonotic risks: </w:t>
      </w:r>
      <w:r w:rsidRPr="00E84E15">
        <w:rPr>
          <w:i/>
          <w:iCs/>
        </w:rPr>
        <w:t>Salmonella</w:t>
      </w:r>
      <w:r w:rsidRPr="00E84E15">
        <w:t> and </w:t>
      </w:r>
      <w:r w:rsidRPr="00E84E15">
        <w:rPr>
          <w:i/>
          <w:iCs/>
        </w:rPr>
        <w:t>Campylobacter</w:t>
      </w:r>
      <w:r w:rsidRPr="00E84E15">
        <w:t> in reptiles. </w:t>
      </w:r>
      <w:r w:rsidRPr="00E84E15">
        <w:rPr>
          <w:i/>
          <w:iCs/>
        </w:rPr>
        <w:t>Microbiology Australia, 46</w:t>
      </w:r>
      <w:r w:rsidRPr="00E84E15">
        <w:t>(1), 34–37. </w:t>
      </w:r>
    </w:p>
    <w:p w14:paraId="607390D6" w14:textId="77777777" w:rsidR="00E84E15" w:rsidRPr="00E84E15" w:rsidRDefault="00E84E15" w:rsidP="00E84E15">
      <w:pPr>
        <w:jc w:val="both"/>
      </w:pPr>
      <w:r w:rsidRPr="00E84E15">
        <w:t>Mendoza-Roldan, J. A., Mendoza-Roldan, M. A., &amp; Otranto, D. (2021). Reptile vector-borne diseases of zoonotic concern. </w:t>
      </w:r>
      <w:r w:rsidRPr="00E84E15">
        <w:rPr>
          <w:i/>
          <w:iCs/>
        </w:rPr>
        <w:t>International Journal for Parasitology: Parasites and Wildlife, 15</w:t>
      </w:r>
      <w:r w:rsidRPr="00E84E15">
        <w:t>, 132–142. </w:t>
      </w:r>
    </w:p>
    <w:p w14:paraId="4C884BEA" w14:textId="77777777" w:rsidR="00E84E15" w:rsidRPr="00E84E15" w:rsidRDefault="00E84E15" w:rsidP="00E84E15">
      <w:pPr>
        <w:jc w:val="both"/>
      </w:pPr>
      <w:r w:rsidRPr="00E84E15">
        <w:t>Mendoza-Roldan, J. A., Modrý, D., &amp; Otranto, D. (2020). Zoonotic parasites of reptiles: A crawling threat. </w:t>
      </w:r>
      <w:r w:rsidRPr="00E84E15">
        <w:rPr>
          <w:i/>
          <w:iCs/>
        </w:rPr>
        <w:t>Trends in Parasitology, 36</w:t>
      </w:r>
      <w:r w:rsidRPr="00E84E15">
        <w:t>(8), 677–687. </w:t>
      </w:r>
    </w:p>
    <w:p w14:paraId="23D5389C" w14:textId="77777777" w:rsidR="00E84E15" w:rsidRPr="00E84E15" w:rsidRDefault="00E84E15" w:rsidP="00E84E15">
      <w:pPr>
        <w:jc w:val="both"/>
      </w:pPr>
      <w:r w:rsidRPr="00E84E15">
        <w:t>Messonnier, S. (1996). </w:t>
      </w:r>
      <w:r w:rsidRPr="00E84E15">
        <w:rPr>
          <w:i/>
          <w:iCs/>
        </w:rPr>
        <w:t>Exotic pets: A veterinary guide for owners</w:t>
      </w:r>
      <w:r w:rsidRPr="00E84E15">
        <w:t>. Taylor Trade Publishing.</w:t>
      </w:r>
    </w:p>
    <w:p w14:paraId="45E98207" w14:textId="77777777" w:rsidR="00E84E15" w:rsidRPr="00E84E15" w:rsidRDefault="00E84E15" w:rsidP="00E84E15">
      <w:pPr>
        <w:jc w:val="both"/>
      </w:pPr>
      <w:r w:rsidRPr="00E84E15">
        <w:t>Miller, R. E., &amp; Fowler, M. E. (2015). </w:t>
      </w:r>
      <w:r w:rsidRPr="00E84E15">
        <w:rPr>
          <w:i/>
          <w:iCs/>
        </w:rPr>
        <w:t>Fowler’s zoo and wild animal medicine</w:t>
      </w:r>
      <w:r w:rsidRPr="00E84E15">
        <w:t>. Elsevier.</w:t>
      </w:r>
    </w:p>
    <w:p w14:paraId="2A2E19B7" w14:textId="77777777" w:rsidR="00E84E15" w:rsidRPr="00E84E15" w:rsidRDefault="00E84E15" w:rsidP="00E84E15">
      <w:pPr>
        <w:jc w:val="both"/>
      </w:pPr>
      <w:r w:rsidRPr="00E84E15">
        <w:t>Schumacher, J. (2006). Selected infectious diseases of wild reptiles and amphibians. </w:t>
      </w:r>
      <w:r w:rsidRPr="00E84E15">
        <w:rPr>
          <w:i/>
          <w:iCs/>
        </w:rPr>
        <w:t>Journal of Exotic Pet Medicine, 15</w:t>
      </w:r>
      <w:r w:rsidRPr="00E84E15">
        <w:t>(1), 18–24. </w:t>
      </w:r>
    </w:p>
    <w:p w14:paraId="459D4CC9" w14:textId="77777777" w:rsidR="00E84E15" w:rsidRPr="00E84E15" w:rsidRDefault="00E84E15" w:rsidP="00E84E15">
      <w:pPr>
        <w:jc w:val="both"/>
      </w:pPr>
      <w:r w:rsidRPr="00E84E15">
        <w:t>Varela, K., Brown, J. A., Lipton, B., Dunn, J., Stanek, D., Behravesh, C. B., Chapman, H., Conger, T. H., Vanover, T., Edling, T., Holzbauer, S., Lennox, A. M., Lindquist, S., Loerzel, S., Mehlenbacher, S., Mitchell, M., Murphy, M., Olsen, C. W., &amp; Yager, C. M. (2022). A review of zoonotic disease threats to pet owners: A compendium of measures to prevent zoonotic diseases associated with non-traditional pets. </w:t>
      </w:r>
      <w:r w:rsidRPr="00E84E15">
        <w:rPr>
          <w:i/>
          <w:iCs/>
        </w:rPr>
        <w:t>Vector-Borne and Zoonotic Diseases, 22</w:t>
      </w:r>
      <w:r w:rsidRPr="00E84E15">
        <w:t>(6), 303–360.</w:t>
      </w:r>
    </w:p>
    <w:p w14:paraId="3E97838D" w14:textId="77777777" w:rsidR="00E84E15" w:rsidRPr="00E84E15" w:rsidRDefault="00E84E15" w:rsidP="00E84E15">
      <w:pPr>
        <w:jc w:val="both"/>
      </w:pPr>
      <w:r w:rsidRPr="00E84E15">
        <w:t>Warwick, C., Angelo, F., Lambiris, A. J. L., Westwood, D., &amp; Steedman, C. (2001). Reptile-related salmonellosis. </w:t>
      </w:r>
      <w:r w:rsidRPr="00E84E15">
        <w:rPr>
          <w:i/>
          <w:iCs/>
        </w:rPr>
        <w:t>Journal of the Royal Society of Medicine, 94</w:t>
      </w:r>
      <w:r w:rsidRPr="00E84E15">
        <w:t>, 124–126.</w:t>
      </w:r>
    </w:p>
    <w:p w14:paraId="559E8B78" w14:textId="77777777" w:rsidR="00E84E15" w:rsidRDefault="00E84E15" w:rsidP="00E84E15">
      <w:pPr>
        <w:jc w:val="both"/>
      </w:pPr>
      <w:r w:rsidRPr="00E84E15">
        <w:t>Warwick, C., Arena, P. C., &amp; Burghardt, G. M. (Eds.). (n.d.). </w:t>
      </w:r>
      <w:r w:rsidRPr="00E84E15">
        <w:rPr>
          <w:i/>
          <w:iCs/>
        </w:rPr>
        <w:t>Health and welfare of captive reptiles</w:t>
      </w:r>
      <w:r w:rsidRPr="00E84E15">
        <w:t> (2nd ed.).</w:t>
      </w:r>
    </w:p>
    <w:p w14:paraId="1F1F218E" w14:textId="77777777" w:rsidR="00E84E15" w:rsidRDefault="00E84E15" w:rsidP="00E84E15">
      <w:pPr>
        <w:jc w:val="both"/>
      </w:pPr>
    </w:p>
    <w:p w14:paraId="0CD03FF8" w14:textId="77777777" w:rsidR="00E84E15" w:rsidRDefault="00E84E15" w:rsidP="00E84E15">
      <w:pPr>
        <w:jc w:val="both"/>
      </w:pPr>
    </w:p>
    <w:p w14:paraId="32A22C3F" w14:textId="77777777" w:rsidR="00E84E15" w:rsidRDefault="00E84E15" w:rsidP="00E84E15">
      <w:pPr>
        <w:jc w:val="both"/>
      </w:pPr>
    </w:p>
    <w:p w14:paraId="0EDAB898" w14:textId="77777777" w:rsidR="00E84E15" w:rsidRDefault="00E84E15" w:rsidP="00E84E15">
      <w:pPr>
        <w:jc w:val="both"/>
      </w:pPr>
    </w:p>
    <w:p w14:paraId="26F8857E" w14:textId="77777777" w:rsidR="00E84E15" w:rsidRDefault="00E84E15" w:rsidP="00E84E15">
      <w:pPr>
        <w:jc w:val="both"/>
      </w:pPr>
    </w:p>
    <w:p w14:paraId="7796CD89" w14:textId="77777777" w:rsidR="00E84E15" w:rsidRPr="00E84E15" w:rsidRDefault="00E84E15" w:rsidP="00E84E15">
      <w:pPr>
        <w:jc w:val="both"/>
      </w:pPr>
    </w:p>
    <w:p w14:paraId="3E594CDE" w14:textId="77777777" w:rsidR="00E84E15" w:rsidRPr="00E84E15" w:rsidRDefault="00E84E15" w:rsidP="00E84E15">
      <w:pPr>
        <w:jc w:val="both"/>
      </w:pPr>
      <w:r w:rsidRPr="00E84E15">
        <w:rPr>
          <w:b/>
          <w:bCs/>
        </w:rPr>
        <w:lastRenderedPageBreak/>
        <w:t>Wolf and Dog hybridization: A rising threat</w:t>
      </w:r>
    </w:p>
    <w:p w14:paraId="02E6A510" w14:textId="77777777" w:rsidR="00E84E15" w:rsidRPr="00E84E15" w:rsidRDefault="00E84E15" w:rsidP="00E84E15">
      <w:pPr>
        <w:jc w:val="both"/>
      </w:pPr>
      <w:r w:rsidRPr="00E84E15">
        <w:t>Maria Trani</w:t>
      </w:r>
      <w:r w:rsidRPr="00E84E15">
        <w:rPr>
          <w:vertAlign w:val="superscript"/>
        </w:rPr>
        <w:t>1</w:t>
      </w:r>
      <w:r w:rsidRPr="00E84E15">
        <w:t>, Athina Filiou</w:t>
      </w:r>
      <w:r w:rsidRPr="00E84E15">
        <w:rPr>
          <w:vertAlign w:val="superscript"/>
        </w:rPr>
        <w:t>1</w:t>
      </w:r>
      <w:r w:rsidRPr="00E84E15">
        <w:t>, Marina Sofia</w:t>
      </w:r>
      <w:r w:rsidRPr="00E84E15">
        <w:rPr>
          <w:vertAlign w:val="superscript"/>
        </w:rPr>
        <w:t>2</w:t>
      </w:r>
    </w:p>
    <w:p w14:paraId="65570411" w14:textId="77777777" w:rsidR="00E84E15" w:rsidRPr="00E84E15" w:rsidRDefault="00E84E15">
      <w:pPr>
        <w:numPr>
          <w:ilvl w:val="0"/>
          <w:numId w:val="86"/>
        </w:numPr>
        <w:jc w:val="both"/>
      </w:pPr>
      <w:r w:rsidRPr="00E84E15">
        <w:t>Undergraduate student, School of Health Sciences, Department of Veterinary Medicine, University of Thessaly</w:t>
      </w:r>
    </w:p>
    <w:p w14:paraId="5643F54A" w14:textId="77777777" w:rsidR="00E84E15" w:rsidRPr="00E84E15" w:rsidRDefault="00E84E15">
      <w:pPr>
        <w:numPr>
          <w:ilvl w:val="0"/>
          <w:numId w:val="86"/>
        </w:numPr>
        <w:jc w:val="both"/>
      </w:pPr>
      <w:r w:rsidRPr="00E84E15">
        <w:t>Professor, School of Health Sciences, Department of Veterinary Medicine, University of Thessaly</w:t>
      </w:r>
    </w:p>
    <w:p w14:paraId="0826050F" w14:textId="77777777" w:rsidR="00E84E15" w:rsidRPr="00E84E15" w:rsidRDefault="00E84E15" w:rsidP="00E84E15">
      <w:pPr>
        <w:jc w:val="both"/>
      </w:pPr>
    </w:p>
    <w:p w14:paraId="359CB684" w14:textId="77777777" w:rsidR="00E84E15" w:rsidRPr="00E84E15" w:rsidRDefault="00E84E15" w:rsidP="00E84E15">
      <w:pPr>
        <w:jc w:val="both"/>
      </w:pPr>
      <w:r w:rsidRPr="00E84E15">
        <w:rPr>
          <w:b/>
          <w:bCs/>
        </w:rPr>
        <w:t>Abstract</w:t>
      </w:r>
    </w:p>
    <w:p w14:paraId="5812A3EB" w14:textId="77777777" w:rsidR="00E84E15" w:rsidRDefault="00E84E15" w:rsidP="00E84E15">
      <w:pPr>
        <w:jc w:val="both"/>
      </w:pPr>
      <w:r w:rsidRPr="00E84E15">
        <w:t>The hybridization of the gray wolf (</w:t>
      </w:r>
      <w:r w:rsidRPr="00E84E15">
        <w:rPr>
          <w:i/>
          <w:iCs/>
        </w:rPr>
        <w:t>Canis lupus</w:t>
      </w:r>
      <w:r w:rsidRPr="00E84E15">
        <w:t>) and the domestic dog (</w:t>
      </w:r>
      <w:r w:rsidRPr="00E84E15">
        <w:rPr>
          <w:i/>
          <w:iCs/>
        </w:rPr>
        <w:t>Canis lupus familiaris</w:t>
      </w:r>
      <w:r w:rsidRPr="00E84E15">
        <w:t>) is an ecological phenomenon that has been observed for hundreds of years. Recorded cases were rare due to the different behavior and geographical isolation of the two species. However, with the recovery of wolf populations, the increase in stray dogs, and the growing demand for hybrids as pets, hybridization has become a concern for the scientific community, which has conducted numerous studies and samplings in native wolf populations. In our country, the environmental organization “Kallisto” confirmed the existence of a hybrid in Chalkidiki for the first time in 2025. In Europe, organizations have been established to limit the spread of hybrids, while in our country the legal framework remains unclear. Hybrids exhibit favorable traits associated with dogs, which are still being studied, such as increased life expectancy and dietary adaptability. However, the spread of hybrids within the packs of the “pure” wolf poses risks, such as the alteration of the wolf’s genetic material, changes in its behavior and ecological role, and the disruption of ecological balance.</w:t>
      </w:r>
    </w:p>
    <w:p w14:paraId="1BF0FBD0" w14:textId="77777777" w:rsidR="00E84E15" w:rsidRPr="00E84E15" w:rsidRDefault="00E84E15" w:rsidP="00E84E15">
      <w:pPr>
        <w:jc w:val="both"/>
      </w:pPr>
    </w:p>
    <w:p w14:paraId="5E275087" w14:textId="77777777" w:rsidR="00E84E15" w:rsidRPr="00E84E15" w:rsidRDefault="00E84E15" w:rsidP="00E84E15">
      <w:pPr>
        <w:jc w:val="both"/>
      </w:pPr>
      <w:r w:rsidRPr="00E84E15">
        <w:rPr>
          <w:b/>
          <w:bCs/>
        </w:rPr>
        <w:t>Bibliography</w:t>
      </w:r>
    </w:p>
    <w:p w14:paraId="254922F0" w14:textId="77777777" w:rsidR="00E84E15" w:rsidRPr="00E84E15" w:rsidRDefault="00E84E15" w:rsidP="00E84E15">
      <w:pPr>
        <w:jc w:val="both"/>
      </w:pPr>
      <w:r w:rsidRPr="00E84E15">
        <w:t>Council of Europe. (2022). Wolf population assessment: Bern Convention (Inf45e-2022).</w:t>
      </w:r>
      <w:hyperlink r:id="rId83" w:history="1">
        <w:r w:rsidRPr="00E84E15">
          <w:rPr>
            <w:rStyle w:val="-"/>
          </w:rPr>
          <w:t> </w:t>
        </w:r>
      </w:hyperlink>
    </w:p>
    <w:p w14:paraId="01CE0724" w14:textId="77777777" w:rsidR="00E84E15" w:rsidRPr="00E84E15" w:rsidRDefault="00E84E15" w:rsidP="00E84E15">
      <w:pPr>
        <w:jc w:val="both"/>
      </w:pPr>
      <w:r w:rsidRPr="00E84E15">
        <w:t>Dokumentations- und Beratungsstelle des Bundes zum Thema Wolf (DBBW). (n.d.). Handling of wolf-dog hybrids.</w:t>
      </w:r>
      <w:hyperlink r:id="rId84" w:history="1">
        <w:r w:rsidRPr="00E84E15">
          <w:rPr>
            <w:rStyle w:val="-"/>
          </w:rPr>
          <w:t> </w:t>
        </w:r>
      </w:hyperlink>
    </w:p>
    <w:p w14:paraId="57F49B29" w14:textId="77777777" w:rsidR="00E84E15" w:rsidRPr="00E84E15" w:rsidRDefault="00E84E15" w:rsidP="00E84E15">
      <w:pPr>
        <w:jc w:val="both"/>
      </w:pPr>
      <w:r w:rsidRPr="00E84E15">
        <w:t xml:space="preserve">Hindrikson, M., et al. (2021). Wolf–dog hybridization in Europe: A review. </w:t>
      </w:r>
      <w:r w:rsidRPr="00E84E15">
        <w:rPr>
          <w:i/>
          <w:iCs/>
        </w:rPr>
        <w:t>Global Ecology and Conservation</w:t>
      </w:r>
      <w:r w:rsidRPr="00E84E15">
        <w:t>, 27, e01572.</w:t>
      </w:r>
      <w:hyperlink r:id="rId85" w:history="1">
        <w:r w:rsidRPr="00E84E15">
          <w:rPr>
            <w:rStyle w:val="-"/>
          </w:rPr>
          <w:t> </w:t>
        </w:r>
      </w:hyperlink>
    </w:p>
    <w:p w14:paraId="5DF15EBE" w14:textId="77777777" w:rsidR="00E84E15" w:rsidRPr="00E84E15" w:rsidRDefault="00E84E15" w:rsidP="00E84E15">
      <w:pPr>
        <w:jc w:val="both"/>
      </w:pPr>
      <w:r w:rsidRPr="00E84E15">
        <w:t xml:space="preserve">Hughes, J. M., &amp; Macdonald, D. W. (2013). A review of the interactions between free-ranging domestic dogs and wildlife. </w:t>
      </w:r>
      <w:r w:rsidRPr="00E84E15">
        <w:rPr>
          <w:i/>
          <w:iCs/>
        </w:rPr>
        <w:t>Biological Conservation</w:t>
      </w:r>
      <w:r w:rsidRPr="00E84E15">
        <w:t>, 157, 341–351.</w:t>
      </w:r>
      <w:hyperlink r:id="rId86" w:history="1">
        <w:r w:rsidRPr="00E84E15">
          <w:rPr>
            <w:rStyle w:val="-"/>
          </w:rPr>
          <w:t> </w:t>
        </w:r>
      </w:hyperlink>
    </w:p>
    <w:p w14:paraId="0FCC909E" w14:textId="77777777" w:rsidR="00E84E15" w:rsidRPr="00E84E15" w:rsidRDefault="00E84E15" w:rsidP="00E84E15">
      <w:pPr>
        <w:jc w:val="both"/>
      </w:pPr>
      <w:r w:rsidRPr="00E84E15">
        <w:t xml:space="preserve">Iacolina, L., et al. (2016). Hybridisation in European canids: A review of current knowledge and conservation implications. </w:t>
      </w:r>
      <w:r w:rsidRPr="00E84E15">
        <w:rPr>
          <w:i/>
          <w:iCs/>
        </w:rPr>
        <w:t>Biological Conservation</w:t>
      </w:r>
      <w:r w:rsidRPr="00E84E15">
        <w:t>.</w:t>
      </w:r>
      <w:hyperlink r:id="rId87" w:history="1">
        <w:r w:rsidRPr="00E84E15">
          <w:rPr>
            <w:rStyle w:val="-"/>
          </w:rPr>
          <w:t> </w:t>
        </w:r>
      </w:hyperlink>
    </w:p>
    <w:p w14:paraId="35D4BEF6" w14:textId="77777777" w:rsidR="00E84E15" w:rsidRPr="00E84E15" w:rsidRDefault="00E84E15" w:rsidP="00E84E15">
      <w:pPr>
        <w:jc w:val="both"/>
      </w:pPr>
      <w:r w:rsidRPr="00E84E15">
        <w:t>International Wolf Center. (n.d.). Wolf-dog hybrids.</w:t>
      </w:r>
      <w:hyperlink r:id="rId88" w:history="1">
        <w:r w:rsidRPr="00E84E15">
          <w:rPr>
            <w:rStyle w:val="-"/>
          </w:rPr>
          <w:t> </w:t>
        </w:r>
      </w:hyperlink>
    </w:p>
    <w:p w14:paraId="3DAEBABC" w14:textId="77777777" w:rsidR="00E84E15" w:rsidRPr="00E84E15" w:rsidRDefault="00E84E15" w:rsidP="00E84E15">
      <w:pPr>
        <w:jc w:val="both"/>
      </w:pPr>
      <w:r w:rsidRPr="00E84E15">
        <w:t xml:space="preserve">Last, J. (2025, August 11). Demand for wolf-dog hybrid pets is surging—and that’s a huge problem. </w:t>
      </w:r>
      <w:r w:rsidRPr="00E84E15">
        <w:rPr>
          <w:i/>
          <w:iCs/>
        </w:rPr>
        <w:t>National Geographic</w:t>
      </w:r>
      <w:r w:rsidRPr="00E84E15">
        <w:t>.</w:t>
      </w:r>
      <w:hyperlink r:id="rId89" w:history="1">
        <w:r w:rsidRPr="00E84E15">
          <w:rPr>
            <w:rStyle w:val="-"/>
          </w:rPr>
          <w:t> </w:t>
        </w:r>
      </w:hyperlink>
    </w:p>
    <w:p w14:paraId="733E9031" w14:textId="77777777" w:rsidR="00E84E15" w:rsidRPr="00E84E15" w:rsidRDefault="00E84E15" w:rsidP="00E84E15">
      <w:pPr>
        <w:jc w:val="both"/>
      </w:pPr>
      <w:r w:rsidRPr="00E84E15">
        <w:t xml:space="preserve">Randi, E., et al. (2014). Multilocus detection of wolf–dog hybridization in Europe. </w:t>
      </w:r>
      <w:r w:rsidRPr="00E84E15">
        <w:rPr>
          <w:i/>
          <w:iCs/>
        </w:rPr>
        <w:t>Molecular Ecology</w:t>
      </w:r>
      <w:r w:rsidRPr="00E84E15">
        <w:t>.</w:t>
      </w:r>
      <w:hyperlink r:id="rId90" w:history="1">
        <w:r w:rsidRPr="00E84E15">
          <w:rPr>
            <w:rStyle w:val="-"/>
          </w:rPr>
          <w:t> </w:t>
        </w:r>
      </w:hyperlink>
    </w:p>
    <w:p w14:paraId="422E9618" w14:textId="77777777" w:rsidR="00E84E15" w:rsidRPr="00E84E15" w:rsidRDefault="00E84E15" w:rsidP="00E84E15">
      <w:pPr>
        <w:jc w:val="both"/>
      </w:pPr>
      <w:r w:rsidRPr="00E84E15">
        <w:t>Sapienza University of Rome. (n.d.). Wolf-dog hybridisation in Europe: Risk to biodiversity.</w:t>
      </w:r>
      <w:hyperlink r:id="rId91" w:history="1">
        <w:r w:rsidRPr="00E84E15">
          <w:rPr>
            <w:rStyle w:val="-"/>
          </w:rPr>
          <w:t> </w:t>
        </w:r>
      </w:hyperlink>
    </w:p>
    <w:p w14:paraId="1040FEF2" w14:textId="77777777" w:rsidR="00E84E15" w:rsidRPr="00E84E15" w:rsidRDefault="00E84E15" w:rsidP="00E84E15">
      <w:pPr>
        <w:jc w:val="both"/>
      </w:pPr>
      <w:r w:rsidRPr="00E84E15">
        <w:lastRenderedPageBreak/>
        <w:t xml:space="preserve">University of California, Davis. (n.d.). Wolf hybrid test. </w:t>
      </w:r>
      <w:r w:rsidRPr="00E84E15">
        <w:rPr>
          <w:i/>
          <w:iCs/>
        </w:rPr>
        <w:t>Veterinary Genetics Laboratory</w:t>
      </w:r>
      <w:r w:rsidRPr="00E84E15">
        <w:t>.</w:t>
      </w:r>
      <w:hyperlink r:id="rId92" w:history="1">
        <w:r w:rsidRPr="00E84E15">
          <w:rPr>
            <w:rStyle w:val="-"/>
          </w:rPr>
          <w:t> </w:t>
        </w:r>
      </w:hyperlink>
    </w:p>
    <w:p w14:paraId="288156CB" w14:textId="77777777" w:rsidR="00E84E15" w:rsidRDefault="00E84E15" w:rsidP="00E84E15">
      <w:pPr>
        <w:jc w:val="both"/>
      </w:pPr>
    </w:p>
    <w:p w14:paraId="15630181" w14:textId="77777777" w:rsidR="00E84E15" w:rsidRDefault="00E84E15" w:rsidP="00E84E15">
      <w:pPr>
        <w:jc w:val="both"/>
      </w:pPr>
    </w:p>
    <w:p w14:paraId="5B6DA95C" w14:textId="77777777" w:rsidR="00E84E15" w:rsidRDefault="00E84E15" w:rsidP="00E84E15">
      <w:pPr>
        <w:jc w:val="both"/>
      </w:pPr>
    </w:p>
    <w:p w14:paraId="3DBDC50C" w14:textId="77777777" w:rsidR="00E84E15" w:rsidRDefault="00E84E15" w:rsidP="00E84E15">
      <w:pPr>
        <w:jc w:val="both"/>
      </w:pPr>
    </w:p>
    <w:p w14:paraId="2A9B3B4A" w14:textId="77777777" w:rsidR="00E84E15" w:rsidRDefault="00E84E15" w:rsidP="00E84E15">
      <w:pPr>
        <w:jc w:val="both"/>
      </w:pPr>
    </w:p>
    <w:p w14:paraId="1047B7C9" w14:textId="77777777" w:rsidR="00E84E15" w:rsidRDefault="00E84E15" w:rsidP="00E84E15">
      <w:pPr>
        <w:jc w:val="both"/>
      </w:pPr>
    </w:p>
    <w:p w14:paraId="17132085" w14:textId="77777777" w:rsidR="00E84E15" w:rsidRDefault="00E84E15" w:rsidP="00E84E15">
      <w:pPr>
        <w:jc w:val="both"/>
      </w:pPr>
    </w:p>
    <w:p w14:paraId="6CB7C196" w14:textId="77777777" w:rsidR="00E84E15" w:rsidRDefault="00E84E15" w:rsidP="00E84E15">
      <w:pPr>
        <w:jc w:val="both"/>
      </w:pPr>
    </w:p>
    <w:p w14:paraId="3C414392" w14:textId="77777777" w:rsidR="00E84E15" w:rsidRDefault="00E84E15" w:rsidP="00E84E15">
      <w:pPr>
        <w:jc w:val="both"/>
      </w:pPr>
    </w:p>
    <w:p w14:paraId="1A3389DE" w14:textId="77777777" w:rsidR="00E84E15" w:rsidRDefault="00E84E15" w:rsidP="00E84E15">
      <w:pPr>
        <w:jc w:val="both"/>
      </w:pPr>
    </w:p>
    <w:p w14:paraId="2674C0AA" w14:textId="77777777" w:rsidR="00E84E15" w:rsidRDefault="00E84E15" w:rsidP="00E84E15">
      <w:pPr>
        <w:jc w:val="both"/>
      </w:pPr>
    </w:p>
    <w:p w14:paraId="4A3D183B" w14:textId="77777777" w:rsidR="00E84E15" w:rsidRDefault="00E84E15" w:rsidP="00E84E15">
      <w:pPr>
        <w:jc w:val="both"/>
      </w:pPr>
    </w:p>
    <w:p w14:paraId="76789967" w14:textId="77777777" w:rsidR="00E84E15" w:rsidRDefault="00E84E15" w:rsidP="00E84E15">
      <w:pPr>
        <w:jc w:val="both"/>
      </w:pPr>
    </w:p>
    <w:p w14:paraId="5E1A21A7" w14:textId="77777777" w:rsidR="00E84E15" w:rsidRDefault="00E84E15" w:rsidP="00E84E15">
      <w:pPr>
        <w:jc w:val="both"/>
      </w:pPr>
    </w:p>
    <w:p w14:paraId="654B1BA5" w14:textId="77777777" w:rsidR="00E84E15" w:rsidRDefault="00E84E15" w:rsidP="00E84E15">
      <w:pPr>
        <w:jc w:val="both"/>
      </w:pPr>
    </w:p>
    <w:p w14:paraId="2C95B84D" w14:textId="77777777" w:rsidR="00E84E15" w:rsidRDefault="00E84E15" w:rsidP="00E84E15">
      <w:pPr>
        <w:jc w:val="both"/>
      </w:pPr>
    </w:p>
    <w:p w14:paraId="641C8C5D" w14:textId="77777777" w:rsidR="00E84E15" w:rsidRDefault="00E84E15" w:rsidP="00E84E15">
      <w:pPr>
        <w:jc w:val="both"/>
      </w:pPr>
    </w:p>
    <w:p w14:paraId="10089677" w14:textId="77777777" w:rsidR="00E84E15" w:rsidRDefault="00E84E15" w:rsidP="00E84E15">
      <w:pPr>
        <w:jc w:val="both"/>
      </w:pPr>
    </w:p>
    <w:p w14:paraId="5355D1A9" w14:textId="77777777" w:rsidR="00E84E15" w:rsidRDefault="00E84E15" w:rsidP="00E84E15">
      <w:pPr>
        <w:jc w:val="both"/>
      </w:pPr>
    </w:p>
    <w:p w14:paraId="5C16988B" w14:textId="77777777" w:rsidR="00E84E15" w:rsidRDefault="00E84E15" w:rsidP="00E84E15">
      <w:pPr>
        <w:jc w:val="both"/>
      </w:pPr>
    </w:p>
    <w:p w14:paraId="5D6F3CC3" w14:textId="77777777" w:rsidR="00E84E15" w:rsidRDefault="00E84E15" w:rsidP="00E84E15">
      <w:pPr>
        <w:jc w:val="both"/>
      </w:pPr>
    </w:p>
    <w:p w14:paraId="79755718" w14:textId="77777777" w:rsidR="00E84E15" w:rsidRDefault="00E84E15" w:rsidP="00E84E15">
      <w:pPr>
        <w:jc w:val="both"/>
      </w:pPr>
    </w:p>
    <w:p w14:paraId="4B91742C" w14:textId="77777777" w:rsidR="00E84E15" w:rsidRDefault="00E84E15" w:rsidP="00E84E15">
      <w:pPr>
        <w:jc w:val="both"/>
      </w:pPr>
    </w:p>
    <w:p w14:paraId="1792B48F" w14:textId="77777777" w:rsidR="00E84E15" w:rsidRDefault="00E84E15" w:rsidP="00E84E15">
      <w:pPr>
        <w:jc w:val="both"/>
      </w:pPr>
    </w:p>
    <w:p w14:paraId="285C2BA7" w14:textId="77777777" w:rsidR="00E84E15" w:rsidRDefault="00E84E15" w:rsidP="00E84E15">
      <w:pPr>
        <w:jc w:val="both"/>
      </w:pPr>
    </w:p>
    <w:p w14:paraId="67D7F48D" w14:textId="77777777" w:rsidR="00E84E15" w:rsidRDefault="00E84E15" w:rsidP="00E84E15">
      <w:pPr>
        <w:jc w:val="both"/>
      </w:pPr>
    </w:p>
    <w:p w14:paraId="0A4CC196" w14:textId="77777777" w:rsidR="00E84E15" w:rsidRDefault="00E84E15" w:rsidP="00E84E15">
      <w:pPr>
        <w:jc w:val="both"/>
      </w:pPr>
    </w:p>
    <w:p w14:paraId="6DCFB021" w14:textId="77777777" w:rsidR="00E84E15" w:rsidRDefault="00E84E15" w:rsidP="00E84E15">
      <w:pPr>
        <w:jc w:val="both"/>
      </w:pPr>
    </w:p>
    <w:p w14:paraId="732AF5B9" w14:textId="77777777" w:rsidR="00E84E15" w:rsidRDefault="00E84E15" w:rsidP="00E84E15">
      <w:pPr>
        <w:jc w:val="both"/>
      </w:pPr>
    </w:p>
    <w:p w14:paraId="721BC9EC" w14:textId="77777777" w:rsidR="00E84E15" w:rsidRPr="00E84E15" w:rsidRDefault="00E84E15" w:rsidP="00E84E15">
      <w:pPr>
        <w:jc w:val="both"/>
      </w:pPr>
    </w:p>
    <w:p w14:paraId="04EB6B2A" w14:textId="77777777" w:rsidR="00E84E15" w:rsidRPr="00E84E15" w:rsidRDefault="00E84E15" w:rsidP="00E84E15">
      <w:pPr>
        <w:jc w:val="both"/>
      </w:pPr>
      <w:r w:rsidRPr="00E84E15">
        <w:rPr>
          <w:b/>
          <w:bCs/>
        </w:rPr>
        <w:lastRenderedPageBreak/>
        <w:t>From Darkness to Innovation: Unveiling the Secrets of Bats</w:t>
      </w:r>
    </w:p>
    <w:p w14:paraId="567ACD53" w14:textId="77777777" w:rsidR="00E84E15" w:rsidRPr="00E84E15" w:rsidRDefault="00E84E15" w:rsidP="00E84E15">
      <w:pPr>
        <w:jc w:val="both"/>
      </w:pPr>
      <w:r w:rsidRPr="00E84E15">
        <w:t>Vlastaridis Marios</w:t>
      </w:r>
      <w:r w:rsidRPr="00E84E15">
        <w:rPr>
          <w:vertAlign w:val="superscript"/>
        </w:rPr>
        <w:t>1</w:t>
      </w:r>
      <w:r w:rsidRPr="00E84E15">
        <w:t>, Papadopoulou Euaggelia</w:t>
      </w:r>
      <w:r w:rsidRPr="00E84E15">
        <w:rPr>
          <w:vertAlign w:val="superscript"/>
        </w:rPr>
        <w:t>1</w:t>
      </w:r>
      <w:r w:rsidRPr="00E84E15">
        <w:t>, Chatzitheodorou George</w:t>
      </w:r>
      <w:r w:rsidRPr="00E84E15">
        <w:rPr>
          <w:vertAlign w:val="superscript"/>
        </w:rPr>
        <w:t>1</w:t>
      </w:r>
      <w:r w:rsidRPr="00E84E15">
        <w:t>, Xenoulis Panagiotis</w:t>
      </w:r>
      <w:r w:rsidRPr="00E84E15">
        <w:rPr>
          <w:vertAlign w:val="superscript"/>
        </w:rPr>
        <w:t>2</w:t>
      </w:r>
    </w:p>
    <w:p w14:paraId="4023C34B" w14:textId="77777777" w:rsidR="00E84E15" w:rsidRPr="00E84E15" w:rsidRDefault="00E84E15">
      <w:pPr>
        <w:numPr>
          <w:ilvl w:val="0"/>
          <w:numId w:val="87"/>
        </w:numPr>
        <w:jc w:val="both"/>
      </w:pPr>
      <w:r w:rsidRPr="00E84E15">
        <w:t>Undergraduate student, Department of Veterinary Medicine, School of Health Sciences, University of Thessaly. </w:t>
      </w:r>
    </w:p>
    <w:p w14:paraId="3707DB6E" w14:textId="77777777" w:rsidR="00E84E15" w:rsidRDefault="00E84E15">
      <w:pPr>
        <w:numPr>
          <w:ilvl w:val="0"/>
          <w:numId w:val="87"/>
        </w:numPr>
        <w:jc w:val="both"/>
      </w:pPr>
      <w:r w:rsidRPr="00E84E15">
        <w:t>Professor of Companion Animal Pathology, Department of Veterinary Medicine, School of Health Sciences, University of Thessaly.</w:t>
      </w:r>
    </w:p>
    <w:p w14:paraId="399B9BF8" w14:textId="77777777" w:rsidR="00E84E15" w:rsidRPr="00E84E15" w:rsidRDefault="00E84E15" w:rsidP="00E84E15">
      <w:pPr>
        <w:ind w:left="720"/>
        <w:jc w:val="both"/>
      </w:pPr>
    </w:p>
    <w:p w14:paraId="4379D3DE" w14:textId="77777777" w:rsidR="00E84E15" w:rsidRPr="00E84E15" w:rsidRDefault="00E84E15" w:rsidP="00E84E15">
      <w:pPr>
        <w:jc w:val="both"/>
      </w:pPr>
      <w:r w:rsidRPr="00E84E15">
        <w:rPr>
          <w:b/>
          <w:bCs/>
        </w:rPr>
        <w:t>Abstract</w:t>
      </w:r>
    </w:p>
    <w:p w14:paraId="33C1BB60" w14:textId="77777777" w:rsidR="00E84E15" w:rsidRDefault="00E84E15" w:rsidP="00E84E15">
      <w:pPr>
        <w:jc w:val="both"/>
      </w:pPr>
      <w:r w:rsidRPr="00E84E15">
        <w:t>The presentation analyzes three distinctive characteristics of bats. Initially, it explores how bats use echolocation to process auditory scenes. Adaptive changes in signal frequency, duration, and direction during hunting are examined. Additionally, methods of automated species identification are discussed for monitoring and conservation purposes. Finally, it highlights how these behaviors inspire technological innovations in navigation systems. Subsequently, the unique biomechanical adaptations of bats are analyzed, with particular emphasis on the Tendon Locking Mechanism (TLM), which allows them to hang upside down without energy expenditure. This anatomical suspension feature has served as inspiration for NASA robotics and advanced drones, highlighting the contribution of biomimicry to technological development. Finally, the “metabolic paradox” of nectar-feeding bats is examined, as they consume large amounts of sugar without toxic effects. This tolerance is attributed to mechanisms such as the direct oxidation of sugars in flight muscles and adaptations in enzymes such as ALDOB and PDH. At the same time, their pancreas contains an increased number of beta cells, enabling rapid glucose regulation. These adaptations provide valuable insights for the management of type 2 diabetes.</w:t>
      </w:r>
    </w:p>
    <w:p w14:paraId="2AE506F0" w14:textId="77777777" w:rsidR="00E84E15" w:rsidRPr="00E84E15" w:rsidRDefault="00E84E15" w:rsidP="00E84E15">
      <w:pPr>
        <w:jc w:val="both"/>
      </w:pPr>
    </w:p>
    <w:p w14:paraId="2A3E0F8B" w14:textId="77777777" w:rsidR="00E84E15" w:rsidRPr="00E84E15" w:rsidRDefault="00E84E15" w:rsidP="00E84E15">
      <w:pPr>
        <w:jc w:val="both"/>
      </w:pPr>
      <w:r w:rsidRPr="00E84E15">
        <w:rPr>
          <w:b/>
          <w:bCs/>
        </w:rPr>
        <w:t>Bibliography</w:t>
      </w:r>
    </w:p>
    <w:p w14:paraId="29E70DC8" w14:textId="77777777" w:rsidR="00E84E15" w:rsidRPr="00E84E15" w:rsidRDefault="00E84E15" w:rsidP="00E84E15">
      <w:pPr>
        <w:jc w:val="both"/>
      </w:pPr>
      <w:r w:rsidRPr="00E84E15">
        <w:t>Candanosa, R. M. (2019, October 18).</w:t>
      </w:r>
      <w:r w:rsidRPr="00E84E15">
        <w:rPr>
          <w:i/>
          <w:iCs/>
        </w:rPr>
        <w:t> A robot inspired by bats to make flying drones safer and more energy-efficient.</w:t>
      </w:r>
      <w:r w:rsidRPr="00E84E15">
        <w:t xml:space="preserve"> Northeastern Global News. </w:t>
      </w:r>
    </w:p>
    <w:p w14:paraId="200873AC" w14:textId="77777777" w:rsidR="00E84E15" w:rsidRPr="00E84E15" w:rsidRDefault="00E84E15" w:rsidP="00E84E15">
      <w:pPr>
        <w:jc w:val="both"/>
      </w:pPr>
      <w:r w:rsidRPr="00E84E15">
        <w:t xml:space="preserve">Howell, D. J., &amp; Pylka, J. (1977). </w:t>
      </w:r>
      <w:r w:rsidRPr="00E84E15">
        <w:rPr>
          <w:i/>
          <w:iCs/>
        </w:rPr>
        <w:t>Why bats hang upside down: A biomechanical hypothesis.</w:t>
      </w:r>
      <w:r w:rsidRPr="00E84E15">
        <w:t> Journal of Theoretical Biology, 69(4), 625–631. </w:t>
      </w:r>
    </w:p>
    <w:p w14:paraId="7F4A41EE" w14:textId="77777777" w:rsidR="00E84E15" w:rsidRPr="00E84E15" w:rsidRDefault="00E84E15" w:rsidP="00E84E15">
      <w:pPr>
        <w:jc w:val="both"/>
      </w:pPr>
      <w:r w:rsidRPr="00E84E15">
        <w:t>Kanis, S. (2016, November 8).</w:t>
      </w:r>
      <w:r w:rsidRPr="00E84E15">
        <w:rPr>
          <w:i/>
          <w:iCs/>
        </w:rPr>
        <w:t> What is Astrobee? NASA. </w:t>
      </w:r>
    </w:p>
    <w:p w14:paraId="5ED04D5B" w14:textId="77777777" w:rsidR="00E84E15" w:rsidRPr="00E84E15" w:rsidRDefault="00E84E15" w:rsidP="00E84E15">
      <w:pPr>
        <w:jc w:val="both"/>
      </w:pPr>
      <w:r w:rsidRPr="00E84E15">
        <w:t xml:space="preserve">Kelm, D. H., Simon, R., Kuhlow, D., Voigt, C. C., &amp; Ristow, M. (2011). </w:t>
      </w:r>
      <w:r w:rsidRPr="00E84E15">
        <w:rPr>
          <w:i/>
          <w:iCs/>
        </w:rPr>
        <w:t>High activity enables life on a high-sugar diet: Blood glucose regulation in nectar-feeding bats.</w:t>
      </w:r>
      <w:r w:rsidRPr="00E84E15">
        <w:t> Proceedings of the Royal Society B: Biological Sciences, 278(1724), 3490–3496. </w:t>
      </w:r>
    </w:p>
    <w:p w14:paraId="78348CAC" w14:textId="77777777" w:rsidR="00E84E15" w:rsidRPr="00E84E15" w:rsidRDefault="00E84E15" w:rsidP="00E84E15">
      <w:pPr>
        <w:jc w:val="both"/>
      </w:pPr>
      <w:r w:rsidRPr="00E84E15">
        <w:t>Meadows, R. (2015).</w:t>
      </w:r>
      <w:r w:rsidRPr="00E84E15">
        <w:rPr>
          <w:i/>
          <w:iCs/>
        </w:rPr>
        <w:t xml:space="preserve"> How bats land upside down.</w:t>
      </w:r>
      <w:r w:rsidRPr="00E84E15">
        <w:t> PLOS Biology, 13(11), e1002298.</w:t>
      </w:r>
    </w:p>
    <w:p w14:paraId="1305A2EA" w14:textId="77777777" w:rsidR="00E84E15" w:rsidRPr="00E84E15" w:rsidRDefault="00E84E15" w:rsidP="00E84E15">
      <w:pPr>
        <w:jc w:val="both"/>
      </w:pPr>
      <w:r w:rsidRPr="00E84E15">
        <w:t xml:space="preserve">Moss, C. F., &amp; Surlykke, A. (2010). </w:t>
      </w:r>
      <w:r w:rsidRPr="00E84E15">
        <w:rPr>
          <w:i/>
          <w:iCs/>
        </w:rPr>
        <w:t>Probing the natural scene by echolocation in bats. </w:t>
      </w:r>
      <w:r w:rsidRPr="00E84E15">
        <w:t>Frontiers in Behavioral Neuroscience, 4, 33. </w:t>
      </w:r>
    </w:p>
    <w:p w14:paraId="5A47AB5F" w14:textId="77777777" w:rsidR="00E84E15" w:rsidRPr="00E84E15" w:rsidRDefault="00E84E15" w:rsidP="00E84E15">
      <w:pPr>
        <w:jc w:val="both"/>
      </w:pPr>
      <w:r w:rsidRPr="00E84E15">
        <w:t>Owen, J. (2015, November 16). </w:t>
      </w:r>
      <w:r w:rsidRPr="00E84E15">
        <w:rPr>
          <w:i/>
          <w:iCs/>
        </w:rPr>
        <w:t xml:space="preserve">Mystery solved: How bats can land upside down. </w:t>
      </w:r>
      <w:r w:rsidRPr="00E84E15">
        <w:t>National Geographic. </w:t>
      </w:r>
    </w:p>
    <w:p w14:paraId="0A86367A" w14:textId="77777777" w:rsidR="00E84E15" w:rsidRPr="00E84E15" w:rsidRDefault="00E84E15" w:rsidP="00E84E15">
      <w:pPr>
        <w:jc w:val="both"/>
      </w:pPr>
      <w:r w:rsidRPr="00E84E15">
        <w:lastRenderedPageBreak/>
        <w:t xml:space="preserve">Peng, X., He, X., Sun, Y., Liang, J., Xie, H., Wang, J., &amp; Zhang, L. (2019). </w:t>
      </w:r>
      <w:r w:rsidRPr="00E84E15">
        <w:rPr>
          <w:i/>
          <w:iCs/>
        </w:rPr>
        <w:t>Difference in glucose tolerance between phytophagous and insectivorous bats. </w:t>
      </w:r>
      <w:r w:rsidRPr="00E84E15">
        <w:t>Journal of Comparative Physiology B, 189(6), 751–756. </w:t>
      </w:r>
    </w:p>
    <w:p w14:paraId="59E4AD6D" w14:textId="77777777" w:rsidR="00E84E15" w:rsidRPr="00E84E15" w:rsidRDefault="00E84E15" w:rsidP="00E84E15">
      <w:pPr>
        <w:jc w:val="both"/>
      </w:pPr>
      <w:r w:rsidRPr="00E84E15">
        <w:t xml:space="preserve">Pino-Aedo, L., &amp; Muñoz-Sáez, A. (2026). </w:t>
      </w:r>
      <w:r w:rsidRPr="00E84E15">
        <w:rPr>
          <w:i/>
          <w:iCs/>
        </w:rPr>
        <w:t>A systematic review of bat echolocation analysis methods and their implications for monitoring and conservation. </w:t>
      </w:r>
      <w:r w:rsidRPr="00E84E15">
        <w:t>Discover Conservation, 3, 17.</w:t>
      </w:r>
    </w:p>
    <w:p w14:paraId="34DE16E6" w14:textId="77777777" w:rsidR="00E84E15" w:rsidRPr="00E84E15" w:rsidRDefault="00E84E15" w:rsidP="00E84E15">
      <w:pPr>
        <w:jc w:val="both"/>
      </w:pPr>
      <w:r w:rsidRPr="00E84E15">
        <w:t xml:space="preserve">Potter, J. H. T., Drinkwater, R., Davies, K. T. J., Nesi, N., Lim, M. C. W., Yohe, L. R., Chi, H., Zhang, X., Levantis, I., Lim, B. K., Witt, C. C., Tsagkogeorga, G., dos Reis, M., Liu, Y., Furey, W., Whitley, M. J., Aksentijevic, D., Dávalos, L. M., &amp; Rossiter, S. J. (2021). </w:t>
      </w:r>
      <w:r w:rsidRPr="00E84E15">
        <w:rPr>
          <w:i/>
          <w:iCs/>
        </w:rPr>
        <w:t>Nectar-feeding bats and birds show parallel molecular adaptations in sugar metabolism enzymes.</w:t>
      </w:r>
      <w:r w:rsidRPr="00E84E15">
        <w:t> Current Biology, 31(20), 4667–4674.e6. </w:t>
      </w:r>
    </w:p>
    <w:p w14:paraId="47214966" w14:textId="77777777" w:rsidR="00E84E15" w:rsidRPr="00E84E15" w:rsidRDefault="00E84E15" w:rsidP="00E84E15">
      <w:pPr>
        <w:jc w:val="both"/>
      </w:pPr>
      <w:r w:rsidRPr="00E84E15">
        <w:t xml:space="preserve">Quinn, T. H., &amp; Baumel, J. J. (1993). </w:t>
      </w:r>
      <w:r w:rsidRPr="00E84E15">
        <w:rPr>
          <w:i/>
          <w:iCs/>
        </w:rPr>
        <w:t>Chiropteran tendon locking mechanism.</w:t>
      </w:r>
      <w:r w:rsidRPr="00E84E15">
        <w:t> Journal of Morphology, 216(2), 197–208. </w:t>
      </w:r>
    </w:p>
    <w:p w14:paraId="6309B1B5" w14:textId="77777777" w:rsidR="00E84E15" w:rsidRPr="00E84E15" w:rsidRDefault="00E84E15" w:rsidP="00E84E15">
      <w:pPr>
        <w:jc w:val="both"/>
      </w:pPr>
      <w:r w:rsidRPr="00E84E15">
        <w:t>Ramezani, A. (2020).</w:t>
      </w:r>
      <w:r w:rsidRPr="00E84E15">
        <w:rPr>
          <w:i/>
          <w:iCs/>
        </w:rPr>
        <w:t xml:space="preserve"> Towards biomimicry of a bat-style perching maneuver on structures: The manipulation of inertial dynamics.</w:t>
      </w:r>
      <w:r w:rsidRPr="00E84E15">
        <w:t xml:space="preserve"> In 2020 IEEE International Conference on Robotics and Automation (ICRA) (pp. 7015–7021). IEEE.</w:t>
      </w:r>
    </w:p>
    <w:p w14:paraId="05F35CED" w14:textId="77777777" w:rsidR="00E84E15" w:rsidRPr="00E84E15" w:rsidRDefault="00E84E15" w:rsidP="00E84E15">
      <w:pPr>
        <w:jc w:val="both"/>
      </w:pPr>
      <w:r w:rsidRPr="00E84E15">
        <w:t>Shen, B., Han, X., Zhang, J., Rossiter, S. J., &amp; Zhang, S. (2012).</w:t>
      </w:r>
      <w:r w:rsidRPr="00E84E15">
        <w:rPr>
          <w:i/>
          <w:iCs/>
        </w:rPr>
        <w:t xml:space="preserve"> Adaptive evolution in the glucose transporter 4 gene Slc2a4 in Old World fruit bats (Family: Pteropodidae)</w:t>
      </w:r>
      <w:r w:rsidRPr="00E84E15">
        <w:t>. PLoS ONE, 7(4), e33197. </w:t>
      </w:r>
    </w:p>
    <w:p w14:paraId="6440A059" w14:textId="77777777" w:rsidR="00E84E15" w:rsidRPr="00E84E15" w:rsidRDefault="00E84E15" w:rsidP="00E84E15">
      <w:pPr>
        <w:jc w:val="both"/>
      </w:pPr>
      <w:r w:rsidRPr="00E84E15">
        <w:t xml:space="preserve">Sterbing-D’Angelo, S., Chadha, M., Chiu, C., Falk, B., Xian, W., Barcelo, J., Zook, J. M., &amp; Moss, C. F. (2011). </w:t>
      </w:r>
      <w:r w:rsidRPr="00E84E15">
        <w:rPr>
          <w:i/>
          <w:iCs/>
        </w:rPr>
        <w:t>Bat wing sensors support flight control.</w:t>
      </w:r>
      <w:r w:rsidRPr="00E84E15">
        <w:t> Proceedings of the National Academy of Sciences, 108(27), 11291–11296.</w:t>
      </w:r>
    </w:p>
    <w:p w14:paraId="1E5475A3" w14:textId="77777777" w:rsidR="00E84E15" w:rsidRPr="00E84E15" w:rsidRDefault="00E84E15" w:rsidP="00E84E15">
      <w:pPr>
        <w:jc w:val="both"/>
      </w:pPr>
      <w:r w:rsidRPr="00E84E15">
        <w:t>Suarez, R. K., &amp; Welch, K. C. (2017).</w:t>
      </w:r>
      <w:r w:rsidRPr="00E84E15">
        <w:rPr>
          <w:i/>
          <w:iCs/>
        </w:rPr>
        <w:t xml:space="preserve"> Sugar metabolism in hummingbirds and nectar bats. </w:t>
      </w:r>
      <w:r w:rsidRPr="00E84E15">
        <w:t>Nutrients, 9(7), 743. </w:t>
      </w:r>
    </w:p>
    <w:p w14:paraId="2931B8FF" w14:textId="77777777" w:rsidR="00E84E15" w:rsidRPr="00E84E15" w:rsidRDefault="00E84E15" w:rsidP="00E84E15">
      <w:pPr>
        <w:jc w:val="both"/>
      </w:pPr>
      <w:r w:rsidRPr="00E84E15">
        <w:t xml:space="preserve">Welch, K. C., Herrera, L. G. M., &amp; Suarez, R. K. (2011). </w:t>
      </w:r>
      <w:r w:rsidRPr="00E84E15">
        <w:rPr>
          <w:i/>
          <w:iCs/>
        </w:rPr>
        <w:t>Oxidation of dietary sugar during hovering flight in small vertebrate nectarivores. </w:t>
      </w:r>
      <w:r w:rsidRPr="00E84E15">
        <w:t>Journal of Experimental Biology, 214(19), 3324–3324. </w:t>
      </w:r>
    </w:p>
    <w:p w14:paraId="7392CCC0" w14:textId="77777777" w:rsidR="00E84E15" w:rsidRDefault="00E84E15" w:rsidP="00E84E15">
      <w:pPr>
        <w:jc w:val="both"/>
      </w:pPr>
      <w:r w:rsidRPr="00E84E15">
        <w:t xml:space="preserve">Zhang, C., Ji, L., Li, Z., Lucas, J. R., Feng, J., Sun, C., &amp; Jiang, T. (2024). </w:t>
      </w:r>
      <w:r w:rsidRPr="00E84E15">
        <w:rPr>
          <w:i/>
          <w:iCs/>
        </w:rPr>
        <w:t>Resting posture drives the evolution of agonistic displays in bats.</w:t>
      </w:r>
      <w:r w:rsidRPr="00E84E15">
        <w:t> Evolution, 78(5), 964–970. </w:t>
      </w:r>
    </w:p>
    <w:p w14:paraId="746F0AFC" w14:textId="77777777" w:rsidR="00E84E15" w:rsidRDefault="00E84E15" w:rsidP="00E84E15">
      <w:pPr>
        <w:jc w:val="both"/>
      </w:pPr>
    </w:p>
    <w:p w14:paraId="5F4E7D64" w14:textId="77777777" w:rsidR="00E84E15" w:rsidRDefault="00E84E15" w:rsidP="00E84E15">
      <w:pPr>
        <w:jc w:val="both"/>
      </w:pPr>
    </w:p>
    <w:p w14:paraId="23949B7D" w14:textId="77777777" w:rsidR="00E84E15" w:rsidRDefault="00E84E15" w:rsidP="00E84E15">
      <w:pPr>
        <w:jc w:val="both"/>
      </w:pPr>
    </w:p>
    <w:p w14:paraId="6D85C28E" w14:textId="77777777" w:rsidR="00E84E15" w:rsidRDefault="00E84E15" w:rsidP="00E84E15">
      <w:pPr>
        <w:jc w:val="both"/>
      </w:pPr>
    </w:p>
    <w:p w14:paraId="05158600" w14:textId="77777777" w:rsidR="00E84E15" w:rsidRDefault="00E84E15" w:rsidP="00E84E15">
      <w:pPr>
        <w:jc w:val="both"/>
      </w:pPr>
    </w:p>
    <w:p w14:paraId="2B760A43" w14:textId="77777777" w:rsidR="00E84E15" w:rsidRDefault="00E84E15" w:rsidP="00E84E15">
      <w:pPr>
        <w:jc w:val="both"/>
      </w:pPr>
    </w:p>
    <w:p w14:paraId="1343C4C6" w14:textId="77777777" w:rsidR="00E84E15" w:rsidRDefault="00E84E15" w:rsidP="00E84E15">
      <w:pPr>
        <w:jc w:val="both"/>
      </w:pPr>
    </w:p>
    <w:p w14:paraId="294CD9E4" w14:textId="77777777" w:rsidR="00E84E15" w:rsidRDefault="00E84E15" w:rsidP="00E84E15">
      <w:pPr>
        <w:jc w:val="both"/>
      </w:pPr>
    </w:p>
    <w:p w14:paraId="05D72CE0" w14:textId="77777777" w:rsidR="00E84E15" w:rsidRDefault="00E84E15" w:rsidP="00E84E15">
      <w:pPr>
        <w:jc w:val="both"/>
      </w:pPr>
    </w:p>
    <w:p w14:paraId="1EB85A6A" w14:textId="77777777" w:rsidR="00E84E15" w:rsidRDefault="00E84E15" w:rsidP="00E84E15">
      <w:pPr>
        <w:jc w:val="both"/>
      </w:pPr>
    </w:p>
    <w:p w14:paraId="1195C3B7" w14:textId="77777777" w:rsidR="00E84E15" w:rsidRPr="00E84E15" w:rsidRDefault="00E84E15" w:rsidP="00E84E15">
      <w:pPr>
        <w:jc w:val="both"/>
      </w:pPr>
    </w:p>
    <w:p w14:paraId="61C5D1D7" w14:textId="351B8BC3" w:rsidR="00E84E15" w:rsidRPr="00E84E15" w:rsidRDefault="00E84E15" w:rsidP="00E84E15">
      <w:pPr>
        <w:jc w:val="both"/>
      </w:pPr>
      <w:r w:rsidRPr="00E84E15">
        <w:rPr>
          <w:b/>
          <w:bCs/>
        </w:rPr>
        <w:lastRenderedPageBreak/>
        <w:t>Application and stranding data of cetaceans at the Mediterranean Sea &amp; Criteria for human interaction</w:t>
      </w:r>
    </w:p>
    <w:p w14:paraId="7D101B1D" w14:textId="6C4FC078" w:rsidR="00E84E15" w:rsidRPr="00E84E15" w:rsidRDefault="00E84E15" w:rsidP="00E84E15">
      <w:pPr>
        <w:jc w:val="both"/>
      </w:pPr>
      <w:r w:rsidRPr="00E84E15">
        <w:rPr>
          <w:b/>
          <w:bCs/>
        </w:rPr>
        <w:t> </w:t>
      </w:r>
      <w:r w:rsidRPr="00E84E15">
        <w:t>Stavridou Foteini</w:t>
      </w:r>
      <w:r w:rsidRPr="00E84E15">
        <w:rPr>
          <w:vertAlign w:val="superscript"/>
        </w:rPr>
        <w:t>1</w:t>
      </w:r>
      <w:r w:rsidRPr="00E84E15">
        <w:t>, Tzirini Maria</w:t>
      </w:r>
      <w:r w:rsidRPr="00E84E15">
        <w:rPr>
          <w:vertAlign w:val="superscript"/>
        </w:rPr>
        <w:t>1</w:t>
      </w:r>
      <w:r w:rsidRPr="00E84E15">
        <w:t>, Komnenou Anastasia</w:t>
      </w:r>
      <w:r w:rsidRPr="00E84E15">
        <w:rPr>
          <w:vertAlign w:val="superscript"/>
        </w:rPr>
        <w:t>2</w:t>
      </w:r>
      <w:r w:rsidRPr="00E84E15">
        <w:t>,</w:t>
      </w:r>
    </w:p>
    <w:p w14:paraId="6DED2AF5" w14:textId="77777777" w:rsidR="00E84E15" w:rsidRPr="00E84E15" w:rsidRDefault="00E84E15">
      <w:pPr>
        <w:numPr>
          <w:ilvl w:val="0"/>
          <w:numId w:val="88"/>
        </w:numPr>
        <w:jc w:val="both"/>
      </w:pPr>
      <w:r w:rsidRPr="00E84E15">
        <w:t>Undergraduate student, Department of Veterinary Medicine, School of Health Sciences, Aristotle University of Thessaloniki</w:t>
      </w:r>
    </w:p>
    <w:p w14:paraId="3E95E9EC" w14:textId="77777777" w:rsidR="00E84E15" w:rsidRDefault="00E84E15">
      <w:pPr>
        <w:numPr>
          <w:ilvl w:val="0"/>
          <w:numId w:val="88"/>
        </w:numPr>
        <w:jc w:val="both"/>
      </w:pPr>
      <w:r w:rsidRPr="00E84E15">
        <w:t>Professor of Veterinary Surgery – Comparative Opthalmology, Exotic and Wild Animal Medicine, Companion Animal Clinic, Department of Veterinary Medicine, School of Health Sciences, Aristotle University of Thessaloniki</w:t>
      </w:r>
    </w:p>
    <w:p w14:paraId="721BD741" w14:textId="77777777" w:rsidR="00E84E15" w:rsidRPr="00E84E15" w:rsidRDefault="00E84E15" w:rsidP="00E84E15">
      <w:pPr>
        <w:ind w:left="720"/>
        <w:jc w:val="both"/>
      </w:pPr>
    </w:p>
    <w:p w14:paraId="183BD263" w14:textId="77777777" w:rsidR="00E84E15" w:rsidRPr="00E84E15" w:rsidRDefault="00E84E15" w:rsidP="00E84E15">
      <w:pPr>
        <w:jc w:val="both"/>
      </w:pPr>
      <w:r w:rsidRPr="00E84E15">
        <w:rPr>
          <w:b/>
          <w:bCs/>
        </w:rPr>
        <w:t>Abstract</w:t>
      </w:r>
    </w:p>
    <w:p w14:paraId="4A02D6AA" w14:textId="77777777" w:rsidR="00E84E15" w:rsidRDefault="00E84E15" w:rsidP="00E84E15">
      <w:pPr>
        <w:jc w:val="both"/>
      </w:pPr>
      <w:r w:rsidRPr="00E84E15">
        <w:t>This review examines cetacean stranding data along the Mediterranean Sea, as well as the implementation of relevant management protocols. The causes of strandings and their frequency are investigated, with an emphasis on distinguishing between natural and anthropogenic factors. At the same time, stranding protocols from various Mediterranean countries are presented, aiming to evaluate each action plan and identify gaps in order to propose improvements. A significant aspect of this study focuses on interactions with fisheries, as the coexistence of cetaceans and fishing activities has always been complex. This study aims to contribute to a better understanding of the challenges faced by cetaceans and proposes improvements in management, with the goal of protecting and conserving their populations in the Mediterranean and beyond.</w:t>
      </w:r>
    </w:p>
    <w:p w14:paraId="61475958" w14:textId="77777777" w:rsidR="00E84E15" w:rsidRPr="00E84E15" w:rsidRDefault="00E84E15" w:rsidP="00E84E15">
      <w:pPr>
        <w:jc w:val="both"/>
      </w:pPr>
    </w:p>
    <w:p w14:paraId="69F20229" w14:textId="77777777" w:rsidR="00E84E15" w:rsidRPr="00E84E15" w:rsidRDefault="00E84E15" w:rsidP="00E84E15">
      <w:pPr>
        <w:jc w:val="both"/>
      </w:pPr>
      <w:r w:rsidRPr="00E84E15">
        <w:rPr>
          <w:b/>
          <w:bCs/>
        </w:rPr>
        <w:t>Bibliography:</w:t>
      </w:r>
    </w:p>
    <w:p w14:paraId="0449C6E6" w14:textId="77777777" w:rsidR="00E84E15" w:rsidRPr="00E84E15" w:rsidRDefault="00E84E15" w:rsidP="00E84E15">
      <w:pPr>
        <w:jc w:val="both"/>
      </w:pPr>
      <w:r w:rsidRPr="00E84E15">
        <w:t xml:space="preserve">National Institute of Oceanography and Fisheries (NIOF). (n.d.). </w:t>
      </w:r>
      <w:r w:rsidRPr="00E84E15">
        <w:rPr>
          <w:i/>
          <w:iCs/>
        </w:rPr>
        <w:t>Home</w:t>
      </w:r>
      <w:r w:rsidRPr="00E84E15">
        <w:t>.</w:t>
      </w:r>
      <w:hyperlink r:id="rId93" w:history="1">
        <w:r w:rsidRPr="00E84E15">
          <w:rPr>
            <w:rStyle w:val="-"/>
          </w:rPr>
          <w:t> </w:t>
        </w:r>
      </w:hyperlink>
    </w:p>
    <w:p w14:paraId="1D601D87" w14:textId="77777777" w:rsidR="00E84E15" w:rsidRPr="00E84E15" w:rsidRDefault="00E84E15" w:rsidP="00E84E15">
      <w:pPr>
        <w:jc w:val="both"/>
      </w:pPr>
      <w:r w:rsidRPr="00E84E15">
        <w:t xml:space="preserve"> Coordinadora para o Estudio dos Mamíferos Mariños (CEMMA). (n.d.). </w:t>
      </w:r>
      <w:r w:rsidRPr="00E84E15">
        <w:rPr>
          <w:i/>
          <w:iCs/>
        </w:rPr>
        <w:t>Home</w:t>
      </w:r>
      <w:r w:rsidRPr="00E84E15">
        <w:t>.</w:t>
      </w:r>
      <w:hyperlink r:id="rId94" w:history="1">
        <w:r w:rsidRPr="00E84E15">
          <w:rPr>
            <w:rStyle w:val="-"/>
          </w:rPr>
          <w:t> </w:t>
        </w:r>
      </w:hyperlink>
    </w:p>
    <w:p w14:paraId="0B5991D2" w14:textId="77777777" w:rsidR="00E84E15" w:rsidRPr="00E84E15" w:rsidRDefault="00E84E15" w:rsidP="00E84E15">
      <w:pPr>
        <w:jc w:val="both"/>
      </w:pPr>
      <w:r w:rsidRPr="00E84E15">
        <w:t xml:space="preserve"> Sociedad Española de Cetáceos (SEC). (n.d.). </w:t>
      </w:r>
      <w:r w:rsidRPr="00E84E15">
        <w:rPr>
          <w:i/>
          <w:iCs/>
        </w:rPr>
        <w:t>Home</w:t>
      </w:r>
      <w:r w:rsidRPr="00E84E15">
        <w:t>.</w:t>
      </w:r>
      <w:hyperlink r:id="rId95" w:history="1">
        <w:r w:rsidRPr="00E84E15">
          <w:rPr>
            <w:rStyle w:val="-"/>
          </w:rPr>
          <w:t> </w:t>
        </w:r>
      </w:hyperlink>
    </w:p>
    <w:p w14:paraId="063BED99" w14:textId="77777777" w:rsidR="00E84E15" w:rsidRPr="00E84E15" w:rsidRDefault="00E84E15" w:rsidP="00E84E15">
      <w:pPr>
        <w:jc w:val="both"/>
      </w:pPr>
      <w:r w:rsidRPr="00E84E15">
        <w:t xml:space="preserve">Blue World Institute of Marine Research and Conservation. (n.d.). </w:t>
      </w:r>
      <w:r w:rsidRPr="00E84E15">
        <w:rPr>
          <w:i/>
          <w:iCs/>
        </w:rPr>
        <w:t>Home</w:t>
      </w:r>
      <w:r w:rsidRPr="00E84E15">
        <w:t>.</w:t>
      </w:r>
      <w:hyperlink r:id="rId96" w:history="1">
        <w:r w:rsidRPr="00E84E15">
          <w:rPr>
            <w:rStyle w:val="-"/>
          </w:rPr>
          <w:t> </w:t>
        </w:r>
      </w:hyperlink>
    </w:p>
    <w:p w14:paraId="4416C4EC" w14:textId="77777777" w:rsidR="00E84E15" w:rsidRPr="00E84E15" w:rsidRDefault="00E84E15" w:rsidP="00E84E15">
      <w:pPr>
        <w:jc w:val="both"/>
      </w:pPr>
      <w:r w:rsidRPr="00E84E15">
        <w:t xml:space="preserve">Istituto Superiore per la Protezione e la Ricerca Ambientale (ISPRA). (n.d.). </w:t>
      </w:r>
      <w:r w:rsidRPr="00E84E15">
        <w:rPr>
          <w:i/>
          <w:iCs/>
        </w:rPr>
        <w:t>Home</w:t>
      </w:r>
      <w:r w:rsidRPr="00E84E15">
        <w:t>.</w:t>
      </w:r>
      <w:hyperlink r:id="rId97" w:history="1">
        <w:r w:rsidRPr="00E84E15">
          <w:rPr>
            <w:rStyle w:val="-"/>
          </w:rPr>
          <w:t> </w:t>
        </w:r>
      </w:hyperlink>
    </w:p>
    <w:p w14:paraId="388D705F" w14:textId="77777777" w:rsidR="00E84E15" w:rsidRPr="00E84E15" w:rsidRDefault="00E84E15" w:rsidP="00E84E15">
      <w:pPr>
        <w:jc w:val="both"/>
      </w:pPr>
      <w:r w:rsidRPr="00E84E15">
        <w:t xml:space="preserve">Turkish Marine Research Foundation (TÜDAV). (n.d.). </w:t>
      </w:r>
      <w:r w:rsidRPr="00E84E15">
        <w:rPr>
          <w:i/>
          <w:iCs/>
        </w:rPr>
        <w:t>Home</w:t>
      </w:r>
      <w:r w:rsidRPr="00E84E15">
        <w:t>.</w:t>
      </w:r>
      <w:hyperlink r:id="rId98" w:history="1">
        <w:r w:rsidRPr="00E84E15">
          <w:rPr>
            <w:rStyle w:val="-"/>
          </w:rPr>
          <w:t> </w:t>
        </w:r>
      </w:hyperlink>
    </w:p>
    <w:p w14:paraId="251CAFCD" w14:textId="77777777" w:rsidR="00E84E15" w:rsidRPr="00E84E15" w:rsidRDefault="00E84E15" w:rsidP="00E84E15">
      <w:pPr>
        <w:jc w:val="both"/>
      </w:pPr>
      <w:r w:rsidRPr="00E84E15">
        <w:t xml:space="preserve">ACCOBAMS. (n.d.). </w:t>
      </w:r>
      <w:r w:rsidRPr="00E84E15">
        <w:rPr>
          <w:i/>
          <w:iCs/>
        </w:rPr>
        <w:t>Resolutions</w:t>
      </w:r>
      <w:r w:rsidRPr="00E84E15">
        <w:t>.</w:t>
      </w:r>
      <w:hyperlink r:id="rId99" w:history="1">
        <w:r w:rsidRPr="00E84E15">
          <w:rPr>
            <w:rStyle w:val="-"/>
          </w:rPr>
          <w:t> </w:t>
        </w:r>
      </w:hyperlink>
    </w:p>
    <w:p w14:paraId="5891034B" w14:textId="77777777" w:rsidR="00E84E15" w:rsidRPr="00E84E15" w:rsidRDefault="00E84E15" w:rsidP="00E84E15">
      <w:pPr>
        <w:jc w:val="both"/>
      </w:pPr>
      <w:r w:rsidRPr="00E84E15">
        <w:t xml:space="preserve">ACCOBAMS. (2020). </w:t>
      </w:r>
      <w:r w:rsidRPr="00E84E15">
        <w:rPr>
          <w:i/>
          <w:iCs/>
        </w:rPr>
        <w:t>Review on the functioning of MEDACES</w:t>
      </w:r>
      <w:r w:rsidRPr="00E84E15">
        <w:t xml:space="preserve"> (MOP6.Inf27).</w:t>
      </w:r>
      <w:hyperlink r:id="rId100" w:history="1">
        <w:r w:rsidRPr="00E84E15">
          <w:rPr>
            <w:rStyle w:val="-"/>
          </w:rPr>
          <w:t> </w:t>
        </w:r>
      </w:hyperlink>
    </w:p>
    <w:p w14:paraId="4E383A73" w14:textId="77777777" w:rsidR="00E84E15" w:rsidRPr="00E84E15" w:rsidRDefault="00E84E15" w:rsidP="00E84E15">
      <w:pPr>
        <w:jc w:val="both"/>
      </w:pPr>
      <w:r w:rsidRPr="00E84E15">
        <w:t xml:space="preserve">Υπουργείο Περιβάλλοντος και Ενέργειας. (n.d.). </w:t>
      </w:r>
      <w:r w:rsidRPr="00E84E15">
        <w:rPr>
          <w:i/>
          <w:iCs/>
        </w:rPr>
        <w:t>Εφαρμογή Σύμβασης CITES</w:t>
      </w:r>
      <w:r w:rsidRPr="00E84E15">
        <w:t>.</w:t>
      </w:r>
      <w:hyperlink r:id="rId101" w:history="1">
        <w:r w:rsidRPr="00E84E15">
          <w:rPr>
            <w:rStyle w:val="-"/>
          </w:rPr>
          <w:t> </w:t>
        </w:r>
      </w:hyperlink>
    </w:p>
    <w:p w14:paraId="5E271E53" w14:textId="77777777" w:rsidR="00E84E15" w:rsidRPr="00E84E15" w:rsidRDefault="00E84E15" w:rsidP="00E84E15">
      <w:pPr>
        <w:jc w:val="both"/>
      </w:pPr>
      <w:r w:rsidRPr="00E84E15">
        <w:t xml:space="preserve">ASCOBANS. (n.d.). </w:t>
      </w:r>
      <w:r w:rsidRPr="00E84E15">
        <w:rPr>
          <w:i/>
          <w:iCs/>
        </w:rPr>
        <w:t>Monitoring marine mammals strandings French coast</w:t>
      </w:r>
      <w:r w:rsidRPr="00E84E15">
        <w:t xml:space="preserve"> (AC25/Inf.2.4).</w:t>
      </w:r>
      <w:hyperlink r:id="rId102" w:history="1">
        <w:r w:rsidRPr="00E84E15">
          <w:rPr>
            <w:rStyle w:val="-"/>
          </w:rPr>
          <w:t> </w:t>
        </w:r>
      </w:hyperlink>
    </w:p>
    <w:p w14:paraId="1DC33A1C" w14:textId="77777777" w:rsidR="00E84E15" w:rsidRPr="00E84E15" w:rsidRDefault="00E84E15" w:rsidP="00E84E15">
      <w:pPr>
        <w:jc w:val="both"/>
      </w:pPr>
      <w:r w:rsidRPr="00E84E15">
        <w:t xml:space="preserve">Observatoire Pelagis. (n.d.). </w:t>
      </w:r>
      <w:r w:rsidRPr="00E84E15">
        <w:rPr>
          <w:i/>
          <w:iCs/>
        </w:rPr>
        <w:t>Stranding</w:t>
      </w:r>
      <w:r w:rsidRPr="00E84E15">
        <w:t>.</w:t>
      </w:r>
      <w:hyperlink r:id="rId103" w:history="1">
        <w:r w:rsidRPr="00E84E15">
          <w:rPr>
            <w:rStyle w:val="-"/>
          </w:rPr>
          <w:t> </w:t>
        </w:r>
      </w:hyperlink>
    </w:p>
    <w:p w14:paraId="6599037C" w14:textId="77777777" w:rsidR="00E84E15" w:rsidRPr="00E84E15" w:rsidRDefault="00E84E15" w:rsidP="00E84E15">
      <w:pPr>
        <w:jc w:val="both"/>
      </w:pPr>
      <w:r w:rsidRPr="00E84E15">
        <w:t xml:space="preserve">National Center for Biotechnology Information (NCBI). (2022). </w:t>
      </w:r>
      <w:r w:rsidRPr="00E84E15">
        <w:rPr>
          <w:i/>
          <w:iCs/>
        </w:rPr>
        <w:t>PubMed Article 35574848</w:t>
      </w:r>
      <w:r w:rsidRPr="00E84E15">
        <w:t>.</w:t>
      </w:r>
      <w:hyperlink r:id="rId104" w:history="1">
        <w:r w:rsidRPr="00E84E15">
          <w:rPr>
            <w:rStyle w:val="-"/>
          </w:rPr>
          <w:t> </w:t>
        </w:r>
      </w:hyperlink>
    </w:p>
    <w:p w14:paraId="3A27988B" w14:textId="77777777" w:rsidR="00E84E15" w:rsidRPr="00E84E15" w:rsidRDefault="00E84E15" w:rsidP="00E84E15">
      <w:pPr>
        <w:jc w:val="both"/>
      </w:pPr>
      <w:r w:rsidRPr="00E84E15">
        <w:t xml:space="preserve">GEOMAR Helmholtz Centre for Ocean Research Kiel. (n.d.). </w:t>
      </w:r>
      <w:r w:rsidRPr="00E84E15">
        <w:rPr>
          <w:i/>
          <w:iCs/>
        </w:rPr>
        <w:t>What climate change means for the Mediterranean Sea</w:t>
      </w:r>
      <w:r w:rsidRPr="00E84E15">
        <w:t>.</w:t>
      </w:r>
      <w:hyperlink r:id="rId105" w:history="1">
        <w:r w:rsidRPr="00E84E15">
          <w:rPr>
            <w:rStyle w:val="-"/>
          </w:rPr>
          <w:t> </w:t>
        </w:r>
      </w:hyperlink>
    </w:p>
    <w:p w14:paraId="1C13E6F0" w14:textId="77777777" w:rsidR="00E84E15" w:rsidRPr="00E84E15" w:rsidRDefault="00E84E15" w:rsidP="00E84E15">
      <w:pPr>
        <w:jc w:val="both"/>
      </w:pPr>
      <w:r w:rsidRPr="00E84E15">
        <w:lastRenderedPageBreak/>
        <w:t xml:space="preserve">National Institute of Oceanography and Applied Geophysics (OGS). (n.d.). </w:t>
      </w:r>
      <w:r w:rsidRPr="00E84E15">
        <w:rPr>
          <w:i/>
          <w:iCs/>
        </w:rPr>
        <w:t>Climate change disrupts Mediterranean seafloor ecosystems, threatening hundreds of species</w:t>
      </w:r>
      <w:r w:rsidRPr="00E84E15">
        <w:t>.</w:t>
      </w:r>
      <w:hyperlink r:id="rId106" w:history="1">
        <w:r w:rsidRPr="00E84E15">
          <w:rPr>
            <w:rStyle w:val="-"/>
          </w:rPr>
          <w:t> </w:t>
        </w:r>
      </w:hyperlink>
    </w:p>
    <w:p w14:paraId="428F41E1" w14:textId="77777777" w:rsidR="00E84E15" w:rsidRPr="00E84E15" w:rsidRDefault="00E84E15" w:rsidP="00E84E15">
      <w:pPr>
        <w:jc w:val="both"/>
      </w:pPr>
      <w:r w:rsidRPr="00E84E15">
        <w:t xml:space="preserve">Regional Activity Centre for Specially Protected Areas (RAC/SPA). (n.d.). </w:t>
      </w:r>
      <w:r w:rsidRPr="00E84E15">
        <w:rPr>
          <w:i/>
          <w:iCs/>
        </w:rPr>
        <w:t>Action plan for the conservation of cetaceans in the Mediterranean Sea</w:t>
      </w:r>
      <w:r w:rsidRPr="00E84E15">
        <w:t>.</w:t>
      </w:r>
      <w:hyperlink r:id="rId107" w:history="1">
        <w:r w:rsidRPr="00E84E15">
          <w:rPr>
            <w:rStyle w:val="-"/>
          </w:rPr>
          <w:t> </w:t>
        </w:r>
      </w:hyperlink>
    </w:p>
    <w:p w14:paraId="0CDF3387" w14:textId="77777777" w:rsidR="00E84E15" w:rsidRPr="00E84E15" w:rsidRDefault="00E84E15" w:rsidP="00E84E15">
      <w:pPr>
        <w:jc w:val="both"/>
      </w:pPr>
      <w:r w:rsidRPr="00E84E15">
        <w:t xml:space="preserve">Notarbartolo di Sciara, G. (Ed.). (2002). </w:t>
      </w:r>
      <w:r w:rsidRPr="00E84E15">
        <w:rPr>
          <w:i/>
          <w:iCs/>
        </w:rPr>
        <w:t>Cetaceans of the Mediterranean and Black Seas: State of knowledge and conservation strategies</w:t>
      </w:r>
      <w:r w:rsidRPr="00E84E15">
        <w:t>. ACCOBAMS.</w:t>
      </w:r>
      <w:hyperlink r:id="rId108" w:history="1">
        <w:r w:rsidRPr="00E84E15">
          <w:rPr>
            <w:rStyle w:val="-"/>
          </w:rPr>
          <w:t> </w:t>
        </w:r>
      </w:hyperlink>
    </w:p>
    <w:p w14:paraId="69C86CE6" w14:textId="77777777" w:rsidR="00E84E15" w:rsidRPr="00E84E15" w:rsidRDefault="00E84E15" w:rsidP="00E84E15">
      <w:pPr>
        <w:jc w:val="both"/>
      </w:pPr>
      <w:r w:rsidRPr="00E84E15">
        <w:t xml:space="preserve">ARION - Ερευνητικό Κέντρο Διάσωσης και Περίθαλψης Κητωδών. (n.d.). </w:t>
      </w:r>
      <w:r w:rsidRPr="00E84E15">
        <w:rPr>
          <w:i/>
          <w:iCs/>
        </w:rPr>
        <w:t>Αρχική</w:t>
      </w:r>
      <w:r w:rsidRPr="00E84E15">
        <w:t>.</w:t>
      </w:r>
      <w:hyperlink r:id="rId109" w:history="1">
        <w:r w:rsidRPr="00E84E15">
          <w:rPr>
            <w:rStyle w:val="-"/>
          </w:rPr>
          <w:t> </w:t>
        </w:r>
      </w:hyperlink>
    </w:p>
    <w:p w14:paraId="4906AFDC" w14:textId="77777777" w:rsidR="00E84E15" w:rsidRPr="00E84E15" w:rsidRDefault="00E84E15" w:rsidP="00E84E15">
      <w:pPr>
        <w:jc w:val="both"/>
      </w:pPr>
      <w:r w:rsidRPr="00E84E15">
        <w:t xml:space="preserve">OceanCare. (2023). </w:t>
      </w:r>
      <w:r w:rsidRPr="00E84E15">
        <w:rPr>
          <w:i/>
          <w:iCs/>
        </w:rPr>
        <w:t>Under pressure: Chapter 04 strandings</w:t>
      </w:r>
      <w:r w:rsidRPr="00E84E15">
        <w:t>.</w:t>
      </w:r>
      <w:hyperlink r:id="rId110" w:history="1">
        <w:r w:rsidRPr="00E84E15">
          <w:rPr>
            <w:rStyle w:val="-"/>
          </w:rPr>
          <w:t> </w:t>
        </w:r>
      </w:hyperlink>
    </w:p>
    <w:p w14:paraId="209571E0" w14:textId="77777777" w:rsidR="00E84E15" w:rsidRPr="00E84E15" w:rsidRDefault="00E84E15" w:rsidP="00E84E15">
      <w:pPr>
        <w:jc w:val="both"/>
      </w:pPr>
      <w:r w:rsidRPr="00E84E15">
        <w:t xml:space="preserve">Cerema. (2021). </w:t>
      </w:r>
      <w:r w:rsidRPr="00E84E15">
        <w:rPr>
          <w:i/>
          <w:iCs/>
        </w:rPr>
        <w:t>Résumé rapport étude ZMPV</w:t>
      </w:r>
      <w:r w:rsidRPr="00E84E15">
        <w:t>.</w:t>
      </w:r>
      <w:hyperlink r:id="rId111" w:history="1">
        <w:r w:rsidRPr="00E84E15">
          <w:rPr>
            <w:rStyle w:val="-"/>
          </w:rPr>
          <w:t> </w:t>
        </w:r>
      </w:hyperlink>
    </w:p>
    <w:p w14:paraId="203E67E2" w14:textId="77777777" w:rsidR="00E84E15" w:rsidRPr="00E84E15" w:rsidRDefault="00E84E15" w:rsidP="00E84E15">
      <w:pPr>
        <w:jc w:val="both"/>
      </w:pPr>
      <w:r w:rsidRPr="00E84E15">
        <w:t xml:space="preserve">ISPRA. (n.d.). </w:t>
      </w:r>
      <w:r w:rsidRPr="00E84E15">
        <w:rPr>
          <w:i/>
          <w:iCs/>
        </w:rPr>
        <w:t>Climate change and cetaceans in the Mediterranean: a strong reduction in the conditions suitable</w:t>
      </w:r>
      <w:r w:rsidRPr="00E84E15">
        <w:t>.</w:t>
      </w:r>
      <w:hyperlink r:id="rId112" w:history="1">
        <w:r w:rsidRPr="00E84E15">
          <w:rPr>
            <w:rStyle w:val="-"/>
          </w:rPr>
          <w:t> </w:t>
        </w:r>
      </w:hyperlink>
    </w:p>
    <w:p w14:paraId="152403D9" w14:textId="77777777" w:rsidR="00E84E15" w:rsidRPr="00E84E15" w:rsidRDefault="00E84E15" w:rsidP="00E84E15">
      <w:pPr>
        <w:jc w:val="both"/>
      </w:pPr>
      <w:r w:rsidRPr="00E84E15">
        <w:t xml:space="preserve">International Whaling Commission (IWC). (n.d.). </w:t>
      </w:r>
      <w:r w:rsidRPr="00E84E15">
        <w:rPr>
          <w:i/>
          <w:iCs/>
        </w:rPr>
        <w:t>Vessel strikes</w:t>
      </w:r>
      <w:r w:rsidRPr="00E84E15">
        <w:t>.</w:t>
      </w:r>
      <w:hyperlink r:id="rId113" w:history="1">
        <w:r w:rsidRPr="00E84E15">
          <w:rPr>
            <w:rStyle w:val="-"/>
          </w:rPr>
          <w:t> </w:t>
        </w:r>
      </w:hyperlink>
    </w:p>
    <w:p w14:paraId="21B45EE5" w14:textId="77777777" w:rsidR="00E84E15" w:rsidRPr="00E84E15" w:rsidRDefault="00E84E15" w:rsidP="00E84E15">
      <w:pPr>
        <w:jc w:val="both"/>
      </w:pPr>
      <w:r w:rsidRPr="00E84E15">
        <w:t xml:space="preserve">Dolphin Biology &amp; Conservation. (n.d.). </w:t>
      </w:r>
      <w:r w:rsidRPr="00E84E15">
        <w:rPr>
          <w:i/>
          <w:iCs/>
        </w:rPr>
        <w:t>Action Plan Ceta 2010-2015 GR</w:t>
      </w:r>
      <w:r w:rsidRPr="00E84E15">
        <w:t>.</w:t>
      </w:r>
      <w:hyperlink r:id="rId114" w:history="1">
        <w:r w:rsidRPr="00E84E15">
          <w:rPr>
            <w:rStyle w:val="-"/>
          </w:rPr>
          <w:t> </w:t>
        </w:r>
      </w:hyperlink>
    </w:p>
    <w:p w14:paraId="1FA94079" w14:textId="77777777" w:rsidR="00E84E15" w:rsidRPr="00E84E15" w:rsidRDefault="00E84E15" w:rsidP="00E84E15">
      <w:pPr>
        <w:jc w:val="both"/>
      </w:pPr>
      <w:r w:rsidRPr="00E84E15">
        <w:t xml:space="preserve">International Whaling Commission (IWC). (n.d.). </w:t>
      </w:r>
      <w:r w:rsidRPr="00E84E15">
        <w:rPr>
          <w:i/>
          <w:iCs/>
        </w:rPr>
        <w:t>Vessel strikes</w:t>
      </w:r>
      <w:r w:rsidRPr="00E84E15">
        <w:t>.</w:t>
      </w:r>
      <w:hyperlink r:id="rId115" w:history="1">
        <w:r w:rsidRPr="00E84E15">
          <w:rPr>
            <w:rStyle w:val="-"/>
          </w:rPr>
          <w:t> </w:t>
        </w:r>
      </w:hyperlink>
    </w:p>
    <w:p w14:paraId="3B1B2E29" w14:textId="77777777" w:rsidR="00E84E15" w:rsidRPr="00E84E15" w:rsidRDefault="00E84E15" w:rsidP="00E84E15">
      <w:pPr>
        <w:jc w:val="both"/>
      </w:pPr>
      <w:r w:rsidRPr="00E84E15">
        <w:t xml:space="preserve">ScienceDirect. (n.d.). </w:t>
      </w:r>
      <w:r w:rsidRPr="00E84E15">
        <w:rPr>
          <w:i/>
          <w:iCs/>
        </w:rPr>
        <w:t>Article S0964569123000108</w:t>
      </w:r>
      <w:r w:rsidRPr="00E84E15">
        <w:t>.</w:t>
      </w:r>
      <w:hyperlink r:id="rId116" w:history="1">
        <w:r w:rsidRPr="00E84E15">
          <w:rPr>
            <w:rStyle w:val="-"/>
          </w:rPr>
          <w:t> </w:t>
        </w:r>
      </w:hyperlink>
    </w:p>
    <w:p w14:paraId="1CC6AA52" w14:textId="77777777" w:rsidR="00E84E15" w:rsidRPr="00E84E15" w:rsidRDefault="00E84E15" w:rsidP="00E84E15">
      <w:pPr>
        <w:jc w:val="both"/>
      </w:pPr>
      <w:r w:rsidRPr="00E84E15">
        <w:t xml:space="preserve">Panigada, S. (2006). </w:t>
      </w:r>
      <w:r w:rsidRPr="00E84E15">
        <w:rPr>
          <w:i/>
          <w:iCs/>
        </w:rPr>
        <w:t>Rorqual commun collision</w:t>
      </w:r>
      <w:r w:rsidRPr="00E84E15">
        <w:t>.</w:t>
      </w:r>
      <w:hyperlink r:id="rId117" w:history="1">
        <w:r w:rsidRPr="00E84E15">
          <w:rPr>
            <w:rStyle w:val="-"/>
          </w:rPr>
          <w:t> </w:t>
        </w:r>
      </w:hyperlink>
    </w:p>
    <w:p w14:paraId="0C80D3F3" w14:textId="77777777" w:rsidR="00E84E15" w:rsidRPr="00E84E15" w:rsidRDefault="00E84E15" w:rsidP="00E84E15">
      <w:pPr>
        <w:jc w:val="both"/>
      </w:pPr>
      <w:r w:rsidRPr="00E84E15">
        <w:t xml:space="preserve">ResearchGate. (n.d.). </w:t>
      </w:r>
      <w:r w:rsidRPr="00E84E15">
        <w:rPr>
          <w:i/>
          <w:iCs/>
        </w:rPr>
        <w:t>Fatal ship strikes recorded in the Mediterranean Sea each year</w:t>
      </w:r>
      <w:r w:rsidRPr="00E84E15">
        <w:t xml:space="preserve"> [Figure].</w:t>
      </w:r>
      <w:hyperlink r:id="rId118" w:history="1">
        <w:r w:rsidRPr="00E84E15">
          <w:rPr>
            <w:rStyle w:val="-"/>
          </w:rPr>
          <w:t> </w:t>
        </w:r>
      </w:hyperlink>
    </w:p>
    <w:p w14:paraId="454FC1AE" w14:textId="77777777" w:rsidR="00E84E15" w:rsidRPr="00E84E15" w:rsidRDefault="00E84E15" w:rsidP="00E84E15">
      <w:pPr>
        <w:jc w:val="both"/>
      </w:pPr>
      <w:r w:rsidRPr="00E84E15">
        <w:t xml:space="preserve">Dolphin Biology &amp; Conservation. (n.d.). </w:t>
      </w:r>
      <w:r w:rsidRPr="00E84E15">
        <w:rPr>
          <w:i/>
          <w:iCs/>
        </w:rPr>
        <w:t>Action Plan Ceta 2010-2015 GR</w:t>
      </w:r>
      <w:r w:rsidRPr="00E84E15">
        <w:t>.</w:t>
      </w:r>
      <w:hyperlink r:id="rId119" w:history="1">
        <w:r w:rsidRPr="00E84E15">
          <w:rPr>
            <w:rStyle w:val="-"/>
          </w:rPr>
          <w:t> </w:t>
        </w:r>
      </w:hyperlink>
    </w:p>
    <w:p w14:paraId="1FC61717" w14:textId="77777777" w:rsidR="00E84E15" w:rsidRPr="00E84E15" w:rsidRDefault="00E84E15" w:rsidP="00E84E15">
      <w:pPr>
        <w:jc w:val="both"/>
      </w:pPr>
      <w:r w:rsidRPr="00E84E15">
        <w:t xml:space="preserve">MedTrends. (n.d.). </w:t>
      </w:r>
      <w:r w:rsidRPr="00E84E15">
        <w:rPr>
          <w:i/>
          <w:iCs/>
        </w:rPr>
        <w:t>MedTrends CY-Report</w:t>
      </w:r>
      <w:r w:rsidRPr="00E84E15">
        <w:t>.</w:t>
      </w:r>
      <w:hyperlink r:id="rId120" w:history="1">
        <w:r w:rsidRPr="00E84E15">
          <w:rPr>
            <w:rStyle w:val="-"/>
          </w:rPr>
          <w:t> </w:t>
        </w:r>
      </w:hyperlink>
    </w:p>
    <w:p w14:paraId="0D708FE5" w14:textId="77777777" w:rsidR="00E84E15" w:rsidRPr="00E84E15" w:rsidRDefault="00E84E15" w:rsidP="00E84E15">
      <w:pPr>
        <w:jc w:val="both"/>
      </w:pPr>
      <w:r w:rsidRPr="00E84E15">
        <w:t xml:space="preserve">Ινστιτούτο Κητολογικών Ερευνών Πέλαγος. (n.d.). </w:t>
      </w:r>
      <w:r w:rsidRPr="00E84E15">
        <w:rPr>
          <w:i/>
          <w:iCs/>
        </w:rPr>
        <w:t>Εγχειρίδιο Θάλασσα</w:t>
      </w:r>
      <w:r w:rsidRPr="00E84E15">
        <w:t>.</w:t>
      </w:r>
      <w:hyperlink r:id="rId121" w:history="1">
        <w:r w:rsidRPr="00E84E15">
          <w:rPr>
            <w:rStyle w:val="-"/>
          </w:rPr>
          <w:t> </w:t>
        </w:r>
      </w:hyperlink>
    </w:p>
    <w:p w14:paraId="324D030F" w14:textId="77777777" w:rsidR="00E84E15" w:rsidRPr="00E84E15" w:rsidRDefault="00E84E15" w:rsidP="00E84E15">
      <w:pPr>
        <w:jc w:val="both"/>
      </w:pPr>
      <w:r w:rsidRPr="00E84E15">
        <w:t xml:space="preserve">Frontiers in Marine Science. (2024). </w:t>
      </w:r>
      <w:r w:rsidRPr="00E84E15">
        <w:rPr>
          <w:i/>
          <w:iCs/>
        </w:rPr>
        <w:t>Article 10.3389/fmars.2024.1364527</w:t>
      </w:r>
      <w:r w:rsidRPr="00E84E15">
        <w:t>.</w:t>
      </w:r>
      <w:hyperlink r:id="rId122" w:history="1">
        <w:r w:rsidRPr="00E84E15">
          <w:rPr>
            <w:rStyle w:val="-"/>
          </w:rPr>
          <w:t> </w:t>
        </w:r>
      </w:hyperlink>
    </w:p>
    <w:p w14:paraId="4F7B1923" w14:textId="77777777" w:rsidR="00E84E15" w:rsidRPr="00E84E15" w:rsidRDefault="00E84E15" w:rsidP="00E84E15">
      <w:pPr>
        <w:jc w:val="both"/>
      </w:pPr>
      <w:r w:rsidRPr="00E84E15">
        <w:t xml:space="preserve">Frontiers in Marine Science. (2022). </w:t>
      </w:r>
      <w:r w:rsidRPr="00E84E15">
        <w:rPr>
          <w:i/>
          <w:iCs/>
        </w:rPr>
        <w:t>Article 10.3389/fmars.2022.867287</w:t>
      </w:r>
      <w:r w:rsidRPr="00E84E15">
        <w:t>.</w:t>
      </w:r>
      <w:hyperlink r:id="rId123" w:history="1">
        <w:r w:rsidRPr="00E84E15">
          <w:rPr>
            <w:rStyle w:val="-"/>
          </w:rPr>
          <w:t> </w:t>
        </w:r>
      </w:hyperlink>
    </w:p>
    <w:p w14:paraId="40802084" w14:textId="77777777" w:rsidR="00E84E15" w:rsidRPr="00E84E15" w:rsidRDefault="00E84E15" w:rsidP="00E84E15">
      <w:pPr>
        <w:jc w:val="both"/>
      </w:pPr>
      <w:r w:rsidRPr="00E84E15">
        <w:t xml:space="preserve">Frontiers in Marine Science. (2019). </w:t>
      </w:r>
      <w:r w:rsidRPr="00E84E15">
        <w:rPr>
          <w:i/>
          <w:iCs/>
        </w:rPr>
        <w:t>Article 10.3389/fmars.2019.00486</w:t>
      </w:r>
      <w:r w:rsidRPr="00E84E15">
        <w:t>.</w:t>
      </w:r>
      <w:hyperlink r:id="rId124" w:history="1">
        <w:r w:rsidRPr="00E84E15">
          <w:rPr>
            <w:rStyle w:val="-"/>
          </w:rPr>
          <w:t> </w:t>
        </w:r>
      </w:hyperlink>
    </w:p>
    <w:p w14:paraId="0E6C48C4" w14:textId="77777777" w:rsidR="00E84E15" w:rsidRPr="00E84E15" w:rsidRDefault="00E84E15" w:rsidP="00E84E15">
      <w:pPr>
        <w:jc w:val="both"/>
      </w:pPr>
      <w:r w:rsidRPr="00E84E15">
        <w:t xml:space="preserve">Frontiers in Marine Science. (2025). </w:t>
      </w:r>
      <w:r w:rsidRPr="00E84E15">
        <w:rPr>
          <w:i/>
          <w:iCs/>
        </w:rPr>
        <w:t>Article 10.3389/fmars.2025.1713820</w:t>
      </w:r>
      <w:r w:rsidRPr="00E84E15">
        <w:t>.</w:t>
      </w:r>
      <w:hyperlink r:id="rId125" w:history="1">
        <w:r w:rsidRPr="00E84E15">
          <w:rPr>
            <w:rStyle w:val="-"/>
          </w:rPr>
          <w:t xml:space="preserve"> </w:t>
        </w:r>
      </w:hyperlink>
      <w:r w:rsidRPr="00E84E15">
        <w:t xml:space="preserve">Frantzis, A. (2009). </w:t>
      </w:r>
      <w:r w:rsidRPr="00E84E15">
        <w:rPr>
          <w:i/>
          <w:iCs/>
        </w:rPr>
        <w:t>Cetaceans of the Greek Seas</w:t>
      </w:r>
      <w:r w:rsidRPr="00E84E15">
        <w:t xml:space="preserve"> (Monograph 06). National Documentation Centre (EKT).</w:t>
      </w:r>
      <w:hyperlink r:id="rId126" w:history="1">
        <w:r w:rsidRPr="00E84E15">
          <w:rPr>
            <w:rStyle w:val="-"/>
          </w:rPr>
          <w:t> </w:t>
        </w:r>
      </w:hyperlink>
    </w:p>
    <w:p w14:paraId="6B302E63" w14:textId="77777777" w:rsidR="00E84E15" w:rsidRPr="00E84E15" w:rsidRDefault="00E84E15" w:rsidP="00E84E15">
      <w:pPr>
        <w:jc w:val="both"/>
      </w:pPr>
      <w:r w:rsidRPr="00E84E15">
        <w:t xml:space="preserve">Bearzi, G., Agazzi, S., Gonzalvo, J., Costa, M., Bonizzoni, S., Politi, E., Piroddi, C., &amp; Reeves, R. R. (2008). </w:t>
      </w:r>
      <w:r w:rsidRPr="00E84E15">
        <w:rPr>
          <w:i/>
          <w:iCs/>
        </w:rPr>
        <w:t>Overfishing and the disappearance of short-beaked common dolphins from western Greece</w:t>
      </w:r>
      <w:r w:rsidRPr="00E84E15">
        <w:t>. ResearchGate.</w:t>
      </w:r>
      <w:hyperlink r:id="rId127" w:history="1">
        <w:r w:rsidRPr="00E84E15">
          <w:rPr>
            <w:rStyle w:val="-"/>
          </w:rPr>
          <w:t> </w:t>
        </w:r>
      </w:hyperlink>
    </w:p>
    <w:p w14:paraId="32708C18" w14:textId="77777777" w:rsidR="00E84E15" w:rsidRPr="00E84E15" w:rsidRDefault="00E84E15" w:rsidP="00E84E15">
      <w:pPr>
        <w:jc w:val="both"/>
      </w:pPr>
      <w:r w:rsidRPr="00E84E15">
        <w:t xml:space="preserve">ACCOBAMS. (2019). </w:t>
      </w:r>
      <w:r w:rsidRPr="00E84E15">
        <w:rPr>
          <w:i/>
          <w:iCs/>
        </w:rPr>
        <w:t>Best practices strandings</w:t>
      </w:r>
      <w:r w:rsidRPr="00E84E15">
        <w:t xml:space="preserve"> (Res.7.14).</w:t>
      </w:r>
      <w:hyperlink r:id="rId128" w:history="1">
        <w:r w:rsidRPr="00E84E15">
          <w:rPr>
            <w:rStyle w:val="-"/>
          </w:rPr>
          <w:t> </w:t>
        </w:r>
      </w:hyperlink>
    </w:p>
    <w:p w14:paraId="22BB3F93" w14:textId="77777777" w:rsidR="00E84E15" w:rsidRPr="00E84E15" w:rsidRDefault="00E84E15" w:rsidP="00E84E15">
      <w:pPr>
        <w:jc w:val="both"/>
      </w:pPr>
      <w:r w:rsidRPr="00E84E15">
        <w:t xml:space="preserve">National Center for Biotechnology Information (NCBI). (n.d.). </w:t>
      </w:r>
      <w:r w:rsidRPr="00E84E15">
        <w:rPr>
          <w:i/>
          <w:iCs/>
        </w:rPr>
        <w:t>Article PMC12390030</w:t>
      </w:r>
      <w:r w:rsidRPr="00E84E15">
        <w:t>.</w:t>
      </w:r>
    </w:p>
    <w:p w14:paraId="0482AF7D" w14:textId="77777777" w:rsidR="00E84E15" w:rsidRPr="00E84E15" w:rsidRDefault="00E84E15" w:rsidP="00E84E15">
      <w:pPr>
        <w:jc w:val="both"/>
      </w:pPr>
      <w:r w:rsidRPr="00E84E15">
        <w:t xml:space="preserve">Cerema. (2021). </w:t>
      </w:r>
      <w:r w:rsidRPr="00E84E15">
        <w:rPr>
          <w:i/>
          <w:iCs/>
        </w:rPr>
        <w:t>Résumé rapport étude ZMPV</w:t>
      </w:r>
      <w:r w:rsidRPr="00E84E15">
        <w:t>.</w:t>
      </w:r>
      <w:hyperlink r:id="rId129" w:history="1">
        <w:r w:rsidRPr="00E84E15">
          <w:rPr>
            <w:rStyle w:val="-"/>
          </w:rPr>
          <w:t> </w:t>
        </w:r>
      </w:hyperlink>
    </w:p>
    <w:p w14:paraId="24931405" w14:textId="77777777" w:rsidR="00E84E15" w:rsidRPr="00E84E15" w:rsidRDefault="00E84E15" w:rsidP="00E84E15">
      <w:pPr>
        <w:jc w:val="both"/>
      </w:pPr>
      <w:r w:rsidRPr="00E84E15">
        <w:t xml:space="preserve">Friend of the Sea. (2020). </w:t>
      </w:r>
      <w:r w:rsidRPr="00E84E15">
        <w:rPr>
          <w:i/>
          <w:iCs/>
        </w:rPr>
        <w:t>Global update 2020: Whales ship strikes dossier</w:t>
      </w:r>
      <w:r w:rsidRPr="00E84E15">
        <w:t>.</w:t>
      </w:r>
      <w:hyperlink r:id="rId130" w:history="1">
        <w:r w:rsidRPr="00E84E15">
          <w:rPr>
            <w:rStyle w:val="-"/>
          </w:rPr>
          <w:t> </w:t>
        </w:r>
      </w:hyperlink>
    </w:p>
    <w:p w14:paraId="3973D3D7" w14:textId="77777777" w:rsidR="00E84E15" w:rsidRPr="00E84E15" w:rsidRDefault="00E84E15" w:rsidP="00E84E15">
      <w:pPr>
        <w:jc w:val="both"/>
      </w:pPr>
      <w:r w:rsidRPr="00E84E15">
        <w:t xml:space="preserve">ACCOBAMS. (2021). </w:t>
      </w:r>
      <w:r w:rsidRPr="00E84E15">
        <w:rPr>
          <w:i/>
          <w:iCs/>
        </w:rPr>
        <w:t>Addressing mortalities and injuries to cetaceans from ship strikes in the Mediterranean</w:t>
      </w:r>
      <w:r w:rsidRPr="00E84E15">
        <w:t xml:space="preserve"> (SC14.Doc26).</w:t>
      </w:r>
      <w:hyperlink r:id="rId131" w:history="1">
        <w:r w:rsidRPr="00E84E15">
          <w:rPr>
            <w:rStyle w:val="-"/>
          </w:rPr>
          <w:t> </w:t>
        </w:r>
      </w:hyperlink>
    </w:p>
    <w:p w14:paraId="2B92B8A5" w14:textId="77777777" w:rsidR="00E84E15" w:rsidRPr="00E84E15" w:rsidRDefault="00E84E15" w:rsidP="00E84E15">
      <w:pPr>
        <w:jc w:val="both"/>
      </w:pPr>
      <w:r w:rsidRPr="00E84E15">
        <w:lastRenderedPageBreak/>
        <w:t xml:space="preserve">Mediterranean Programme for International Environmental Law and Negotiation (MEPIELAN). (2024). </w:t>
      </w:r>
      <w:r w:rsidRPr="00E84E15">
        <w:rPr>
          <w:i/>
          <w:iCs/>
        </w:rPr>
        <w:t>The North-Western Mediterranean particularly sensitive sea area</w:t>
      </w:r>
      <w:r w:rsidRPr="00E84E15">
        <w:t>.</w:t>
      </w:r>
      <w:hyperlink r:id="rId132" w:history="1">
        <w:r w:rsidRPr="00E84E15">
          <w:rPr>
            <w:rStyle w:val="-"/>
          </w:rPr>
          <w:t> </w:t>
        </w:r>
      </w:hyperlink>
    </w:p>
    <w:p w14:paraId="36C26E1B" w14:textId="77777777" w:rsidR="00E84E15" w:rsidRDefault="00E84E15" w:rsidP="00E84E15">
      <w:pPr>
        <w:jc w:val="both"/>
      </w:pPr>
    </w:p>
    <w:p w14:paraId="0D9DED73" w14:textId="77777777" w:rsidR="00E84E15" w:rsidRDefault="00E84E15" w:rsidP="00E84E15">
      <w:pPr>
        <w:jc w:val="both"/>
      </w:pPr>
    </w:p>
    <w:p w14:paraId="022EF9E0" w14:textId="77777777" w:rsidR="00E84E15" w:rsidRDefault="00E84E15" w:rsidP="00E84E15">
      <w:pPr>
        <w:jc w:val="both"/>
      </w:pPr>
    </w:p>
    <w:p w14:paraId="0599A890" w14:textId="77777777" w:rsidR="00E84E15" w:rsidRDefault="00E84E15" w:rsidP="00E84E15">
      <w:pPr>
        <w:jc w:val="both"/>
      </w:pPr>
    </w:p>
    <w:p w14:paraId="3AFE33C1" w14:textId="77777777" w:rsidR="00E84E15" w:rsidRDefault="00E84E15" w:rsidP="00E84E15">
      <w:pPr>
        <w:jc w:val="both"/>
      </w:pPr>
    </w:p>
    <w:p w14:paraId="371DFB36" w14:textId="77777777" w:rsidR="00E84E15" w:rsidRDefault="00E84E15" w:rsidP="00E84E15">
      <w:pPr>
        <w:jc w:val="both"/>
      </w:pPr>
    </w:p>
    <w:p w14:paraId="37F4E13C" w14:textId="77777777" w:rsidR="00E84E15" w:rsidRDefault="00E84E15" w:rsidP="00E84E15">
      <w:pPr>
        <w:jc w:val="both"/>
      </w:pPr>
    </w:p>
    <w:p w14:paraId="4518A8A6" w14:textId="77777777" w:rsidR="00E84E15" w:rsidRDefault="00E84E15" w:rsidP="00E84E15">
      <w:pPr>
        <w:jc w:val="both"/>
      </w:pPr>
    </w:p>
    <w:p w14:paraId="5FD1FF93" w14:textId="77777777" w:rsidR="00E84E15" w:rsidRDefault="00E84E15" w:rsidP="00E84E15">
      <w:pPr>
        <w:jc w:val="both"/>
      </w:pPr>
    </w:p>
    <w:p w14:paraId="2CCFF33A" w14:textId="77777777" w:rsidR="00E84E15" w:rsidRDefault="00E84E15" w:rsidP="00E84E15">
      <w:pPr>
        <w:jc w:val="both"/>
      </w:pPr>
    </w:p>
    <w:p w14:paraId="26BE6E3C" w14:textId="77777777" w:rsidR="00E84E15" w:rsidRDefault="00E84E15" w:rsidP="00E84E15">
      <w:pPr>
        <w:jc w:val="both"/>
      </w:pPr>
    </w:p>
    <w:p w14:paraId="3F607572" w14:textId="77777777" w:rsidR="00E84E15" w:rsidRDefault="00E84E15" w:rsidP="00E84E15">
      <w:pPr>
        <w:jc w:val="both"/>
      </w:pPr>
    </w:p>
    <w:p w14:paraId="2B453703" w14:textId="77777777" w:rsidR="00E84E15" w:rsidRDefault="00E84E15" w:rsidP="00E84E15">
      <w:pPr>
        <w:jc w:val="both"/>
      </w:pPr>
    </w:p>
    <w:p w14:paraId="7F2D0196" w14:textId="77777777" w:rsidR="00E84E15" w:rsidRDefault="00E84E15" w:rsidP="00E84E15">
      <w:pPr>
        <w:jc w:val="both"/>
      </w:pPr>
    </w:p>
    <w:p w14:paraId="0B98F7AD" w14:textId="77777777" w:rsidR="00E84E15" w:rsidRDefault="00E84E15" w:rsidP="00E84E15">
      <w:pPr>
        <w:jc w:val="both"/>
      </w:pPr>
    </w:p>
    <w:p w14:paraId="081C7C65" w14:textId="77777777" w:rsidR="00E84E15" w:rsidRDefault="00E84E15" w:rsidP="00E84E15">
      <w:pPr>
        <w:jc w:val="both"/>
      </w:pPr>
    </w:p>
    <w:p w14:paraId="7FF45C41" w14:textId="77777777" w:rsidR="00E84E15" w:rsidRDefault="00E84E15" w:rsidP="00E84E15">
      <w:pPr>
        <w:jc w:val="both"/>
      </w:pPr>
    </w:p>
    <w:p w14:paraId="5602C023" w14:textId="77777777" w:rsidR="00E84E15" w:rsidRDefault="00E84E15" w:rsidP="00E84E15">
      <w:pPr>
        <w:jc w:val="both"/>
      </w:pPr>
    </w:p>
    <w:p w14:paraId="70A36BF4" w14:textId="77777777" w:rsidR="00E84E15" w:rsidRDefault="00E84E15" w:rsidP="00E84E15">
      <w:pPr>
        <w:jc w:val="both"/>
      </w:pPr>
    </w:p>
    <w:p w14:paraId="40783ED6" w14:textId="77777777" w:rsidR="00E84E15" w:rsidRDefault="00E84E15" w:rsidP="00E84E15">
      <w:pPr>
        <w:jc w:val="both"/>
      </w:pPr>
    </w:p>
    <w:p w14:paraId="4CDB4369" w14:textId="77777777" w:rsidR="00E84E15" w:rsidRDefault="00E84E15" w:rsidP="00E84E15">
      <w:pPr>
        <w:jc w:val="both"/>
      </w:pPr>
    </w:p>
    <w:p w14:paraId="697F23A3" w14:textId="77777777" w:rsidR="00E84E15" w:rsidRDefault="00E84E15" w:rsidP="00E84E15">
      <w:pPr>
        <w:jc w:val="both"/>
      </w:pPr>
    </w:p>
    <w:p w14:paraId="52E0A1D0" w14:textId="77777777" w:rsidR="00E84E15" w:rsidRDefault="00E84E15" w:rsidP="00E84E15">
      <w:pPr>
        <w:jc w:val="both"/>
      </w:pPr>
    </w:p>
    <w:p w14:paraId="0B0ADB7B" w14:textId="77777777" w:rsidR="00E84E15" w:rsidRDefault="00E84E15" w:rsidP="00E84E15">
      <w:pPr>
        <w:jc w:val="both"/>
      </w:pPr>
    </w:p>
    <w:p w14:paraId="2A6C4F01" w14:textId="77777777" w:rsidR="00E84E15" w:rsidRDefault="00E84E15" w:rsidP="00E84E15">
      <w:pPr>
        <w:jc w:val="both"/>
      </w:pPr>
    </w:p>
    <w:p w14:paraId="12A389A5" w14:textId="77777777" w:rsidR="00E84E15" w:rsidRDefault="00E84E15" w:rsidP="00E84E15">
      <w:pPr>
        <w:jc w:val="both"/>
      </w:pPr>
    </w:p>
    <w:p w14:paraId="1BA5A217" w14:textId="77777777" w:rsidR="00E84E15" w:rsidRDefault="00E84E15" w:rsidP="00E84E15">
      <w:pPr>
        <w:jc w:val="both"/>
      </w:pPr>
    </w:p>
    <w:p w14:paraId="30E0C38B" w14:textId="77777777" w:rsidR="00E84E15" w:rsidRDefault="00E84E15" w:rsidP="00E84E15">
      <w:pPr>
        <w:jc w:val="both"/>
      </w:pPr>
    </w:p>
    <w:p w14:paraId="60E12AB8" w14:textId="77777777" w:rsidR="00E84E15" w:rsidRPr="00E84E15" w:rsidRDefault="00E84E15" w:rsidP="00E84E15">
      <w:pPr>
        <w:jc w:val="both"/>
      </w:pPr>
    </w:p>
    <w:p w14:paraId="5C06C551" w14:textId="736CCE8C" w:rsidR="00E84E15" w:rsidRPr="00E84E15" w:rsidRDefault="00E84E15" w:rsidP="00E84E15">
      <w:pPr>
        <w:jc w:val="both"/>
      </w:pPr>
      <w:r w:rsidRPr="00E84E15">
        <w:rPr>
          <w:b/>
          <w:bCs/>
        </w:rPr>
        <w:lastRenderedPageBreak/>
        <w:t>Dolphins’ Interaction with Aquaculture in the Mediterranean Sea, with special reference to the bottlenose dolphin (Tursiops truncatus)</w:t>
      </w:r>
    </w:p>
    <w:p w14:paraId="0ACCA785" w14:textId="77777777" w:rsidR="00E84E15" w:rsidRPr="00E84E15" w:rsidRDefault="00E84E15" w:rsidP="00E84E15">
      <w:pPr>
        <w:jc w:val="both"/>
      </w:pPr>
      <w:r w:rsidRPr="00E84E15">
        <w:t>Papagianni Eleni</w:t>
      </w:r>
      <w:r w:rsidRPr="00E84E15">
        <w:rPr>
          <w:vertAlign w:val="superscript"/>
        </w:rPr>
        <w:t>1</w:t>
      </w:r>
      <w:r w:rsidRPr="00E84E15">
        <w:t>, Komninou Anastasia</w:t>
      </w:r>
      <w:r w:rsidRPr="00E84E15">
        <w:rPr>
          <w:vertAlign w:val="superscript"/>
        </w:rPr>
        <w:t>2</w:t>
      </w:r>
    </w:p>
    <w:p w14:paraId="68434CCA" w14:textId="77777777" w:rsidR="00E84E15" w:rsidRPr="00E84E15" w:rsidRDefault="00E84E15">
      <w:pPr>
        <w:numPr>
          <w:ilvl w:val="0"/>
          <w:numId w:val="89"/>
        </w:numPr>
        <w:jc w:val="both"/>
      </w:pPr>
      <w:r w:rsidRPr="00E84E15">
        <w:t>Undergraduate Student, Department of Veterinary Medicine, School of Health Sciences, Aristotle University of Thessaloniki</w:t>
      </w:r>
    </w:p>
    <w:p w14:paraId="78E5D96A" w14:textId="77777777" w:rsidR="00E84E15" w:rsidRDefault="00E84E15">
      <w:pPr>
        <w:numPr>
          <w:ilvl w:val="0"/>
          <w:numId w:val="89"/>
        </w:numPr>
        <w:jc w:val="both"/>
      </w:pPr>
      <w:r w:rsidRPr="00E84E15">
        <w:t>Professor, Veterinary Surgery- Comparative Ophthalmology- Exotic and Wild Animal Medicine Department of Veterinary Medicine, School of Health Sciences, Aristotle University of Thessaloniki</w:t>
      </w:r>
    </w:p>
    <w:p w14:paraId="20A687D4" w14:textId="77777777" w:rsidR="00E84E15" w:rsidRPr="00E84E15" w:rsidRDefault="00E84E15" w:rsidP="00E84E15">
      <w:pPr>
        <w:ind w:left="720"/>
        <w:jc w:val="both"/>
      </w:pPr>
    </w:p>
    <w:p w14:paraId="24D2B743" w14:textId="77777777" w:rsidR="00E84E15" w:rsidRPr="00E84E15" w:rsidRDefault="00E84E15" w:rsidP="00E84E15">
      <w:pPr>
        <w:jc w:val="both"/>
      </w:pPr>
      <w:r w:rsidRPr="00E84E15">
        <w:rPr>
          <w:b/>
          <w:bCs/>
        </w:rPr>
        <w:t>Abstract</w:t>
      </w:r>
    </w:p>
    <w:p w14:paraId="42CD53A4" w14:textId="77777777" w:rsidR="00E84E15" w:rsidRDefault="00E84E15" w:rsidP="00E84E15">
      <w:pPr>
        <w:jc w:val="both"/>
      </w:pPr>
      <w:r w:rsidRPr="00E84E15">
        <w:t>Marine mammals, as apex predators and umbrella species, serve as critical indicators of marine ecosystems’ health. Marine life faces ever-increasing challenges due to anthropogenic activity in marine ecosystems. Common bottlenose dolphins (</w:t>
      </w:r>
      <w:r w:rsidRPr="00E84E15">
        <w:rPr>
          <w:i/>
          <w:iCs/>
        </w:rPr>
        <w:t>Tursiops truncatus</w:t>
      </w:r>
      <w:r w:rsidRPr="00E84E15">
        <w:t>) often act as opportunistic predators, selecting aquaculture sites as privileged foraging grounds. In these areas, they prey both on wild fish that aggregate around the sea cages and on farmed fish. These interactions have negative consequences, also. Regarding aquaculture, material damage and production losses are observed. Conversely, dolphins are exposed to risks of injury, entanglement, or even antibiotic exposure through their prey. Additionally, the social structure of bottlenose dolphins is also affected, namely the formation of subpopulations that specialize in foraging within aquaculture sites. This may lead to a negative impact on future generations of dolphins, as the transmission of knowledge becomes restricted within these new subpopulations. Although modern methods, such as Acoustic Deterrent Devices (ADDs), have been developed to mitigate these interactions, their effectiveness remains controversial due to the high adaptability that characterizes marine mammals. This literature review with data from field studies in the Mediterranean Sea, highlights the need for further research and understanding of the social structures’ changes and the need for sustainable coexistence strategies for marine fauna with anthropogenic activities.</w:t>
      </w:r>
    </w:p>
    <w:p w14:paraId="6331770B" w14:textId="77777777" w:rsidR="00E84E15" w:rsidRPr="00E84E15" w:rsidRDefault="00E84E15" w:rsidP="00E84E15">
      <w:pPr>
        <w:jc w:val="both"/>
      </w:pPr>
    </w:p>
    <w:p w14:paraId="5A0E8D4C" w14:textId="77777777" w:rsidR="00E84E15" w:rsidRPr="00E84E15" w:rsidRDefault="00E84E15" w:rsidP="00E84E15">
      <w:pPr>
        <w:jc w:val="both"/>
      </w:pPr>
      <w:r w:rsidRPr="00E84E15">
        <w:rPr>
          <w:b/>
          <w:bCs/>
        </w:rPr>
        <w:t>Βibliography</w:t>
      </w:r>
    </w:p>
    <w:p w14:paraId="7B4F8AD3" w14:textId="77777777" w:rsidR="00E84E15" w:rsidRPr="00E84E15" w:rsidRDefault="00E84E15" w:rsidP="00E84E15">
      <w:pPr>
        <w:jc w:val="both"/>
      </w:pPr>
      <w:r w:rsidRPr="00E84E15">
        <w:t xml:space="preserve">Agrelo, M. et al. (2019) Spatial behavioural response of coastal bottlenose dolphins to habitat disturbance in southern Brazil. </w:t>
      </w:r>
      <w:r w:rsidRPr="00E84E15">
        <w:rPr>
          <w:i/>
          <w:iCs/>
        </w:rPr>
        <w:t>Aquat. Conserv. Mar. Freshw. Ecosyst</w:t>
      </w:r>
      <w:r w:rsidRPr="00E84E15">
        <w:t>. 29: 1949–1958 </w:t>
      </w:r>
    </w:p>
    <w:p w14:paraId="358DC846" w14:textId="77777777" w:rsidR="00E84E15" w:rsidRPr="00E84E15" w:rsidRDefault="00E84E15" w:rsidP="00E84E15">
      <w:pPr>
        <w:jc w:val="both"/>
      </w:pPr>
      <w:r w:rsidRPr="00E84E15">
        <w:t xml:space="preserve">Andres, C., Cardona, L., Gonzalvo, J. (2021). Common bottlenose dolphin (Tursiops truncatus) interaction with fish farms in the Gulf of Ambracia, western Greece </w:t>
      </w:r>
      <w:r w:rsidRPr="00E84E15">
        <w:rPr>
          <w:i/>
          <w:iCs/>
        </w:rPr>
        <w:t>Aquatic Conserv: Mar Freshw Ecosyst</w:t>
      </w:r>
      <w:r w:rsidRPr="00E84E15">
        <w:t>. 2021: 1 – 12</w:t>
      </w:r>
    </w:p>
    <w:p w14:paraId="1B48F694" w14:textId="77777777" w:rsidR="00E84E15" w:rsidRPr="00E84E15" w:rsidRDefault="00E84E15" w:rsidP="00E84E15">
      <w:pPr>
        <w:jc w:val="both"/>
      </w:pPr>
      <w:r w:rsidRPr="00E84E15">
        <w:t xml:space="preserve">Ansmann, I.C, Parra, J.G, Chilvers, B.L., Lanyon, J.M. (2012) Dolphins restructure social system after reduction of commercial fisheries, </w:t>
      </w:r>
      <w:r w:rsidRPr="00E84E15">
        <w:rPr>
          <w:i/>
          <w:iCs/>
        </w:rPr>
        <w:t>Animal Behaviour</w:t>
      </w:r>
      <w:r w:rsidRPr="00E84E15">
        <w:t>, 84: 575-581, </w:t>
      </w:r>
    </w:p>
    <w:p w14:paraId="59285ABD" w14:textId="77777777" w:rsidR="00E84E15" w:rsidRPr="00E84E15" w:rsidRDefault="00E84E15" w:rsidP="00E84E15">
      <w:pPr>
        <w:jc w:val="both"/>
      </w:pPr>
      <w:r w:rsidRPr="00E84E15">
        <w:t xml:space="preserve">Andersen, M.S., Forney, F.A., Cole, T.V.N., et al. (2008) Differentiating Serious and Non-serious Injury of Marine Mammals: Report of the Serious Injury Technical Workshop. </w:t>
      </w:r>
      <w:r w:rsidRPr="00E84E15">
        <w:rPr>
          <w:i/>
          <w:iCs/>
        </w:rPr>
        <w:t>US National Oceanic and Atmospheric Administration</w:t>
      </w:r>
    </w:p>
    <w:p w14:paraId="7C2DEFBB" w14:textId="77777777" w:rsidR="00E84E15" w:rsidRPr="00E84E15" w:rsidRDefault="00E84E15" w:rsidP="00E84E15">
      <w:pPr>
        <w:jc w:val="both"/>
      </w:pPr>
      <w:r w:rsidRPr="00E84E15">
        <w:lastRenderedPageBreak/>
        <w:t xml:space="preserve">Barnhill, K. A., Scott, J., Clark, H. P., &amp; Smith, A. J. (2022). Human-bottlenose dolphin interactions within wildlife tourism, ocean recreation and fisheries. </w:t>
      </w:r>
      <w:r w:rsidRPr="00E84E15">
        <w:rPr>
          <w:i/>
          <w:iCs/>
        </w:rPr>
        <w:t>Coastal Studies &amp; Society</w:t>
      </w:r>
      <w:r w:rsidRPr="00E84E15">
        <w:t xml:space="preserve">, </w:t>
      </w:r>
      <w:r w:rsidRPr="00E84E15">
        <w:rPr>
          <w:i/>
          <w:iCs/>
        </w:rPr>
        <w:t>1</w:t>
      </w:r>
      <w:r w:rsidRPr="00E84E15">
        <w:t>(2-4), 140-155. </w:t>
      </w:r>
    </w:p>
    <w:p w14:paraId="0952C86E" w14:textId="77777777" w:rsidR="00E84E15" w:rsidRPr="00E84E15" w:rsidRDefault="00E84E15" w:rsidP="00E84E15">
      <w:pPr>
        <w:jc w:val="both"/>
      </w:pPr>
      <w:r w:rsidRPr="00E84E15">
        <w:t xml:space="preserve">Bath, G, ., Price, C, , Riley, K, Morris, J,A Jr. (2023) A global review of protected species interactions with marine aquaculture. </w:t>
      </w:r>
      <w:r w:rsidRPr="00E84E15">
        <w:rPr>
          <w:i/>
          <w:iCs/>
        </w:rPr>
        <w:t>Rev Aquac</w:t>
      </w:r>
      <w:r w:rsidRPr="00E84E15">
        <w:t>.; 15(4): 1686-1719. </w:t>
      </w:r>
    </w:p>
    <w:p w14:paraId="47DFE23A" w14:textId="77777777" w:rsidR="00E84E15" w:rsidRPr="00E84E15" w:rsidRDefault="00E84E15" w:rsidP="00E84E15">
      <w:pPr>
        <w:jc w:val="both"/>
      </w:pPr>
      <w:r w:rsidRPr="00E84E15">
        <w:t xml:space="preserve">Bailey, H., Thompson, P. (2006), Quantitative analysis of bottlenose dolphin movement patterns and their relationship with foraging. </w:t>
      </w:r>
      <w:r w:rsidRPr="00E84E15">
        <w:rPr>
          <w:i/>
          <w:iCs/>
        </w:rPr>
        <w:t xml:space="preserve">Journal of Animal Ecology, </w:t>
      </w:r>
      <w:r w:rsidRPr="00E84E15">
        <w:t>75: 456-465. </w:t>
      </w:r>
    </w:p>
    <w:p w14:paraId="72F6A2BC" w14:textId="77777777" w:rsidR="00E84E15" w:rsidRPr="00E84E15" w:rsidRDefault="00E84E15" w:rsidP="00E84E15">
      <w:pPr>
        <w:jc w:val="both"/>
      </w:pPr>
      <w:r w:rsidRPr="00E84E15">
        <w:t xml:space="preserve">Bearzi, G., Agazzi, S., Bonizzoni, S., Costa, M., Azzellino, A. (2008). Dolphins in a bottle: abundance, residency patterns and conservation of bottlenose dolphins Tursiops truncatus in the semi-closed eutrophic Amvrakikos Gulf, Greece, </w:t>
      </w:r>
      <w:r w:rsidRPr="00E84E15">
        <w:rPr>
          <w:i/>
          <w:iCs/>
        </w:rPr>
        <w:t>Aquatic Conserv: Mar. Freshw. Ecosyst</w:t>
      </w:r>
      <w:r w:rsidRPr="00E84E15">
        <w:t>. 18: 130 – 146</w:t>
      </w:r>
    </w:p>
    <w:p w14:paraId="7ACDF410" w14:textId="77777777" w:rsidR="00E84E15" w:rsidRPr="00E84E15" w:rsidRDefault="00E84E15" w:rsidP="00E84E15">
      <w:pPr>
        <w:jc w:val="both"/>
      </w:pPr>
      <w:r w:rsidRPr="00E84E15">
        <w:t xml:space="preserve">Bearzi, G., Fortuna, C. M., Reeves, R. R. (2008). Ecology and conservation of common bottlenose dolphins Tursiops truncatus in the Mediterranean Sea. </w:t>
      </w:r>
      <w:r w:rsidRPr="00E84E15">
        <w:rPr>
          <w:i/>
          <w:iCs/>
        </w:rPr>
        <w:t xml:space="preserve">Mammal Review, </w:t>
      </w:r>
      <w:r w:rsidRPr="00E84E15">
        <w:t>39: 92 – 123</w:t>
      </w:r>
    </w:p>
    <w:p w14:paraId="4B043B7A" w14:textId="77777777" w:rsidR="00E84E15" w:rsidRDefault="00E84E15" w:rsidP="00E84E15">
      <w:pPr>
        <w:jc w:val="both"/>
      </w:pPr>
      <w:r w:rsidRPr="00E84E15">
        <w:br/>
      </w:r>
    </w:p>
    <w:p w14:paraId="1E8C2C5D" w14:textId="77777777" w:rsidR="00E84E15" w:rsidRDefault="00E84E15">
      <w:r>
        <w:br w:type="page"/>
      </w:r>
    </w:p>
    <w:p w14:paraId="4393E033" w14:textId="77777777" w:rsidR="00E84E15" w:rsidRPr="00E84E15" w:rsidRDefault="00E84E15" w:rsidP="00E84E15">
      <w:pPr>
        <w:jc w:val="both"/>
      </w:pPr>
      <w:r w:rsidRPr="00E84E15">
        <w:rPr>
          <w:b/>
          <w:bCs/>
        </w:rPr>
        <w:lastRenderedPageBreak/>
        <w:t>Neurogenesis in the Young and Aged Canine Brain: Potential Applications in the Management of Neurological Diseases</w:t>
      </w:r>
    </w:p>
    <w:p w14:paraId="1B0CE99C" w14:textId="77777777" w:rsidR="00E84E15" w:rsidRPr="00E84E15" w:rsidRDefault="00E84E15" w:rsidP="00E84E15">
      <w:pPr>
        <w:jc w:val="both"/>
      </w:pPr>
      <w:r w:rsidRPr="00E84E15">
        <w:t>Georgios Iosifidis</w:t>
      </w:r>
      <w:r w:rsidRPr="00E84E15">
        <w:rPr>
          <w:vertAlign w:val="superscript"/>
        </w:rPr>
        <w:t>1</w:t>
      </w:r>
      <w:r w:rsidRPr="00E84E15">
        <w:t>, Chrysanthi Bekiari</w:t>
      </w:r>
      <w:r w:rsidRPr="00E84E15">
        <w:rPr>
          <w:vertAlign w:val="superscript"/>
        </w:rPr>
        <w:t>2</w:t>
      </w:r>
    </w:p>
    <w:p w14:paraId="596ABA6C" w14:textId="77777777" w:rsidR="00E84E15" w:rsidRPr="00E84E15" w:rsidRDefault="00E84E15">
      <w:pPr>
        <w:numPr>
          <w:ilvl w:val="0"/>
          <w:numId w:val="90"/>
        </w:numPr>
        <w:jc w:val="both"/>
      </w:pPr>
      <w:r w:rsidRPr="00E84E15">
        <w:t>Undergraduate student, School of Veterinary Medicine, Faculty of Health Sciences, Aristotle University of Thessaloniki</w:t>
      </w:r>
    </w:p>
    <w:p w14:paraId="6E7E9647" w14:textId="77777777" w:rsidR="00E84E15" w:rsidRPr="00E84E15" w:rsidRDefault="00E84E15">
      <w:pPr>
        <w:numPr>
          <w:ilvl w:val="0"/>
          <w:numId w:val="90"/>
        </w:numPr>
        <w:jc w:val="both"/>
      </w:pPr>
      <w:r w:rsidRPr="00E84E15">
        <w:t>Assistant Professor, Laboratory of Anatomy, Histology, and Embryology, School of Veterinary Medicine, Faculty of Health Sciences, Aristotle University of Thessaloniki</w:t>
      </w:r>
    </w:p>
    <w:p w14:paraId="095801DB" w14:textId="77777777" w:rsidR="00E84E15" w:rsidRPr="00E84E15" w:rsidRDefault="00E84E15" w:rsidP="00E84E15">
      <w:pPr>
        <w:jc w:val="both"/>
      </w:pPr>
    </w:p>
    <w:p w14:paraId="104BDCF1" w14:textId="77777777" w:rsidR="00E84E15" w:rsidRPr="00E84E15" w:rsidRDefault="00E84E15" w:rsidP="00E84E15">
      <w:pPr>
        <w:jc w:val="both"/>
      </w:pPr>
      <w:r w:rsidRPr="00E84E15">
        <w:rPr>
          <w:b/>
          <w:bCs/>
        </w:rPr>
        <w:t>Abstract</w:t>
      </w:r>
    </w:p>
    <w:p w14:paraId="4967CDBC" w14:textId="77777777" w:rsidR="00E84E15" w:rsidRPr="00E84E15" w:rsidRDefault="00E84E15" w:rsidP="00E84E15">
      <w:pPr>
        <w:jc w:val="both"/>
      </w:pPr>
      <w:r w:rsidRPr="00E84E15">
        <w:t> Neurogenesis is defined as the production of new neural cells in the brain. Specifically, it is the process by which neural stem cells proliferate and differentiate into new neurons and astrocytes. Recent data demonstrate that this process does not terminate upon the completion of the central nervous system’s development but rather continues into adulthood. The brain's hippocampus, critical for memory and learning, retains this capacity to produce new neural cells; however, this ability declines dramatically with age and is significantly affected by neurological conditions, such as temporal lobe epilepsy and canine cognitive dysfunction syndrome. The present study attempts a comparative evaluation of hippocampal neurogenesis between young and aged adult canines, utilizing immunohistochemical markers to identify the proliferative capacity of neural stem cells and the resulting cell populations. Concurrently, the potential contribution of neurogenesis to the management of canine neurological diseases, through its stimulation or targeted modification, is discussed.</w:t>
      </w:r>
    </w:p>
    <w:p w14:paraId="2E4C8A60" w14:textId="09003AFF" w:rsidR="00E84E15" w:rsidRPr="00E84E15" w:rsidRDefault="00E84E15" w:rsidP="00E84E15">
      <w:pPr>
        <w:jc w:val="both"/>
      </w:pPr>
    </w:p>
    <w:p w14:paraId="49655FFD" w14:textId="77777777" w:rsidR="00E84E15" w:rsidRPr="00E84E15" w:rsidRDefault="00E84E15" w:rsidP="00E84E15">
      <w:pPr>
        <w:jc w:val="both"/>
      </w:pPr>
      <w:r w:rsidRPr="00E84E15">
        <w:rPr>
          <w:b/>
          <w:bCs/>
        </w:rPr>
        <w:t>Bibliography</w:t>
      </w:r>
    </w:p>
    <w:p w14:paraId="5D8F0DB2" w14:textId="0BB0A8B4" w:rsidR="00E84E15" w:rsidRPr="00E84E15" w:rsidRDefault="00E84E15" w:rsidP="00E84E15">
      <w:pPr>
        <w:jc w:val="both"/>
      </w:pPr>
      <w:r w:rsidRPr="00E84E15">
        <w:t>Bekiari, C., Grivas, I., Tsingotjidou, A., &amp; Papadopoulos, G. C. (2020).</w:t>
      </w:r>
      <w:r w:rsidRPr="00E84E15">
        <w:rPr>
          <w:i/>
          <w:iCs/>
        </w:rPr>
        <w:t xml:space="preserve"> Adult neurogenesis and gliogenesis in the dorsal and ventral canine hippocampus</w:t>
      </w:r>
      <w:r w:rsidRPr="00E84E15">
        <w:t>. Journal of Comparative Neurology,</w:t>
      </w:r>
      <w:r w:rsidRPr="00E84E15">
        <w:rPr>
          <w:i/>
          <w:iCs/>
        </w:rPr>
        <w:t xml:space="preserve"> 528</w:t>
      </w:r>
      <w:r w:rsidRPr="00E84E15">
        <w:t>(7), 1216–1230. </w:t>
      </w:r>
    </w:p>
    <w:p w14:paraId="20409060" w14:textId="68E3F165" w:rsidR="00E84E15" w:rsidRPr="00E84E15" w:rsidRDefault="00E84E15" w:rsidP="00E84E15">
      <w:pPr>
        <w:jc w:val="both"/>
      </w:pPr>
      <w:r w:rsidRPr="00E84E15">
        <w:t>Borschensky, C. M., Woolley, J. S., Kipar, A., &amp; Herden, C. (2012).</w:t>
      </w:r>
      <w:r w:rsidRPr="00E84E15">
        <w:rPr>
          <w:i/>
          <w:iCs/>
        </w:rPr>
        <w:t xml:space="preserve"> Neurogenesis in a young dog with epileptic seizures.</w:t>
      </w:r>
      <w:r w:rsidRPr="00E84E15">
        <w:t> </w:t>
      </w:r>
      <w:r w:rsidRPr="00E84E15">
        <w:rPr>
          <w:i/>
          <w:iCs/>
        </w:rPr>
        <w:t>Veterinary Pathology, 49</w:t>
      </w:r>
      <w:r w:rsidRPr="00E84E15">
        <w:t>(5), 766–770.</w:t>
      </w:r>
    </w:p>
    <w:p w14:paraId="6921BABE" w14:textId="1344C248" w:rsidR="00E84E15" w:rsidRPr="00E84E15" w:rsidRDefault="00E84E15" w:rsidP="00E84E15">
      <w:pPr>
        <w:jc w:val="both"/>
      </w:pPr>
      <w:r w:rsidRPr="00E84E15">
        <w:t xml:space="preserve">Deng, W., Aimone, J. B., &amp; Gage, F. H. (2010). </w:t>
      </w:r>
      <w:r w:rsidRPr="00E84E15">
        <w:rPr>
          <w:i/>
          <w:iCs/>
        </w:rPr>
        <w:t>New neurons and new memories: How does adult hippocampal neurogenesis affect learning and memory?</w:t>
      </w:r>
      <w:r w:rsidRPr="00E84E15">
        <w:t> </w:t>
      </w:r>
      <w:r w:rsidRPr="00E84E15">
        <w:rPr>
          <w:i/>
          <w:iCs/>
        </w:rPr>
        <w:t>Nature Reviews Neuroscience, 11</w:t>
      </w:r>
      <w:r w:rsidRPr="00E84E15">
        <w:t>(5), 339–350. </w:t>
      </w:r>
    </w:p>
    <w:p w14:paraId="53800014" w14:textId="132C7F9C" w:rsidR="00E84E15" w:rsidRPr="00E84E15" w:rsidRDefault="00E84E15" w:rsidP="00E84E15">
      <w:pPr>
        <w:jc w:val="both"/>
      </w:pPr>
      <w:r w:rsidRPr="00E84E15">
        <w:t xml:space="preserve">Fernández-Flores, F., García-Verdugo, J. M., Martín-Ibáñez, R., Herranz, C., Fondevila, D., Canals, J. M., Arús, C., &amp; Pumarola, M. (2018). </w:t>
      </w:r>
      <w:r w:rsidRPr="00E84E15">
        <w:rPr>
          <w:i/>
          <w:iCs/>
        </w:rPr>
        <w:t>Characterization of the canine rostral ventricular-subventricular zone: Morphological, immunohistochemical, ultrastructural, and neurosphere assay studies</w:t>
      </w:r>
      <w:r w:rsidRPr="00E84E15">
        <w:t>. </w:t>
      </w:r>
      <w:r w:rsidRPr="00E84E15">
        <w:rPr>
          <w:i/>
          <w:iCs/>
        </w:rPr>
        <w:t>Journal of Comparative Neurology, 526</w:t>
      </w:r>
      <w:r w:rsidRPr="00E84E15">
        <w:t>(4), 721–741.</w:t>
      </w:r>
    </w:p>
    <w:p w14:paraId="708FD01C" w14:textId="77777777" w:rsidR="00E84E15" w:rsidRPr="00E84E15" w:rsidRDefault="00E84E15" w:rsidP="00E84E15">
      <w:pPr>
        <w:jc w:val="both"/>
      </w:pPr>
      <w:r w:rsidRPr="00E84E15">
        <w:t xml:space="preserve">Jung, M.-A., Nahm, S.-S., Lee, M.-S., Lee, I.-H., Lee, A.-R., Jang, D.-P., Kim, Y.-B., Cho, Z.-H., &amp; Eom, K.-D. (2010). </w:t>
      </w:r>
      <w:r w:rsidRPr="00E84E15">
        <w:rPr>
          <w:i/>
          <w:iCs/>
        </w:rPr>
        <w:t>Canine hippocampal formation composited into three-dimensional structure using MPRAGE.</w:t>
      </w:r>
      <w:r w:rsidRPr="00E84E15">
        <w:t> </w:t>
      </w:r>
      <w:r w:rsidRPr="00E84E15">
        <w:rPr>
          <w:i/>
          <w:iCs/>
        </w:rPr>
        <w:t>Journal of Veterinary Medical Science, 72</w:t>
      </w:r>
      <w:r w:rsidRPr="00E84E15">
        <w:t>(7), 853–860. </w:t>
      </w:r>
    </w:p>
    <w:p w14:paraId="582FC200" w14:textId="77777777" w:rsidR="00E84E15" w:rsidRPr="00E84E15" w:rsidRDefault="00E84E15" w:rsidP="00E84E15">
      <w:pPr>
        <w:jc w:val="both"/>
      </w:pPr>
    </w:p>
    <w:p w14:paraId="141AB88A" w14:textId="2D28483C" w:rsidR="00E84E15" w:rsidRPr="00E84E15" w:rsidRDefault="00E84E15" w:rsidP="00E84E15">
      <w:pPr>
        <w:jc w:val="both"/>
      </w:pPr>
      <w:r w:rsidRPr="00E84E15">
        <w:lastRenderedPageBreak/>
        <w:t xml:space="preserve">Kempermann, G., Song, H., &amp; Gage, F. H. (2015). </w:t>
      </w:r>
      <w:r w:rsidRPr="00E84E15">
        <w:rPr>
          <w:i/>
          <w:iCs/>
        </w:rPr>
        <w:t>Neurogenesis in the adult hippocampus. Cold Spring Harbor Perspectives in Biology, 7</w:t>
      </w:r>
      <w:r w:rsidRPr="00E84E15">
        <w:t>(9), a018812.</w:t>
      </w:r>
    </w:p>
    <w:p w14:paraId="37FB0AA2" w14:textId="7D67E0FD" w:rsidR="00E84E15" w:rsidRPr="00E84E15" w:rsidRDefault="00E84E15" w:rsidP="00E84E15">
      <w:pPr>
        <w:jc w:val="both"/>
      </w:pPr>
      <w:r w:rsidRPr="00E84E15">
        <w:t xml:space="preserve">Lowe, A., Dalton, M., Sidhu, K., Sachdev, P., Reynolds, B., &amp; Valenzuela, M. (2015). </w:t>
      </w:r>
      <w:r w:rsidRPr="00E84E15">
        <w:rPr>
          <w:i/>
          <w:iCs/>
        </w:rPr>
        <w:t>Neurogenesis and precursor cell differences in the dorsal and ventral adult canine hippocampus.</w:t>
      </w:r>
      <w:r w:rsidRPr="00E84E15">
        <w:t> </w:t>
      </w:r>
      <w:r w:rsidRPr="00E84E15">
        <w:rPr>
          <w:i/>
          <w:iCs/>
        </w:rPr>
        <w:t>Neuroscience Letters, 593</w:t>
      </w:r>
      <w:r w:rsidRPr="00E84E15">
        <w:t>, 107–113. </w:t>
      </w:r>
    </w:p>
    <w:p w14:paraId="3BAFC8A9" w14:textId="152F36C9" w:rsidR="00E84E15" w:rsidRPr="00E84E15" w:rsidRDefault="00E84E15" w:rsidP="00E84E15">
      <w:pPr>
        <w:jc w:val="both"/>
      </w:pPr>
      <w:r w:rsidRPr="00E84E15">
        <w:t xml:space="preserve">Montgomery, D. L., &amp; Lee, A. C. (1983). </w:t>
      </w:r>
      <w:r w:rsidRPr="00E84E15">
        <w:rPr>
          <w:i/>
          <w:iCs/>
        </w:rPr>
        <w:t>Brain damage in the epileptic beagle dog.</w:t>
      </w:r>
      <w:r w:rsidRPr="00E84E15">
        <w:t> </w:t>
      </w:r>
      <w:r w:rsidRPr="00E84E15">
        <w:rPr>
          <w:i/>
          <w:iCs/>
        </w:rPr>
        <w:t>Veterinary Pathology, 20</w:t>
      </w:r>
      <w:r w:rsidRPr="00E84E15">
        <w:t>(2), 160–169. </w:t>
      </w:r>
    </w:p>
    <w:p w14:paraId="7FC3DFA7" w14:textId="4F556DA6" w:rsidR="00E84E15" w:rsidRPr="00E84E15" w:rsidRDefault="00E84E15" w:rsidP="00E84E15">
      <w:pPr>
        <w:jc w:val="both"/>
      </w:pPr>
      <w:r w:rsidRPr="00E84E15">
        <w:t xml:space="preserve">Pekcec, A., Baumgärtner, W., Bankstahl, J. P., Stein, V. M., &amp; Potschka, H. (2008). </w:t>
      </w:r>
      <w:r w:rsidRPr="00E84E15">
        <w:rPr>
          <w:i/>
          <w:iCs/>
        </w:rPr>
        <w:t>Effect of aging on neurogenesis in the canine brain.</w:t>
      </w:r>
      <w:r w:rsidRPr="00E84E15">
        <w:t> </w:t>
      </w:r>
      <w:r w:rsidRPr="00E84E15">
        <w:rPr>
          <w:i/>
          <w:iCs/>
        </w:rPr>
        <w:t>Aging Cell, 7</w:t>
      </w:r>
      <w:r w:rsidRPr="00E84E15">
        <w:t>(3), 368–374. </w:t>
      </w:r>
    </w:p>
    <w:p w14:paraId="6A720034" w14:textId="1B5C4EBA" w:rsidR="00E84E15" w:rsidRPr="00E84E15" w:rsidRDefault="00E84E15" w:rsidP="00E84E15">
      <w:pPr>
        <w:jc w:val="both"/>
      </w:pPr>
      <w:r w:rsidRPr="00E84E15">
        <w:t>Seisdedos Benzal, A., &amp; Galán Rodríguez, A. (2016).</w:t>
      </w:r>
      <w:r w:rsidRPr="00E84E15">
        <w:rPr>
          <w:i/>
          <w:iCs/>
        </w:rPr>
        <w:t xml:space="preserve"> Recent developments in canine cognitive dysfunction syndrome</w:t>
      </w:r>
      <w:r w:rsidRPr="00E84E15">
        <w:t>. </w:t>
      </w:r>
      <w:r w:rsidRPr="00E84E15">
        <w:rPr>
          <w:i/>
          <w:iCs/>
        </w:rPr>
        <w:t>Pet Behaviour Science, (1)</w:t>
      </w:r>
      <w:r w:rsidRPr="00E84E15">
        <w:t>, 47–59. </w:t>
      </w:r>
    </w:p>
    <w:p w14:paraId="327EC686" w14:textId="77777777" w:rsidR="00E84E15" w:rsidRPr="00E84E15" w:rsidRDefault="00E84E15" w:rsidP="00E84E15">
      <w:pPr>
        <w:jc w:val="both"/>
      </w:pPr>
      <w:r w:rsidRPr="00E84E15">
        <w:t xml:space="preserve">Siwak-Tapp, C. T., Head, E., Muggenburg, B. A., Milgram, N. W., &amp; Cotman, C. W. (2007). </w:t>
      </w:r>
      <w:r w:rsidRPr="00E84E15">
        <w:rPr>
          <w:i/>
          <w:iCs/>
        </w:rPr>
        <w:t>Neurogenesis decreases with age in the canine hippocampus and correlates with cognitive function.</w:t>
      </w:r>
      <w:r w:rsidRPr="00E84E15">
        <w:t> </w:t>
      </w:r>
      <w:r w:rsidRPr="00E84E15">
        <w:rPr>
          <w:i/>
          <w:iCs/>
        </w:rPr>
        <w:t>Neurobiology of Learning and Memory, 88</w:t>
      </w:r>
      <w:r w:rsidRPr="00E84E15">
        <w:t>(2), 249–259. </w:t>
      </w:r>
    </w:p>
    <w:p w14:paraId="5214BE60" w14:textId="77777777" w:rsidR="00E84E15" w:rsidRDefault="00E84E15" w:rsidP="00E84E15">
      <w:pPr>
        <w:jc w:val="both"/>
      </w:pPr>
      <w:r w:rsidRPr="00E84E15">
        <w:br/>
      </w:r>
      <w:r w:rsidRPr="00E84E15">
        <w:br/>
      </w:r>
      <w:r w:rsidRPr="00E84E15">
        <w:br/>
      </w:r>
      <w:r w:rsidRPr="00E84E15">
        <w:br/>
      </w:r>
      <w:r w:rsidRPr="00E84E15">
        <w:br/>
      </w:r>
      <w:r w:rsidRPr="00E84E15">
        <w:br/>
      </w:r>
      <w:r w:rsidRPr="00E84E15">
        <w:br/>
      </w:r>
      <w:r w:rsidRPr="00E84E15">
        <w:br/>
      </w:r>
      <w:r w:rsidRPr="00E84E15">
        <w:br/>
      </w:r>
      <w:r w:rsidRPr="00E84E15">
        <w:br/>
      </w:r>
      <w:r w:rsidRPr="00E84E15">
        <w:br/>
      </w:r>
      <w:r w:rsidRPr="00E84E15">
        <w:br/>
      </w:r>
      <w:r w:rsidRPr="00E84E15">
        <w:br/>
      </w:r>
      <w:r w:rsidRPr="00E84E15">
        <w:br/>
      </w:r>
      <w:r w:rsidRPr="00E84E15">
        <w:br/>
      </w:r>
      <w:r w:rsidRPr="00E84E15">
        <w:br/>
      </w:r>
      <w:r w:rsidRPr="00E84E15">
        <w:br/>
      </w:r>
      <w:r w:rsidRPr="00E84E15">
        <w:br/>
      </w:r>
      <w:r w:rsidRPr="00E84E15">
        <w:br/>
      </w:r>
      <w:r w:rsidRPr="00E84E15">
        <w:br/>
      </w:r>
    </w:p>
    <w:p w14:paraId="04367023" w14:textId="77777777" w:rsidR="00E84E15" w:rsidRDefault="00E84E15" w:rsidP="00E84E15">
      <w:pPr>
        <w:jc w:val="both"/>
      </w:pPr>
    </w:p>
    <w:p w14:paraId="2BD5F93F" w14:textId="77777777" w:rsidR="00E84E15" w:rsidRDefault="00E84E15" w:rsidP="00E84E15">
      <w:pPr>
        <w:jc w:val="both"/>
      </w:pPr>
    </w:p>
    <w:p w14:paraId="670B4E2E" w14:textId="77777777" w:rsidR="00E84E15" w:rsidRDefault="00E84E15" w:rsidP="00E84E15">
      <w:pPr>
        <w:jc w:val="both"/>
      </w:pPr>
    </w:p>
    <w:p w14:paraId="529EEF65" w14:textId="77777777" w:rsidR="00E84E15" w:rsidRDefault="00E84E15" w:rsidP="00E84E15">
      <w:pPr>
        <w:jc w:val="both"/>
      </w:pPr>
    </w:p>
    <w:p w14:paraId="4492D148" w14:textId="37C318E6" w:rsidR="00E84E15" w:rsidRPr="00E84E15" w:rsidRDefault="00E84E15" w:rsidP="00E84E15">
      <w:pPr>
        <w:jc w:val="both"/>
      </w:pPr>
      <w:r w:rsidRPr="00E84E15">
        <w:br/>
      </w:r>
    </w:p>
    <w:p w14:paraId="4F737F63" w14:textId="77777777" w:rsidR="00E84E15" w:rsidRPr="00E84E15" w:rsidRDefault="00E84E15" w:rsidP="00E84E15">
      <w:pPr>
        <w:jc w:val="both"/>
      </w:pPr>
      <w:r w:rsidRPr="00E84E15">
        <w:rPr>
          <w:b/>
          <w:bCs/>
        </w:rPr>
        <w:lastRenderedPageBreak/>
        <w:t>Meningoencephalitis of unknown origin (MUO)</w:t>
      </w:r>
    </w:p>
    <w:p w14:paraId="1CEAD6B4" w14:textId="77777777" w:rsidR="00E84E15" w:rsidRPr="00E84E15" w:rsidRDefault="00E84E15" w:rsidP="00E84E15">
      <w:pPr>
        <w:jc w:val="both"/>
      </w:pPr>
      <w:r w:rsidRPr="00E84E15">
        <w:t>Kavalari Maria Aria¹, Mavridou Antonia¹, Polizopoulou Zoe², Baka Rania D.³</w:t>
      </w:r>
    </w:p>
    <w:p w14:paraId="783B73C8" w14:textId="77777777" w:rsidR="00E84E15" w:rsidRPr="00E84E15" w:rsidRDefault="00E84E15" w:rsidP="00E84E15">
      <w:pPr>
        <w:jc w:val="both"/>
      </w:pPr>
      <w:r w:rsidRPr="00E84E15">
        <w:t>1.     Undergraduate student, Department of Veterinary Medicine, School of Health Sciences, Aristotle University of Thessaloniki</w:t>
      </w:r>
    </w:p>
    <w:p w14:paraId="1BD5A8EF" w14:textId="77777777" w:rsidR="00E84E15" w:rsidRPr="00E84E15" w:rsidRDefault="00E84E15" w:rsidP="00E84E15">
      <w:pPr>
        <w:jc w:val="both"/>
      </w:pPr>
      <w:r w:rsidRPr="00E84E15">
        <w:t>2.     Professor, Department of Veterinary Medicine, School of Health Sciences, Aristotle University of Thessaloniki</w:t>
      </w:r>
    </w:p>
    <w:p w14:paraId="6EBE943D" w14:textId="77777777" w:rsidR="00E84E15" w:rsidRPr="00E84E15" w:rsidRDefault="00E84E15" w:rsidP="00E84E15">
      <w:pPr>
        <w:jc w:val="both"/>
      </w:pPr>
      <w:r w:rsidRPr="00E84E15">
        <w:t>3.     Research and Academic Associate Companion Animals Clinic, School of Veterinary Medicine, Faculty of Health Sciences, Aristotle University of Thessaloniki</w:t>
      </w:r>
    </w:p>
    <w:p w14:paraId="2049E9F0" w14:textId="77777777" w:rsidR="00E84E15" w:rsidRPr="00E84E15" w:rsidRDefault="00E84E15" w:rsidP="00E84E15">
      <w:pPr>
        <w:jc w:val="both"/>
      </w:pPr>
      <w:r w:rsidRPr="00E84E15">
        <w:t> </w:t>
      </w:r>
    </w:p>
    <w:p w14:paraId="4EA066BE" w14:textId="77777777" w:rsidR="00E84E15" w:rsidRPr="00E84E15" w:rsidRDefault="00E84E15" w:rsidP="00E84E15">
      <w:pPr>
        <w:jc w:val="both"/>
      </w:pPr>
      <w:r w:rsidRPr="00E84E15">
        <w:rPr>
          <w:b/>
          <w:bCs/>
        </w:rPr>
        <w:t>Abstract</w:t>
      </w:r>
    </w:p>
    <w:p w14:paraId="7A925698" w14:textId="77777777" w:rsidR="00E84E15" w:rsidRDefault="00E84E15" w:rsidP="00E84E15">
      <w:pPr>
        <w:jc w:val="both"/>
      </w:pPr>
      <w:r w:rsidRPr="00E84E15">
        <w:t>Meningoencephalitis of unknown origin (MUO) is an “umbrella” term that includes inflammatory encephalopathies of unknown etiology that are not caused by infectious agents. MUO has been studied more extensively in dogs than in cats and it includes various subtypes, the most common of which are granulomatous meningoencephalomyelitis (GME), necrotizing leukoencephalitis (NLE), and necrotizing meningoencephalitis (NME). Their etiopathogenesis remains under investigation, but the symptomatology varies, with the most characteristic symptoms being vestibular and cerebellar syndrome, ataxia, lethargy, epileptic seizures, and paresis. The clinical manifestations and the course of the disease are acute or subacute, with continuous deterioration leading to the death of the animal. The diagnosis of MUO is based on the history, findings of the clinical and neurological examination, magnetic resonance imaging (MRI), analysis of cerebrospinal fluid (CSF), as well as the exclusion of infectious diseases that cause encephalitis. The final confirmation of the disease is achieved through histopathological examination. The treatment of MUO is based on the long-term administration of immunosuppressive drugs such as corticosteroids (prednisolone), which are often combined with other immunomodulatory drugs such as cyclosporine and cytarabine, along with supportive therapy, although with limited effectiveness.</w:t>
      </w:r>
    </w:p>
    <w:p w14:paraId="208BF61E" w14:textId="77777777" w:rsidR="00E84E15" w:rsidRPr="00E84E15" w:rsidRDefault="00E84E15" w:rsidP="00E84E15">
      <w:pPr>
        <w:jc w:val="both"/>
      </w:pPr>
    </w:p>
    <w:p w14:paraId="5B1101AC" w14:textId="77777777" w:rsidR="00E84E15" w:rsidRPr="00E84E15" w:rsidRDefault="00E84E15" w:rsidP="00E84E15">
      <w:pPr>
        <w:jc w:val="both"/>
      </w:pPr>
      <w:r w:rsidRPr="00E84E15">
        <w:rPr>
          <w:b/>
          <w:bCs/>
        </w:rPr>
        <w:t>Bibliography</w:t>
      </w:r>
    </w:p>
    <w:p w14:paraId="367A1873" w14:textId="77777777" w:rsidR="00E84E15" w:rsidRPr="00E84E15" w:rsidRDefault="00E84E15" w:rsidP="00E84E15">
      <w:pPr>
        <w:jc w:val="both"/>
      </w:pPr>
      <w:r w:rsidRPr="00E84E15">
        <w:t xml:space="preserve">Tamura, S., Santifort, K. M., Kuwabara, T., Nakamoto, Y., &amp; Tamura, Y. (2026). Case Report: Positioning head tilt observed in six dogs with meningoencephalitis of unknown origin. </w:t>
      </w:r>
      <w:r w:rsidRPr="00E84E15">
        <w:rPr>
          <w:i/>
          <w:iCs/>
        </w:rPr>
        <w:t>Frontiers in Veterinary Science</w:t>
      </w:r>
      <w:r w:rsidRPr="00E84E15">
        <w:t xml:space="preserve">, </w:t>
      </w:r>
      <w:r w:rsidRPr="00E84E15">
        <w:rPr>
          <w:i/>
          <w:iCs/>
        </w:rPr>
        <w:t>13</w:t>
      </w:r>
      <w:r w:rsidRPr="00E84E15">
        <w:t>. </w:t>
      </w:r>
    </w:p>
    <w:p w14:paraId="0508BC03" w14:textId="77777777" w:rsidR="00E84E15" w:rsidRPr="00E84E15" w:rsidRDefault="00E84E15" w:rsidP="00E84E15">
      <w:pPr>
        <w:jc w:val="both"/>
      </w:pPr>
      <w:r w:rsidRPr="00E84E15">
        <w:t xml:space="preserve">Brewińska, L., Banasik, A., Czopowicz, M., Płonek, M., Giza, E., Czerwik, A., Olszewska, A., Flegel, T., &amp; Wrzosek, M. (2025). Usefulness of neurological assessment scales in prognosis of meningoencephalitis of unknown origin in Yorkshire Terriers. </w:t>
      </w:r>
      <w:r w:rsidRPr="00E84E15">
        <w:rPr>
          <w:i/>
          <w:iCs/>
        </w:rPr>
        <w:t>BMC Veterinary Research</w:t>
      </w:r>
      <w:r w:rsidRPr="00E84E15">
        <w:t xml:space="preserve">, </w:t>
      </w:r>
      <w:r w:rsidRPr="00E84E15">
        <w:rPr>
          <w:i/>
          <w:iCs/>
        </w:rPr>
        <w:t>21</w:t>
      </w:r>
      <w:r w:rsidRPr="00E84E15">
        <w:t>(1).</w:t>
      </w:r>
    </w:p>
    <w:p w14:paraId="3B217676" w14:textId="77777777" w:rsidR="00E84E15" w:rsidRPr="00E84E15" w:rsidRDefault="00E84E15" w:rsidP="00E84E15">
      <w:pPr>
        <w:jc w:val="both"/>
      </w:pPr>
      <w:r w:rsidRPr="00E84E15">
        <w:t xml:space="preserve">Nessler, J. N., Jo, W. K., Osterhaus, A. D. M. E., Ludlow, M., &amp; Tipold, A. (2021). Canine Meningoencephalitis of Unknown Origin—The Search for Infectious Agents in the Cerebrospinal Fluid via Deep Sequencing. </w:t>
      </w:r>
      <w:r w:rsidRPr="00E84E15">
        <w:rPr>
          <w:i/>
          <w:iCs/>
        </w:rPr>
        <w:t>Frontiers in Veterinary Science</w:t>
      </w:r>
      <w:r w:rsidRPr="00E84E15">
        <w:t xml:space="preserve">, </w:t>
      </w:r>
      <w:r w:rsidRPr="00E84E15">
        <w:rPr>
          <w:i/>
          <w:iCs/>
        </w:rPr>
        <w:t>8</w:t>
      </w:r>
      <w:r w:rsidRPr="00E84E15">
        <w:t>. </w:t>
      </w:r>
    </w:p>
    <w:p w14:paraId="0DCA6FA0" w14:textId="77777777" w:rsidR="00E84E15" w:rsidRPr="00E84E15" w:rsidRDefault="00E84E15" w:rsidP="00E84E15">
      <w:pPr>
        <w:jc w:val="both"/>
      </w:pPr>
      <w:r w:rsidRPr="00E84E15">
        <w:t xml:space="preserve">Nessler, J. N., &amp; Tipold, A. (2024). Of potential new treatment targets and polythetic approach in meningoencephalitis of unknown origin: a review. In </w:t>
      </w:r>
      <w:r w:rsidRPr="00E84E15">
        <w:rPr>
          <w:i/>
          <w:iCs/>
        </w:rPr>
        <w:t>Frontiers in Veterinary Science</w:t>
      </w:r>
      <w:r w:rsidRPr="00E84E15">
        <w:t xml:space="preserve"> (Vol. 11). Frontiers Media SA. </w:t>
      </w:r>
    </w:p>
    <w:p w14:paraId="2A29100A" w14:textId="77777777" w:rsidR="00E84E15" w:rsidRPr="00E84E15" w:rsidRDefault="00E84E15" w:rsidP="00E84E15">
      <w:pPr>
        <w:jc w:val="both"/>
      </w:pPr>
      <w:r w:rsidRPr="00E84E15">
        <w:lastRenderedPageBreak/>
        <w:t xml:space="preserve">Lau, S., Platt, S., Tauro, A., Ricci, E., &amp; Alcoverro, E. (2025). Meningoencephalitis of unknown origin with predominant cerebellar involvement in a cat: clinical, MRI and pathological findings. </w:t>
      </w:r>
      <w:r w:rsidRPr="00E84E15">
        <w:rPr>
          <w:i/>
          <w:iCs/>
        </w:rPr>
        <w:t>Journal of Feline Medicine and Surgery Open Reports</w:t>
      </w:r>
      <w:r w:rsidRPr="00E84E15">
        <w:t xml:space="preserve">, </w:t>
      </w:r>
      <w:r w:rsidRPr="00E84E15">
        <w:rPr>
          <w:i/>
          <w:iCs/>
        </w:rPr>
        <w:t>11</w:t>
      </w:r>
      <w:r w:rsidRPr="00E84E15">
        <w:t>(2). https://doi.org/10.1177/20551169251346436</w:t>
      </w:r>
    </w:p>
    <w:p w14:paraId="04590AFB" w14:textId="77777777" w:rsidR="00E84E15" w:rsidRPr="00E84E15" w:rsidRDefault="00E84E15" w:rsidP="00E84E15">
      <w:pPr>
        <w:jc w:val="both"/>
      </w:pPr>
      <w:r w:rsidRPr="00E84E15">
        <w:t xml:space="preserve">Gonçalves, R., de Decker, S., Walmsley, G., &amp; Maddox, T. W. (2024). Prognosis in meningoencephalitis of unknown origin in dogs: Risk factors associated with survival, clinical relapse, and long-term disability. </w:t>
      </w:r>
      <w:r w:rsidRPr="00E84E15">
        <w:rPr>
          <w:i/>
          <w:iCs/>
        </w:rPr>
        <w:t>Journal of Veterinary Internal Medicine</w:t>
      </w:r>
      <w:r w:rsidRPr="00E84E15">
        <w:t xml:space="preserve">, </w:t>
      </w:r>
      <w:r w:rsidRPr="00E84E15">
        <w:rPr>
          <w:i/>
          <w:iCs/>
        </w:rPr>
        <w:t>38</w:t>
      </w:r>
      <w:r w:rsidRPr="00E84E15">
        <w:t>(3), 1583–1590. https://doi.org/10.1111/jvim.17037</w:t>
      </w:r>
    </w:p>
    <w:p w14:paraId="6706ED43" w14:textId="77777777" w:rsidR="00E84E15" w:rsidRPr="00E84E15" w:rsidRDefault="00E84E15" w:rsidP="00E84E15">
      <w:pPr>
        <w:jc w:val="both"/>
      </w:pPr>
      <w:r w:rsidRPr="00E84E15">
        <w:t xml:space="preserve">Jones, B. S., Liebel, F. X., Fadda, A., Martin, S., Lawn, R., Lazzerini, K., &amp; Harcourt-Brown, T. (2024). Corticosteroid monotherapy versus combined cytarabine continuous rate infusion and corticosteroid therapy in dogs with meningoencephalitis of unknown origin: A blinded, randomized, controlled trial. </w:t>
      </w:r>
      <w:r w:rsidRPr="00E84E15">
        <w:rPr>
          <w:i/>
          <w:iCs/>
        </w:rPr>
        <w:t>Journal of Veterinary Internal Medicine</w:t>
      </w:r>
      <w:r w:rsidRPr="00E84E15">
        <w:t xml:space="preserve">, </w:t>
      </w:r>
      <w:r w:rsidRPr="00E84E15">
        <w:rPr>
          <w:i/>
          <w:iCs/>
        </w:rPr>
        <w:t>38</w:t>
      </w:r>
      <w:r w:rsidRPr="00E84E15">
        <w:t>(3), 1618–1625. </w:t>
      </w:r>
    </w:p>
    <w:p w14:paraId="0FC91862" w14:textId="77777777" w:rsidR="00E84E15" w:rsidRPr="00E84E15" w:rsidRDefault="00E84E15" w:rsidP="00E84E15">
      <w:pPr>
        <w:jc w:val="both"/>
      </w:pPr>
      <w:r w:rsidRPr="00E84E15">
        <w:t xml:space="preserve">Galer, J., Forward, A. K., Hughes, J., Crawford, A. H., Behr, S., Cherubini, G. B., Cornelis, I., &amp; Royaux, E. (2024). Clinical features, treatment, and outcome of juvenile dogs with meningoencephalitis of unknown etiology. </w:t>
      </w:r>
      <w:r w:rsidRPr="00E84E15">
        <w:rPr>
          <w:i/>
          <w:iCs/>
        </w:rPr>
        <w:t>Journal of Veterinary Internal Medicine</w:t>
      </w:r>
      <w:r w:rsidRPr="00E84E15">
        <w:t xml:space="preserve">, </w:t>
      </w:r>
      <w:r w:rsidRPr="00E84E15">
        <w:rPr>
          <w:i/>
          <w:iCs/>
        </w:rPr>
        <w:t>38</w:t>
      </w:r>
      <w:r w:rsidRPr="00E84E15">
        <w:t>(4), 2214–2220. </w:t>
      </w:r>
    </w:p>
    <w:p w14:paraId="30B91070" w14:textId="77777777" w:rsidR="00E84E15" w:rsidRPr="00E84E15" w:rsidRDefault="00E84E15" w:rsidP="00E84E15">
      <w:pPr>
        <w:jc w:val="both"/>
      </w:pPr>
      <w:r w:rsidRPr="00E84E15">
        <w:t xml:space="preserve">Galer, J., Forward, A. K., Hughes, J., Crawford, A. H., Behr, S., Cherubini, G. B., Cornelis, I., &amp; Royaux, E. (2024). Clinical features, treatment, and outcome of juvenile dogs with meningoencephalitis of unknown etiology. </w:t>
      </w:r>
      <w:r w:rsidRPr="00E84E15">
        <w:rPr>
          <w:i/>
          <w:iCs/>
        </w:rPr>
        <w:t>Journal of Veterinary Internal Medicine</w:t>
      </w:r>
      <w:r w:rsidRPr="00E84E15">
        <w:t xml:space="preserve">, </w:t>
      </w:r>
      <w:r w:rsidRPr="00E84E15">
        <w:rPr>
          <w:i/>
          <w:iCs/>
        </w:rPr>
        <w:t>38</w:t>
      </w:r>
      <w:r w:rsidRPr="00E84E15">
        <w:t>(4), 2214–2220.</w:t>
      </w:r>
    </w:p>
    <w:p w14:paraId="46B8724D" w14:textId="77777777" w:rsidR="00E84E15" w:rsidRPr="00E84E15" w:rsidRDefault="00E84E15" w:rsidP="00E84E15">
      <w:pPr>
        <w:jc w:val="both"/>
      </w:pPr>
      <w:r w:rsidRPr="00E84E15">
        <w:t xml:space="preserve"> Gibson, R. (2026). Meningoencephalomyelitis of Unknown Origin. In </w:t>
      </w:r>
      <w:r w:rsidRPr="00E84E15">
        <w:rPr>
          <w:i/>
          <w:iCs/>
        </w:rPr>
        <w:t>The Feline Patient</w:t>
      </w:r>
      <w:r w:rsidRPr="00E84E15">
        <w:t xml:space="preserve"> (pp. 380–381). Wiley. </w:t>
      </w:r>
    </w:p>
    <w:p w14:paraId="2D05D71B" w14:textId="77777777" w:rsidR="00E84E15" w:rsidRPr="00E84E15" w:rsidRDefault="00E84E15" w:rsidP="00E84E15">
      <w:pPr>
        <w:jc w:val="both"/>
      </w:pPr>
      <w:r w:rsidRPr="00E84E15">
        <w:t xml:space="preserve">Johnson, M. K., Windsor, R. C., Schmidt, J. L., Raczek, D. J., &amp; Moore, G. E. (2025). Vaccination and Seasonality as Risk Factors for Development of Meningoencephalitis of Unknown Origin in 172 Dogs. </w:t>
      </w:r>
      <w:r w:rsidRPr="00E84E15">
        <w:rPr>
          <w:i/>
          <w:iCs/>
        </w:rPr>
        <w:t>Journal of Veterinary Internal Medicine</w:t>
      </w:r>
      <w:r w:rsidRPr="00E84E15">
        <w:t xml:space="preserve">, </w:t>
      </w:r>
      <w:r w:rsidRPr="00E84E15">
        <w:rPr>
          <w:i/>
          <w:iCs/>
        </w:rPr>
        <w:t>39</w:t>
      </w:r>
      <w:r w:rsidRPr="00E84E15">
        <w:t>(2). </w:t>
      </w:r>
    </w:p>
    <w:p w14:paraId="5419E632" w14:textId="77777777" w:rsidR="00E84E15" w:rsidRPr="00E84E15" w:rsidRDefault="00E84E15" w:rsidP="00E84E15">
      <w:pPr>
        <w:jc w:val="both"/>
      </w:pPr>
      <w:r w:rsidRPr="00E84E15">
        <w:t xml:space="preserve"> Gonçalves, R., Walmsley, G., &amp; Maddox, T. W. (2025). Brain Atrophy in Dogs With Meningoencephalitis of Unknown Origin. </w:t>
      </w:r>
      <w:r w:rsidRPr="00E84E15">
        <w:rPr>
          <w:i/>
          <w:iCs/>
        </w:rPr>
        <w:t>Journal of Veterinary Internal Medicine</w:t>
      </w:r>
      <w:r w:rsidRPr="00E84E15">
        <w:t xml:space="preserve">, </w:t>
      </w:r>
      <w:r w:rsidRPr="00E84E15">
        <w:rPr>
          <w:i/>
          <w:iCs/>
        </w:rPr>
        <w:t>39</w:t>
      </w:r>
      <w:r w:rsidRPr="00E84E15">
        <w:t>(4). </w:t>
      </w:r>
    </w:p>
    <w:p w14:paraId="00A0FFA2" w14:textId="77777777" w:rsidR="00E84E15" w:rsidRPr="00E84E15" w:rsidRDefault="00E84E15" w:rsidP="00E84E15">
      <w:pPr>
        <w:jc w:val="both"/>
      </w:pPr>
      <w:r w:rsidRPr="00E84E15">
        <w:t xml:space="preserve"> Schwab, S., Herden, C., Seeliger, F., Papaioannou, N., Psalla, D., Polizopulou, Z., &amp; Baumgärtner, W. (2007). Non-suppurative Meningoencephalitis of Unknown Origin in Cats and Dogs: an Immunohistochemical Study. </w:t>
      </w:r>
      <w:r w:rsidRPr="00E84E15">
        <w:rPr>
          <w:i/>
          <w:iCs/>
        </w:rPr>
        <w:t>Journal of Comparative Pathology</w:t>
      </w:r>
      <w:r w:rsidRPr="00E84E15">
        <w:t xml:space="preserve">, </w:t>
      </w:r>
      <w:r w:rsidRPr="00E84E15">
        <w:rPr>
          <w:i/>
          <w:iCs/>
        </w:rPr>
        <w:t>136</w:t>
      </w:r>
      <w:r w:rsidRPr="00E84E15">
        <w:t>(2–3), 96–110. </w:t>
      </w:r>
    </w:p>
    <w:p w14:paraId="3B7B99CE" w14:textId="77777777" w:rsidR="00E84E15" w:rsidRPr="00E84E15" w:rsidRDefault="00E84E15" w:rsidP="00E84E15">
      <w:pPr>
        <w:jc w:val="both"/>
      </w:pPr>
      <w:r w:rsidRPr="00E84E15">
        <w:t> </w:t>
      </w:r>
    </w:p>
    <w:p w14:paraId="7D558D95" w14:textId="77777777" w:rsidR="00E84E15" w:rsidRDefault="00E84E15" w:rsidP="00E84E15">
      <w:pPr>
        <w:jc w:val="both"/>
      </w:pPr>
      <w:r w:rsidRPr="00E84E15">
        <w:br/>
      </w:r>
      <w:r w:rsidRPr="00E84E15">
        <w:br/>
      </w:r>
      <w:r w:rsidRPr="00E84E15">
        <w:br/>
      </w:r>
      <w:r w:rsidRPr="00E84E15">
        <w:br/>
      </w:r>
      <w:r w:rsidRPr="00E84E15">
        <w:br/>
      </w:r>
      <w:r w:rsidRPr="00E84E15">
        <w:br/>
      </w:r>
    </w:p>
    <w:p w14:paraId="0FC85745" w14:textId="5625993E" w:rsidR="00E84E15" w:rsidRPr="00E84E15" w:rsidRDefault="00E84E15" w:rsidP="00E84E15">
      <w:pPr>
        <w:jc w:val="both"/>
      </w:pPr>
      <w:r w:rsidRPr="00E84E15">
        <w:br/>
      </w:r>
    </w:p>
    <w:p w14:paraId="13C8B26F" w14:textId="77777777" w:rsidR="00E84E15" w:rsidRPr="00E84E15" w:rsidRDefault="00E84E15" w:rsidP="00E84E15">
      <w:pPr>
        <w:jc w:val="both"/>
      </w:pPr>
      <w:r w:rsidRPr="00E84E15">
        <w:rPr>
          <w:b/>
          <w:bCs/>
        </w:rPr>
        <w:lastRenderedPageBreak/>
        <w:t>Training as a Clinical Tool: Neurobiological Mechanisms and Application of Cooperative Care in Dogs</w:t>
      </w:r>
    </w:p>
    <w:p w14:paraId="157200ED" w14:textId="77777777" w:rsidR="00E84E15" w:rsidRPr="00E84E15" w:rsidRDefault="00E84E15" w:rsidP="00E84E15">
      <w:pPr>
        <w:jc w:val="both"/>
      </w:pPr>
      <w:r w:rsidRPr="00E84E15">
        <w:t>Volovotsi Maria Chrysi</w:t>
      </w:r>
      <w:r w:rsidRPr="00E84E15">
        <w:rPr>
          <w:vertAlign w:val="superscript"/>
        </w:rPr>
        <w:t>1</w:t>
      </w:r>
      <w:r w:rsidRPr="00E84E15">
        <w:t>, Baziotis Christos</w:t>
      </w:r>
      <w:r w:rsidRPr="00E84E15">
        <w:rPr>
          <w:vertAlign w:val="superscript"/>
        </w:rPr>
        <w:t>2</w:t>
      </w:r>
    </w:p>
    <w:p w14:paraId="519A4B34" w14:textId="77777777" w:rsidR="00E84E15" w:rsidRPr="00E84E15" w:rsidRDefault="00E84E15">
      <w:pPr>
        <w:numPr>
          <w:ilvl w:val="0"/>
          <w:numId w:val="91"/>
        </w:numPr>
        <w:jc w:val="both"/>
      </w:pPr>
      <w:r w:rsidRPr="00E84E15">
        <w:t>Undergraduate student, Department of Veterinary Medicine, School of Health Sciences, Aristotle University of Thessaloniki and Dog Trainer Certified from the Lifelong Learning Center “Anavathmisi”</w:t>
      </w:r>
    </w:p>
    <w:p w14:paraId="2743F231" w14:textId="77777777" w:rsidR="00E84E15" w:rsidRPr="00E84E15" w:rsidRDefault="00E84E15">
      <w:pPr>
        <w:numPr>
          <w:ilvl w:val="0"/>
          <w:numId w:val="91"/>
        </w:numPr>
        <w:jc w:val="both"/>
      </w:pPr>
      <w:r w:rsidRPr="00E84E15">
        <w:t>Military Veterinarian, Postgraduate training at the Department of Veterinary Medicine in Aristotle University of Thessaloniki and University of Thessaly</w:t>
      </w:r>
    </w:p>
    <w:p w14:paraId="74AF15A5" w14:textId="77777777" w:rsidR="00E84E15" w:rsidRPr="00E84E15" w:rsidRDefault="00E84E15" w:rsidP="00E84E15">
      <w:pPr>
        <w:jc w:val="both"/>
      </w:pPr>
    </w:p>
    <w:p w14:paraId="7BDE3E98" w14:textId="77777777" w:rsidR="00E84E15" w:rsidRPr="00E84E15" w:rsidRDefault="00E84E15" w:rsidP="00E84E15">
      <w:pPr>
        <w:jc w:val="both"/>
      </w:pPr>
      <w:r w:rsidRPr="00E84E15">
        <w:rPr>
          <w:b/>
          <w:bCs/>
        </w:rPr>
        <w:t>Abstract</w:t>
      </w:r>
    </w:p>
    <w:p w14:paraId="18143D8A" w14:textId="77777777" w:rsidR="00E84E15" w:rsidRPr="00E84E15" w:rsidRDefault="00E84E15" w:rsidP="00E84E15">
      <w:pPr>
        <w:jc w:val="both"/>
      </w:pPr>
      <w:r w:rsidRPr="00E84E15">
        <w:t> A veterinary examination is often a stressful experience for a dog, activating the amygdala and shifting the brain into “survival mode” (Overall, 2001). During this state, the animal’s cognitive processing and its ability to cooperate are diminished, which compromises its welfare, potentially alters certain clinical parameters and increases safety risks for staff (Beaver, 2009). Dog training can serve as a vital tool in reducing fear and establishing a positive association with the veterinary clinic. By leveraging classical and operant conditioning, neuroplasticity can be achieved, leading to the creation of new, positive emotional responses (Sanvictores et al., 2024 and Staddon, 2003). By integrating “cooperative care” and utilizing low-stress handling techniques, the animal is given a sense of control and the ability of active choice (Yin, 2009 and Wess et al., 2022). Overall, dog training is a valuable asset that strengthens the veterinarian-animal-guardian relationship and can fundamentally transform how an animal experiences a visit to the veterinarian.</w:t>
      </w:r>
    </w:p>
    <w:p w14:paraId="5B899566" w14:textId="77777777" w:rsidR="00E84E15" w:rsidRPr="00E84E15" w:rsidRDefault="00E84E15" w:rsidP="00E84E15">
      <w:pPr>
        <w:jc w:val="both"/>
      </w:pPr>
      <w:r w:rsidRPr="00E84E15">
        <w:br/>
      </w:r>
    </w:p>
    <w:p w14:paraId="483541B8" w14:textId="77777777" w:rsidR="00E84E15" w:rsidRPr="00E84E15" w:rsidRDefault="00E84E15" w:rsidP="00E84E15">
      <w:pPr>
        <w:jc w:val="both"/>
      </w:pPr>
      <w:r w:rsidRPr="00E84E15">
        <w:rPr>
          <w:b/>
          <w:bCs/>
        </w:rPr>
        <w:t>Bibliography</w:t>
      </w:r>
    </w:p>
    <w:p w14:paraId="7DA7EDD8" w14:textId="4BD4C9F8" w:rsidR="00E84E15" w:rsidRPr="00E84E15" w:rsidRDefault="00E84E15" w:rsidP="00E84E15">
      <w:pPr>
        <w:jc w:val="both"/>
      </w:pPr>
      <w:r w:rsidRPr="00E84E15">
        <w:t xml:space="preserve">Beaver, B. V. (2009). </w:t>
      </w:r>
      <w:r w:rsidRPr="00E84E15">
        <w:rPr>
          <w:i/>
          <w:iCs/>
        </w:rPr>
        <w:t>Canine behavior: Insights and answers (2nd ed.).</w:t>
      </w:r>
      <w:r w:rsidRPr="00E84E15">
        <w:t xml:space="preserve"> Saunders Elsevier.</w:t>
      </w:r>
    </w:p>
    <w:p w14:paraId="29097A08" w14:textId="3D550A6F" w:rsidR="00E84E15" w:rsidRPr="00E84E15" w:rsidRDefault="00E84E15" w:rsidP="00E84E15">
      <w:pPr>
        <w:jc w:val="both"/>
      </w:pPr>
      <w:r w:rsidRPr="00E84E15">
        <w:t xml:space="preserve">Overall, K. L. (2001). </w:t>
      </w:r>
      <w:r w:rsidRPr="00E84E15">
        <w:rPr>
          <w:i/>
          <w:iCs/>
        </w:rPr>
        <w:t>Evaluation and management of behavioral conditions.</w:t>
      </w:r>
      <w:r w:rsidRPr="00E84E15">
        <w:t xml:space="preserve"> IVIS.</w:t>
      </w:r>
    </w:p>
    <w:p w14:paraId="3F165F05" w14:textId="027E07EA" w:rsidR="00E84E15" w:rsidRPr="00E84E15" w:rsidRDefault="00E84E15" w:rsidP="00E84E15">
      <w:pPr>
        <w:jc w:val="both"/>
      </w:pPr>
      <w:r w:rsidRPr="00E84E15">
        <w:t xml:space="preserve">Sanvictores, T., Mahabadi, N., &amp; Rehman, C. I. (2024, September 5). </w:t>
      </w:r>
      <w:r w:rsidRPr="00E84E15">
        <w:rPr>
          <w:i/>
          <w:iCs/>
        </w:rPr>
        <w:t xml:space="preserve">Classical conditioning. </w:t>
      </w:r>
      <w:r w:rsidRPr="00E84E15">
        <w:t>StatPearls Publishing. </w:t>
      </w:r>
    </w:p>
    <w:p w14:paraId="628E5E8B" w14:textId="38024957" w:rsidR="00E84E15" w:rsidRPr="00E84E15" w:rsidRDefault="00E84E15" w:rsidP="00E84E15">
      <w:pPr>
        <w:jc w:val="both"/>
      </w:pPr>
      <w:r w:rsidRPr="00E84E15">
        <w:t>Staddon, J. E. R., &amp; Cerutti, D. T. (2003).</w:t>
      </w:r>
      <w:r w:rsidRPr="00E84E15">
        <w:rPr>
          <w:i/>
          <w:iCs/>
        </w:rPr>
        <w:t xml:space="preserve"> Operant conditioning.</w:t>
      </w:r>
      <w:r w:rsidRPr="00E84E15">
        <w:t xml:space="preserve"> Annual Review of Psychology, 54, 115–144.</w:t>
      </w:r>
    </w:p>
    <w:p w14:paraId="1A767DF2" w14:textId="4AC46453" w:rsidR="00E84E15" w:rsidRPr="00E84E15" w:rsidRDefault="00E84E15" w:rsidP="00E84E15">
      <w:pPr>
        <w:jc w:val="both"/>
      </w:pPr>
      <w:r w:rsidRPr="00E84E15">
        <w:t xml:space="preserve">Wess, L., Böhm, A., Schützinger, M., Riemer, S., Yee, J. R., Affenzeller, N., &amp; Arhant, C. (2022). </w:t>
      </w:r>
      <w:r w:rsidRPr="00E84E15">
        <w:rPr>
          <w:i/>
          <w:iCs/>
        </w:rPr>
        <w:t>Effect of cooperative care training on physiological parameters and compliance in dogs undergoing a veterinary examination – A pilot study.</w:t>
      </w:r>
      <w:r w:rsidRPr="00E84E15">
        <w:t xml:space="preserve"> Applied Animal Behaviour Science, 250, 105615.</w:t>
      </w:r>
    </w:p>
    <w:p w14:paraId="4ECA608A" w14:textId="77777777" w:rsidR="00E84E15" w:rsidRPr="00E84E15" w:rsidRDefault="00E84E15" w:rsidP="00E84E15">
      <w:pPr>
        <w:jc w:val="both"/>
      </w:pPr>
      <w:r w:rsidRPr="00E84E15">
        <w:t xml:space="preserve">Yin, S. (2009). </w:t>
      </w:r>
      <w:r w:rsidRPr="00E84E15">
        <w:rPr>
          <w:i/>
          <w:iCs/>
        </w:rPr>
        <w:t xml:space="preserve">Low stress handling, restraint and behavior modification of dogs &amp; cats: Techniques for developing patients who love their visits. </w:t>
      </w:r>
      <w:r w:rsidRPr="00E84E15">
        <w:t>CattleDog Publishing.</w:t>
      </w:r>
    </w:p>
    <w:p w14:paraId="44E66DBE" w14:textId="136D0CC7" w:rsidR="00E84E15" w:rsidRPr="00E84E15" w:rsidRDefault="00E84E15" w:rsidP="00E84E15">
      <w:pPr>
        <w:jc w:val="both"/>
      </w:pPr>
      <w:r w:rsidRPr="00E84E15">
        <w:br/>
      </w:r>
    </w:p>
    <w:p w14:paraId="570CE32B" w14:textId="77777777" w:rsidR="00E84E15" w:rsidRPr="00E84E15" w:rsidRDefault="00E84E15" w:rsidP="00E84E15">
      <w:pPr>
        <w:jc w:val="both"/>
      </w:pPr>
      <w:r w:rsidRPr="00E84E15">
        <w:rPr>
          <w:b/>
          <w:bCs/>
        </w:rPr>
        <w:lastRenderedPageBreak/>
        <w:t>Homosexuality in Animals: A Game of Genetic Predisposition and Environmental Conditions</w:t>
      </w:r>
    </w:p>
    <w:p w14:paraId="2473DDF6" w14:textId="77777777" w:rsidR="00E84E15" w:rsidRPr="00E84E15" w:rsidRDefault="00E84E15" w:rsidP="00E84E15">
      <w:pPr>
        <w:jc w:val="both"/>
      </w:pPr>
      <w:r w:rsidRPr="00E84E15">
        <w:t>Andreadaki Eirini Eleni</w:t>
      </w:r>
      <w:r w:rsidRPr="00E84E15">
        <w:rPr>
          <w:vertAlign w:val="superscript"/>
        </w:rPr>
        <w:t>1</w:t>
      </w:r>
      <w:r w:rsidRPr="00E84E15">
        <w:t>, Gialopsou Sevastiani</w:t>
      </w:r>
      <w:r w:rsidRPr="00E84E15">
        <w:rPr>
          <w:vertAlign w:val="superscript"/>
        </w:rPr>
        <w:t>1</w:t>
      </w:r>
      <w:r w:rsidRPr="00E84E15">
        <w:t>, Kalaitzi Theofania</w:t>
      </w:r>
      <w:r w:rsidRPr="00E84E15">
        <w:rPr>
          <w:vertAlign w:val="superscript"/>
        </w:rPr>
        <w:t>1</w:t>
      </w:r>
      <w:r w:rsidRPr="00E84E15">
        <w:t>, Zervos Ioannis</w:t>
      </w:r>
      <w:r w:rsidRPr="00E84E15">
        <w:rPr>
          <w:vertAlign w:val="superscript"/>
        </w:rPr>
        <w:t>2</w:t>
      </w:r>
    </w:p>
    <w:p w14:paraId="0C16EB14" w14:textId="77777777" w:rsidR="00E84E15" w:rsidRPr="00E84E15" w:rsidRDefault="00E84E15">
      <w:pPr>
        <w:numPr>
          <w:ilvl w:val="0"/>
          <w:numId w:val="92"/>
        </w:numPr>
        <w:jc w:val="both"/>
      </w:pPr>
      <w:r w:rsidRPr="00E84E15">
        <w:t>Undergraduate Student, Department of Veterinary Medicine, School of Health Sciences, Aristotle University of Thessaloniki</w:t>
      </w:r>
    </w:p>
    <w:p w14:paraId="66452765" w14:textId="77777777" w:rsidR="00E84E15" w:rsidRPr="00E84E15" w:rsidRDefault="00E84E15">
      <w:pPr>
        <w:numPr>
          <w:ilvl w:val="0"/>
          <w:numId w:val="92"/>
        </w:numPr>
        <w:jc w:val="both"/>
      </w:pPr>
      <w:r w:rsidRPr="00E84E15">
        <w:t>Associate Professor, Department of Veterinary Medicine, School of Health Sciences, Aristotle University of Thessaloniki</w:t>
      </w:r>
    </w:p>
    <w:p w14:paraId="06053253" w14:textId="77777777" w:rsidR="00E84E15" w:rsidRPr="00E84E15" w:rsidRDefault="00E84E15" w:rsidP="00E84E15">
      <w:pPr>
        <w:jc w:val="both"/>
      </w:pPr>
    </w:p>
    <w:p w14:paraId="10684B75" w14:textId="77777777" w:rsidR="00E84E15" w:rsidRPr="00E84E15" w:rsidRDefault="00E84E15" w:rsidP="00E84E15">
      <w:pPr>
        <w:jc w:val="both"/>
      </w:pPr>
      <w:r w:rsidRPr="00E84E15">
        <w:rPr>
          <w:b/>
          <w:bCs/>
        </w:rPr>
        <w:t>Abstract </w:t>
      </w:r>
    </w:p>
    <w:p w14:paraId="0C238EEA" w14:textId="77777777" w:rsidR="00E84E15" w:rsidRPr="00E84E15" w:rsidRDefault="00E84E15" w:rsidP="00E84E15">
      <w:pPr>
        <w:jc w:val="both"/>
      </w:pPr>
      <w:r w:rsidRPr="00E84E15">
        <w:t> This presentation investigates the exogenous (social structures and environmental stimuli) and endogenous factors that influence homosexuality in animals. It begins by addressing the scientific view that regards homosexuality as a paradox within Darwinian theory. Based on this perspective, explanations of homosexual behavior are divided into two main categories: those that serve an evolutionary purpose and those that appear to lack any direct evolutionary function. Examples of species exhibiting homosexual behavior are presented, with research linking such behaviors to social causes. The presentation also analyses the genetic and hormonal factors that influence the size of the sexually dimorphic nucleus (SDN) of the hypothalamus during the perinatal period, and how these biological elements affect adult sexual behavior. The conclusion reached is that homosexuality in animals emerges from the interaction between biological and environmental factors.</w:t>
      </w:r>
    </w:p>
    <w:p w14:paraId="4B2E5E74" w14:textId="77777777" w:rsidR="00E84E15" w:rsidRPr="00E84E15" w:rsidRDefault="00E84E15" w:rsidP="00E84E15">
      <w:pPr>
        <w:jc w:val="both"/>
      </w:pPr>
    </w:p>
    <w:p w14:paraId="4CEA71DD" w14:textId="77777777" w:rsidR="00E84E15" w:rsidRPr="00E84E15" w:rsidRDefault="00E84E15" w:rsidP="00E84E15">
      <w:pPr>
        <w:jc w:val="both"/>
      </w:pPr>
      <w:r w:rsidRPr="00E84E15">
        <w:rPr>
          <w:b/>
          <w:bCs/>
        </w:rPr>
        <w:t>Bibliography</w:t>
      </w:r>
    </w:p>
    <w:p w14:paraId="17C67AC5" w14:textId="598FE789" w:rsidR="00E84E15" w:rsidRPr="00E84E15" w:rsidRDefault="00E84E15" w:rsidP="00E84E15">
      <w:pPr>
        <w:jc w:val="both"/>
      </w:pPr>
      <w:r w:rsidRPr="00E84E15">
        <w:t>dkins-Regan, E. (2020). S</w:t>
      </w:r>
      <w:r w:rsidRPr="00E84E15">
        <w:rPr>
          <w:i/>
          <w:iCs/>
        </w:rPr>
        <w:t>exual and pairing partner preference in birds and other animals</w:t>
      </w:r>
      <w:r w:rsidRPr="00E84E15">
        <w:t xml:space="preserve">. </w:t>
      </w:r>
      <w:r w:rsidRPr="00E84E15">
        <w:rPr>
          <w:i/>
          <w:iCs/>
        </w:rPr>
        <w:t>Hormones and Behavior, 118</w:t>
      </w:r>
      <w:r w:rsidRPr="00E84E15">
        <w:t>, 104646. </w:t>
      </w:r>
    </w:p>
    <w:p w14:paraId="7B2CA3D7" w14:textId="00B26A49" w:rsidR="00E84E15" w:rsidRPr="00E84E15" w:rsidRDefault="00E84E15" w:rsidP="00E84E15">
      <w:pPr>
        <w:jc w:val="both"/>
      </w:pPr>
      <w:r w:rsidRPr="00E84E15">
        <w:t xml:space="preserve">Bailey, N. W., &amp; Zuk, M. (2009). </w:t>
      </w:r>
      <w:r w:rsidRPr="00E84E15">
        <w:rPr>
          <w:i/>
          <w:iCs/>
        </w:rPr>
        <w:t>Same-sex sexual behavior and evolution.</w:t>
      </w:r>
      <w:r w:rsidRPr="00E84E15">
        <w:t xml:space="preserve"> </w:t>
      </w:r>
      <w:r w:rsidRPr="00E84E15">
        <w:rPr>
          <w:i/>
          <w:iCs/>
        </w:rPr>
        <w:t>Trends in Ecology &amp; Evolution, 24</w:t>
      </w:r>
      <w:r w:rsidRPr="00E84E15">
        <w:t>(8), 439–446. </w:t>
      </w:r>
    </w:p>
    <w:p w14:paraId="76E8AAA6" w14:textId="57A41B21" w:rsidR="00E84E15" w:rsidRPr="00E84E15" w:rsidRDefault="00E84E15" w:rsidP="00E84E15">
      <w:pPr>
        <w:jc w:val="both"/>
      </w:pPr>
      <w:r w:rsidRPr="00E84E15">
        <w:t xml:space="preserve">Balthazart, J. (2016). </w:t>
      </w:r>
      <w:r w:rsidRPr="00E84E15">
        <w:rPr>
          <w:i/>
          <w:iCs/>
        </w:rPr>
        <w:t>Sex differences in partner preferences in humans and animals. Philosophical Transactions of the Royal Society B: Biological Sciences, 371</w:t>
      </w:r>
      <w:r w:rsidRPr="00E84E15">
        <w:t>(1688), 20150118. </w:t>
      </w:r>
    </w:p>
    <w:p w14:paraId="0EDF2C26" w14:textId="4DB1AC10" w:rsidR="00E84E15" w:rsidRPr="00E84E15" w:rsidRDefault="00E84E15" w:rsidP="00E84E15">
      <w:pPr>
        <w:jc w:val="both"/>
      </w:pPr>
      <w:r w:rsidRPr="00E84E15">
        <w:t xml:space="preserve">Bakker, J., De Mees, C., Douhard, Q., Balthazart, J., Gabant, P., Szpirer, J., &amp; Szpirer, C. (2006). </w:t>
      </w:r>
      <w:r w:rsidRPr="00E84E15">
        <w:rPr>
          <w:i/>
          <w:iCs/>
        </w:rPr>
        <w:t>Alpha-fetoprotein protects the developing female mouse brain from masculinization and defeminization by estrogens</w:t>
      </w:r>
      <w:r w:rsidRPr="00E84E15">
        <w:t xml:space="preserve">. </w:t>
      </w:r>
      <w:r w:rsidRPr="00E84E15">
        <w:rPr>
          <w:i/>
          <w:iCs/>
        </w:rPr>
        <w:t>Nature Neuroscience, 9</w:t>
      </w:r>
      <w:r w:rsidRPr="00E84E15">
        <w:t>(2), 220–226. </w:t>
      </w:r>
    </w:p>
    <w:p w14:paraId="7328D9EB" w14:textId="3422B668" w:rsidR="00E84E15" w:rsidRPr="00E84E15" w:rsidRDefault="00E84E15" w:rsidP="00E84E15">
      <w:pPr>
        <w:jc w:val="both"/>
      </w:pPr>
      <w:r w:rsidRPr="00E84E15">
        <w:t xml:space="preserve">Banerjee, S. B., &amp; Adkins-Regan, E. (2014). </w:t>
      </w:r>
      <w:r w:rsidRPr="00E84E15">
        <w:rPr>
          <w:i/>
          <w:iCs/>
        </w:rPr>
        <w:t>Same-sex partner preference in adult male zebra finch offspring raised in the absence of maternal care</w:t>
      </w:r>
      <w:r w:rsidRPr="00E84E15">
        <w:t xml:space="preserve">. </w:t>
      </w:r>
      <w:r w:rsidRPr="00E84E15">
        <w:rPr>
          <w:i/>
          <w:iCs/>
        </w:rPr>
        <w:t>Animal Behaviour, 92</w:t>
      </w:r>
      <w:r w:rsidRPr="00E84E15">
        <w:t>, 167–173. </w:t>
      </w:r>
    </w:p>
    <w:p w14:paraId="1A274278" w14:textId="32BC9065" w:rsidR="00E84E15" w:rsidRPr="00E84E15" w:rsidRDefault="00E84E15" w:rsidP="00E84E15">
      <w:pPr>
        <w:jc w:val="both"/>
      </w:pPr>
      <w:r w:rsidRPr="00E84E15">
        <w:t xml:space="preserve">Balfour, V. L., et al. (n.d.). </w:t>
      </w:r>
      <w:r w:rsidRPr="00E84E15">
        <w:rPr>
          <w:i/>
          <w:iCs/>
        </w:rPr>
        <w:t>Same-sex sexual behaviour.</w:t>
      </w:r>
      <w:r w:rsidRPr="00E84E15">
        <w:t xml:space="preserve"> </w:t>
      </w:r>
      <w:r w:rsidRPr="00E84E15">
        <w:rPr>
          <w:i/>
          <w:iCs/>
        </w:rPr>
        <w:t>Current Biology, 30</w:t>
      </w:r>
      <w:r w:rsidRPr="00E84E15">
        <w:t>(22), R1345–R1346. </w:t>
      </w:r>
    </w:p>
    <w:p w14:paraId="49B866CD" w14:textId="06FC39A7" w:rsidR="00E84E15" w:rsidRPr="00E84E15" w:rsidRDefault="00E84E15" w:rsidP="00E84E15">
      <w:pPr>
        <w:jc w:val="both"/>
      </w:pPr>
      <w:r w:rsidRPr="00E84E15">
        <w:t xml:space="preserve">Braithwaite, L. W. (1981). </w:t>
      </w:r>
      <w:r w:rsidRPr="00E84E15">
        <w:rPr>
          <w:i/>
          <w:iCs/>
        </w:rPr>
        <w:t>Ecological studies of the black swan III. Behaviour and social organisation</w:t>
      </w:r>
      <w:r w:rsidRPr="00E84E15">
        <w:t xml:space="preserve">. </w:t>
      </w:r>
      <w:r w:rsidRPr="00E84E15">
        <w:rPr>
          <w:i/>
          <w:iCs/>
        </w:rPr>
        <w:t>Wildlife Research, 8</w:t>
      </w:r>
      <w:r w:rsidRPr="00E84E15">
        <w:t>, 135–146.</w:t>
      </w:r>
    </w:p>
    <w:p w14:paraId="120D9EF6" w14:textId="6DDDE1D2" w:rsidR="00E84E15" w:rsidRPr="00E84E15" w:rsidRDefault="00E84E15" w:rsidP="00E84E15">
      <w:pPr>
        <w:jc w:val="both"/>
      </w:pPr>
      <w:r w:rsidRPr="00E84E15">
        <w:t xml:space="preserve">Brock, O., Keller, M., Douhard, Q., &amp; Bakker, J. (2012). </w:t>
      </w:r>
      <w:r w:rsidRPr="00E84E15">
        <w:rPr>
          <w:i/>
          <w:iCs/>
        </w:rPr>
        <w:t>Female mice deficient in alpha-fetoprotein show female-typical neural responses to conspecific-derived pheromones.</w:t>
      </w:r>
      <w:r w:rsidRPr="00E84E15">
        <w:t xml:space="preserve"> </w:t>
      </w:r>
      <w:r w:rsidRPr="00E84E15">
        <w:rPr>
          <w:i/>
          <w:iCs/>
        </w:rPr>
        <w:t>PLoS ONE, 7</w:t>
      </w:r>
      <w:r w:rsidRPr="00E84E15">
        <w:t>(6), e39204. </w:t>
      </w:r>
    </w:p>
    <w:p w14:paraId="733915E6" w14:textId="153C6FAC" w:rsidR="00E84E15" w:rsidRPr="00E84E15" w:rsidRDefault="00E84E15" w:rsidP="00E84E15">
      <w:pPr>
        <w:jc w:val="both"/>
      </w:pPr>
      <w:r w:rsidRPr="00E84E15">
        <w:lastRenderedPageBreak/>
        <w:t>Colledge, W. H. (2009). K</w:t>
      </w:r>
      <w:r w:rsidRPr="00E84E15">
        <w:rPr>
          <w:i/>
          <w:iCs/>
        </w:rPr>
        <w:t>isspeptins and GnRH neuronal signalling. Trends in Endocrinology and Metabolism, 20</w:t>
      </w:r>
      <w:r w:rsidRPr="00E84E15">
        <w:t>(3), 115–121. </w:t>
      </w:r>
    </w:p>
    <w:p w14:paraId="4B2301BA" w14:textId="4A94CF35" w:rsidR="00E84E15" w:rsidRPr="00E84E15" w:rsidRDefault="00E84E15" w:rsidP="00E84E15">
      <w:pPr>
        <w:jc w:val="both"/>
      </w:pPr>
      <w:r w:rsidRPr="00E84E15">
        <w:t xml:space="preserve">Elie, J. E., Mathevon, N., &amp; Vignal, C. (2011). </w:t>
      </w:r>
      <w:r w:rsidRPr="00E84E15">
        <w:rPr>
          <w:i/>
          <w:iCs/>
        </w:rPr>
        <w:t>Same-sex pair-bonds are equivalent to male–female bonds in a life-long socially monogamous songbird.</w:t>
      </w:r>
      <w:r w:rsidRPr="00E84E15">
        <w:t xml:space="preserve"> </w:t>
      </w:r>
      <w:r w:rsidRPr="00E84E15">
        <w:rPr>
          <w:i/>
          <w:iCs/>
        </w:rPr>
        <w:t>Behavioral Ecology and Sociobiology, 65</w:t>
      </w:r>
      <w:r w:rsidRPr="00E84E15">
        <w:t>, 2197–2208. </w:t>
      </w:r>
    </w:p>
    <w:p w14:paraId="1B73B65A" w14:textId="750733CA" w:rsidR="00E84E15" w:rsidRPr="00E84E15" w:rsidRDefault="00E84E15" w:rsidP="00E84E15">
      <w:pPr>
        <w:jc w:val="both"/>
      </w:pPr>
      <w:r w:rsidRPr="00E84E15">
        <w:t xml:space="preserve">Gómez, J. M., Gónzalez-Megías, A., &amp; Verdú, M. (2023). </w:t>
      </w:r>
      <w:r w:rsidRPr="00E84E15">
        <w:rPr>
          <w:i/>
          <w:iCs/>
        </w:rPr>
        <w:t>The evolution of same-sex sexual behaviour in mammals. Nature Communications, 14</w:t>
      </w:r>
      <w:r w:rsidRPr="00E84E15">
        <w:t>, 5719. </w:t>
      </w:r>
    </w:p>
    <w:p w14:paraId="1CD4B550" w14:textId="59999C1F" w:rsidR="00E84E15" w:rsidRPr="00E84E15" w:rsidRDefault="00E84E15" w:rsidP="00E84E15">
      <w:pPr>
        <w:jc w:val="both"/>
      </w:pPr>
      <w:r w:rsidRPr="00E84E15">
        <w:t xml:space="preserve">Grueter, C. C., &amp; Stoinski, T. S. (2016). </w:t>
      </w:r>
      <w:r w:rsidRPr="00E84E15">
        <w:rPr>
          <w:i/>
          <w:iCs/>
        </w:rPr>
        <w:t>Homosexual behavior in female mountain gorillas: Reflection of dominance, affiliation, reconciliation or arousal?</w:t>
      </w:r>
      <w:r w:rsidRPr="00E84E15">
        <w:t xml:space="preserve"> </w:t>
      </w:r>
      <w:r w:rsidRPr="00E84E15">
        <w:rPr>
          <w:i/>
          <w:iCs/>
        </w:rPr>
        <w:t>PLoS ONE, 11</w:t>
      </w:r>
      <w:r w:rsidRPr="00E84E15">
        <w:t>(5), e0154185.</w:t>
      </w:r>
    </w:p>
    <w:p w14:paraId="572132AE" w14:textId="305AC71E" w:rsidR="00E84E15" w:rsidRPr="00E84E15" w:rsidRDefault="00E84E15" w:rsidP="00E84E15">
      <w:pPr>
        <w:jc w:val="both"/>
      </w:pPr>
      <w:r w:rsidRPr="00E84E15">
        <w:t xml:space="preserve">Hsu, H. K., Yang, R. C., Shih, H. C., Hsieh, Y. L., Chen, U. Y., &amp; Hsu, C. (2001). </w:t>
      </w:r>
      <w:r w:rsidRPr="00E84E15">
        <w:rPr>
          <w:i/>
          <w:iCs/>
        </w:rPr>
        <w:t>Prenatal exposure of testosterone prevents SDN-POA neurons of postnatal male rats from apoptosis through NMDA receptor.</w:t>
      </w:r>
      <w:r w:rsidRPr="00E84E15">
        <w:t xml:space="preserve"> </w:t>
      </w:r>
      <w:r w:rsidRPr="00E84E15">
        <w:rPr>
          <w:i/>
          <w:iCs/>
        </w:rPr>
        <w:t>Journal of Neurophysiology, 86</w:t>
      </w:r>
      <w:r w:rsidRPr="00E84E15">
        <w:t>(5), 2374–2380. </w:t>
      </w:r>
    </w:p>
    <w:p w14:paraId="7A048C40" w14:textId="259591C2" w:rsidR="00E84E15" w:rsidRPr="00E84E15" w:rsidRDefault="00E84E15" w:rsidP="00E84E15">
      <w:pPr>
        <w:jc w:val="both"/>
      </w:pPr>
      <w:r w:rsidRPr="00E84E15">
        <w:t xml:space="preserve">Jyotika, J., McCutcheon, J., Laroche, J., Blaustein, J. D., &amp; Forger, N. G. (2007). </w:t>
      </w:r>
      <w:r w:rsidRPr="00E84E15">
        <w:rPr>
          <w:i/>
          <w:iCs/>
        </w:rPr>
        <w:t>Deletion of the Bax gene disrupts sexual behavior and modestly impairs motor function in mice.</w:t>
      </w:r>
      <w:r w:rsidRPr="00E84E15">
        <w:t xml:space="preserve"> </w:t>
      </w:r>
      <w:r w:rsidRPr="00E84E15">
        <w:rPr>
          <w:i/>
          <w:iCs/>
        </w:rPr>
        <w:t>Developmental Neurobiology, 67</w:t>
      </w:r>
      <w:r w:rsidRPr="00E84E15">
        <w:t>(11), 1511–1519. </w:t>
      </w:r>
    </w:p>
    <w:p w14:paraId="6A2F34F0" w14:textId="76057A5E" w:rsidR="00E84E15" w:rsidRPr="00E84E15" w:rsidRDefault="00E84E15" w:rsidP="00E84E15">
      <w:pPr>
        <w:jc w:val="both"/>
      </w:pPr>
      <w:r w:rsidRPr="00E84E15">
        <w:t xml:space="preserve">MacFarlane, G. R., Blomberg, S. P., &amp; Vasey, P. L. (2010). Homosexual behaviour in birds: Frequency of expression is related to parental care disparity between the sexes. </w:t>
      </w:r>
      <w:r w:rsidRPr="00E84E15">
        <w:rPr>
          <w:i/>
          <w:iCs/>
        </w:rPr>
        <w:t>Animal Behaviour, 80</w:t>
      </w:r>
      <w:r w:rsidRPr="00E84E15">
        <w:t>(3), 375–390. </w:t>
      </w:r>
    </w:p>
    <w:p w14:paraId="4093F015" w14:textId="4B345F82" w:rsidR="00E84E15" w:rsidRPr="00E84E15" w:rsidRDefault="00E84E15" w:rsidP="00E84E15">
      <w:pPr>
        <w:jc w:val="both"/>
      </w:pPr>
      <w:r w:rsidRPr="00E84E15">
        <w:t>Monk, J. D., Giglio, E., Kamath, A., et al. (2019). A</w:t>
      </w:r>
      <w:r w:rsidRPr="00E84E15">
        <w:rPr>
          <w:i/>
          <w:iCs/>
        </w:rPr>
        <w:t>n alternative hypothesis for the evolution of same-sex sexual behaviour in animals.</w:t>
      </w:r>
      <w:r w:rsidRPr="00E84E15">
        <w:t xml:space="preserve"> </w:t>
      </w:r>
      <w:r w:rsidRPr="00E84E15">
        <w:rPr>
          <w:i/>
          <w:iCs/>
        </w:rPr>
        <w:t>Nature Ecology &amp; Evolution, 3</w:t>
      </w:r>
      <w:r w:rsidRPr="00E84E15">
        <w:t>, 1622–1631.</w:t>
      </w:r>
    </w:p>
    <w:p w14:paraId="4E89E476" w14:textId="5BB8FE4F" w:rsidR="00E84E15" w:rsidRPr="00E84E15" w:rsidRDefault="00E84E15" w:rsidP="00E84E15">
      <w:pPr>
        <w:jc w:val="both"/>
      </w:pPr>
      <w:r w:rsidRPr="00E84E15">
        <w:t xml:space="preserve">Parhar, I. S., Ogawa, S., &amp; Ubuka, T. (2016). </w:t>
      </w:r>
      <w:r w:rsidRPr="00E84E15">
        <w:rPr>
          <w:i/>
          <w:iCs/>
        </w:rPr>
        <w:t>Reproductive neuroendocrine pathways of social behavior</w:t>
      </w:r>
      <w:r w:rsidRPr="00E84E15">
        <w:t xml:space="preserve">. </w:t>
      </w:r>
      <w:r w:rsidRPr="00E84E15">
        <w:rPr>
          <w:i/>
          <w:iCs/>
        </w:rPr>
        <w:t>Frontiers in Endocrinology, 7</w:t>
      </w:r>
      <w:r w:rsidRPr="00E84E15">
        <w:t>, 28. </w:t>
      </w:r>
    </w:p>
    <w:p w14:paraId="1069448B" w14:textId="63010752" w:rsidR="00E84E15" w:rsidRPr="00E84E15" w:rsidRDefault="00E84E15" w:rsidP="00E84E15">
      <w:pPr>
        <w:jc w:val="both"/>
      </w:pPr>
      <w:r w:rsidRPr="00E84E15">
        <w:t xml:space="preserve">Pincemy, G., Dobson, F. S., &amp; Jouventin, P. (2010). </w:t>
      </w:r>
      <w:r w:rsidRPr="00E84E15">
        <w:rPr>
          <w:i/>
          <w:iCs/>
        </w:rPr>
        <w:t>Homosexual mating displays in penguins.</w:t>
      </w:r>
      <w:r w:rsidRPr="00E84E15">
        <w:t xml:space="preserve"> </w:t>
      </w:r>
      <w:r w:rsidRPr="00E84E15">
        <w:rPr>
          <w:i/>
          <w:iCs/>
        </w:rPr>
        <w:t>Ethology, 116</w:t>
      </w:r>
      <w:r w:rsidRPr="00E84E15">
        <w:t>(12), 1210–1216. </w:t>
      </w:r>
    </w:p>
    <w:p w14:paraId="45AC37FC" w14:textId="3982C0D6" w:rsidR="00E84E15" w:rsidRPr="00E84E15" w:rsidRDefault="00E84E15" w:rsidP="00E84E15">
      <w:pPr>
        <w:jc w:val="both"/>
      </w:pPr>
      <w:r w:rsidRPr="00E84E15">
        <w:t xml:space="preserve">Raymond, M., &amp; Crochet, P. A. (2023). </w:t>
      </w:r>
      <w:r w:rsidRPr="00E84E15">
        <w:rPr>
          <w:i/>
          <w:iCs/>
        </w:rPr>
        <w:t>Carving non-proximal explanations for same-sex sexual orientation.</w:t>
      </w:r>
      <w:r w:rsidRPr="00E84E15">
        <w:t xml:space="preserve"> </w:t>
      </w:r>
      <w:r w:rsidRPr="00E84E15">
        <w:rPr>
          <w:i/>
          <w:iCs/>
        </w:rPr>
        <w:t>Archives of Sexual Behavior, 52</w:t>
      </w:r>
      <w:r w:rsidRPr="00E84E15">
        <w:t>, 3007–3012. </w:t>
      </w:r>
    </w:p>
    <w:p w14:paraId="5FCA54B7" w14:textId="145209B8" w:rsidR="00E84E15" w:rsidRPr="00E84E15" w:rsidRDefault="00E84E15" w:rsidP="00E84E15">
      <w:pPr>
        <w:jc w:val="both"/>
      </w:pPr>
      <w:r w:rsidRPr="00E84E15">
        <w:t>Rizzo, A., Galgano, M., Mutinati, M., &amp; Sciorsci, R. L. (2019).</w:t>
      </w:r>
      <w:r w:rsidRPr="00E84E15">
        <w:rPr>
          <w:i/>
          <w:iCs/>
        </w:rPr>
        <w:t xml:space="preserve"> Alpha-fetoprotein in animal reproduction</w:t>
      </w:r>
      <w:r w:rsidRPr="00E84E15">
        <w:t xml:space="preserve">. </w:t>
      </w:r>
      <w:r w:rsidRPr="00E84E15">
        <w:rPr>
          <w:i/>
          <w:iCs/>
        </w:rPr>
        <w:t>Research in Veterinary Science, 123</w:t>
      </w:r>
      <w:r w:rsidRPr="00E84E15">
        <w:t>, 281–285.</w:t>
      </w:r>
    </w:p>
    <w:p w14:paraId="37DE5C5B" w14:textId="2A4B8E05" w:rsidR="00E84E15" w:rsidRPr="00E84E15" w:rsidRDefault="00E84E15" w:rsidP="00E84E15">
      <w:pPr>
        <w:jc w:val="both"/>
      </w:pPr>
      <w:r w:rsidRPr="00E84E15">
        <w:t xml:space="preserve">Roselli, C. E., Estill, C. T., Stadelman, H. L., &amp; Stormshak, F. (2009). The volume of the ovine sexually dimorphic nucleus of the preoptic area is independent of adult testosterone concentrations. </w:t>
      </w:r>
      <w:r w:rsidRPr="00E84E15">
        <w:rPr>
          <w:i/>
          <w:iCs/>
        </w:rPr>
        <w:t>Brain Research, 1249</w:t>
      </w:r>
      <w:r w:rsidRPr="00E84E15">
        <w:t>, 113–117. </w:t>
      </w:r>
    </w:p>
    <w:p w14:paraId="0ACD32DB" w14:textId="2F9415CE" w:rsidR="00E84E15" w:rsidRPr="00E84E15" w:rsidRDefault="00E84E15" w:rsidP="00E84E15">
      <w:pPr>
        <w:jc w:val="both"/>
      </w:pPr>
      <w:r w:rsidRPr="00E84E15">
        <w:t xml:space="preserve">Roselli, C. E., Reddy, R. C., Estill, C. T., Scheldrup, M., Meaker, M., Stormshak, F., &amp; Montilla, H. J. (2014). </w:t>
      </w:r>
      <w:r w:rsidRPr="00E84E15">
        <w:rPr>
          <w:i/>
          <w:iCs/>
        </w:rPr>
        <w:t>Prenatal influence of an androgen agonist and antagonist on the differentiation of the ovine sexually dimorphic nucleus in male and female lamb fetuses</w:t>
      </w:r>
      <w:r w:rsidRPr="00E84E15">
        <w:t xml:space="preserve">. </w:t>
      </w:r>
      <w:r w:rsidRPr="00E84E15">
        <w:rPr>
          <w:i/>
          <w:iCs/>
        </w:rPr>
        <w:t>Endocrinology, 155</w:t>
      </w:r>
      <w:r w:rsidRPr="00E84E15">
        <w:t>(12), 5000–5010. </w:t>
      </w:r>
    </w:p>
    <w:p w14:paraId="02E30361" w14:textId="5F155E52" w:rsidR="00E84E15" w:rsidRPr="00E84E15" w:rsidRDefault="00E84E15" w:rsidP="00E84E15">
      <w:pPr>
        <w:jc w:val="both"/>
      </w:pPr>
      <w:r w:rsidRPr="00E84E15">
        <w:t xml:space="preserve">Scharf, I., &amp; Martin, O. Y. (2013). </w:t>
      </w:r>
      <w:r w:rsidRPr="00E84E15">
        <w:rPr>
          <w:i/>
          <w:iCs/>
        </w:rPr>
        <w:t>Same-sex sexual behavior in insects and arachnids: Prevalence, causes, and consequences. Behavioral Ecology and Sociobiology, 67</w:t>
      </w:r>
      <w:r w:rsidRPr="00E84E15">
        <w:t>, 1719–1730. </w:t>
      </w:r>
    </w:p>
    <w:p w14:paraId="16898644" w14:textId="51D04B80" w:rsidR="00E84E15" w:rsidRPr="00E84E15" w:rsidRDefault="00E84E15" w:rsidP="00E84E15">
      <w:pPr>
        <w:jc w:val="both"/>
      </w:pPr>
      <w:r w:rsidRPr="00E84E15">
        <w:t xml:space="preserve">SEA WATCH FOUNDATION. (n.d.). </w:t>
      </w:r>
      <w:r w:rsidRPr="00E84E15">
        <w:rPr>
          <w:i/>
          <w:iCs/>
        </w:rPr>
        <w:t xml:space="preserve">Diving into the deep: Unravelling same-sex socio-sexual behaviours in bottlenose dolphins </w:t>
      </w:r>
      <w:r w:rsidRPr="00E84E15">
        <w:t>(Tursiops truncatus). Retrieved April 25, 2025</w:t>
      </w:r>
    </w:p>
    <w:p w14:paraId="0CA61A91" w14:textId="3EED53ED" w:rsidR="00E84E15" w:rsidRPr="00E84E15" w:rsidRDefault="00E84E15" w:rsidP="00E84E15">
      <w:pPr>
        <w:jc w:val="both"/>
      </w:pPr>
      <w:r w:rsidRPr="00E84E15">
        <w:lastRenderedPageBreak/>
        <w:t xml:space="preserve">Sexually dimorphic nucleus. (n.d.). In </w:t>
      </w:r>
      <w:r w:rsidRPr="00E84E15">
        <w:rPr>
          <w:i/>
          <w:iCs/>
        </w:rPr>
        <w:t>Wikipedia</w:t>
      </w:r>
      <w:r w:rsidRPr="00E84E15">
        <w:t>. Retrieved April 25, 2025</w:t>
      </w:r>
    </w:p>
    <w:p w14:paraId="09681FA0" w14:textId="31B9908D" w:rsidR="00E84E15" w:rsidRPr="00E84E15" w:rsidRDefault="00E84E15" w:rsidP="00E84E15">
      <w:pPr>
        <w:jc w:val="both"/>
      </w:pPr>
      <w:r w:rsidRPr="00E84E15">
        <w:t xml:space="preserve">Vasey, P. L. (2004). Pre- and postconflict interactions between female Japanese macaques during homosexual consortships. </w:t>
      </w:r>
      <w:r w:rsidRPr="00E84E15">
        <w:rPr>
          <w:i/>
          <w:iCs/>
        </w:rPr>
        <w:t>International Journal of Comparative Psychology, 17</w:t>
      </w:r>
      <w:r w:rsidRPr="00E84E15">
        <w:t>(4), 351–359.</w:t>
      </w:r>
    </w:p>
    <w:p w14:paraId="4EAAD461" w14:textId="36EB48D1" w:rsidR="00E84E15" w:rsidRPr="00E84E15" w:rsidRDefault="00E84E15" w:rsidP="00E84E15">
      <w:pPr>
        <w:jc w:val="both"/>
      </w:pPr>
      <w:r w:rsidRPr="00E84E15">
        <w:t xml:space="preserve">Vasey, P. L., Leca, J. B., Gunst, N., &amp; VanderLaan, D. P. (2014). Female homosexual behavior and inter-sexual mate competition in Japanese macaques: Possible implications for sexual selection theory. </w:t>
      </w:r>
      <w:r w:rsidRPr="00E84E15">
        <w:rPr>
          <w:i/>
          <w:iCs/>
        </w:rPr>
        <w:t>Neuroscience &amp; Biobehavioral Reviews, 46</w:t>
      </w:r>
      <w:r w:rsidRPr="00E84E15">
        <w:t>(4), 573–578. </w:t>
      </w:r>
    </w:p>
    <w:p w14:paraId="158CA298" w14:textId="7B553A5C" w:rsidR="00E84E15" w:rsidRPr="00E84E15" w:rsidRDefault="00E84E15" w:rsidP="00E84E15">
      <w:pPr>
        <w:jc w:val="both"/>
      </w:pPr>
      <w:r w:rsidRPr="00E84E15">
        <w:t xml:space="preserve">Wei, Y. C., Wang, S. R., Jiao, Z. L., et al. (2018). Medial preoptic area in mice is capable of mediating sexually dimorphic behaviors regardless of gender. </w:t>
      </w:r>
      <w:r w:rsidRPr="00E84E15">
        <w:rPr>
          <w:i/>
          <w:iCs/>
        </w:rPr>
        <w:t>Nature Communications, 9</w:t>
      </w:r>
      <w:r w:rsidRPr="00E84E15">
        <w:t>, 279. </w:t>
      </w:r>
    </w:p>
    <w:p w14:paraId="57CA46BB" w14:textId="0FACE3B8" w:rsidR="00E84E15" w:rsidRPr="00E84E15" w:rsidRDefault="00E84E15" w:rsidP="00E84E15">
      <w:pPr>
        <w:jc w:val="both"/>
      </w:pPr>
      <w:r w:rsidRPr="00E84E15">
        <w:t>Whitehead, N. E. (n.d.). Is ram behaviour evidence of "natural" homosexuality? Retrieved April 25, 2025, from</w:t>
      </w:r>
    </w:p>
    <w:p w14:paraId="0B4B4C30" w14:textId="76A8CCE7" w:rsidR="00E84E15" w:rsidRPr="00E84E15" w:rsidRDefault="00E84E15" w:rsidP="00E84E15">
      <w:pPr>
        <w:jc w:val="both"/>
      </w:pPr>
      <w:r w:rsidRPr="00E84E15">
        <w:t xml:space="preserve">Wu, M. V., &amp; Shah, N. M. (2011). Control of masculinization of the brain and behavior. </w:t>
      </w:r>
      <w:r w:rsidRPr="00E84E15">
        <w:rPr>
          <w:i/>
          <w:iCs/>
        </w:rPr>
        <w:t>Current Opinion in Neurobiology, 21</w:t>
      </w:r>
      <w:r w:rsidRPr="00E84E15">
        <w:t>(1), 116–123. </w:t>
      </w:r>
    </w:p>
    <w:p w14:paraId="62B67778" w14:textId="77777777" w:rsidR="00E84E15" w:rsidRPr="00E84E15" w:rsidRDefault="00E84E15" w:rsidP="00E84E15">
      <w:pPr>
        <w:jc w:val="both"/>
      </w:pPr>
      <w:r w:rsidRPr="00E84E15">
        <w:t xml:space="preserve">Zup, S. L., Carrier, H., Waters, E. M., Tabor, A., Bengston, L., Rosen, G. J., Simerly, R. B., &amp; Forger, N. G. (2003). </w:t>
      </w:r>
      <w:r w:rsidRPr="00E84E15">
        <w:rPr>
          <w:i/>
          <w:iCs/>
        </w:rPr>
        <w:t>Overexpression of bcl-2 reduces sex differences in neuron number in the brain and spinal cord. Journal of Neuroscience, 23</w:t>
      </w:r>
      <w:r w:rsidRPr="00E84E15">
        <w:t>(6), 2357–2362. </w:t>
      </w:r>
    </w:p>
    <w:p w14:paraId="0D1232FA" w14:textId="77777777" w:rsidR="00E84E15" w:rsidRDefault="00E84E15" w:rsidP="00E84E15">
      <w:pPr>
        <w:jc w:val="both"/>
      </w:pPr>
    </w:p>
    <w:p w14:paraId="077AC5AB" w14:textId="77777777" w:rsidR="00E84E15" w:rsidRDefault="00E84E15" w:rsidP="00E84E15">
      <w:pPr>
        <w:jc w:val="both"/>
      </w:pPr>
    </w:p>
    <w:p w14:paraId="26BEAD2D" w14:textId="77777777" w:rsidR="00E84E15" w:rsidRDefault="00E84E15" w:rsidP="00E84E15">
      <w:pPr>
        <w:jc w:val="both"/>
      </w:pPr>
    </w:p>
    <w:p w14:paraId="1DD7F41F" w14:textId="77777777" w:rsidR="00E84E15" w:rsidRDefault="00E84E15" w:rsidP="00E84E15">
      <w:pPr>
        <w:jc w:val="both"/>
      </w:pPr>
    </w:p>
    <w:p w14:paraId="6F101B1F" w14:textId="77777777" w:rsidR="00E84E15" w:rsidRDefault="00E84E15" w:rsidP="00E84E15">
      <w:pPr>
        <w:jc w:val="both"/>
      </w:pPr>
    </w:p>
    <w:p w14:paraId="47FC4029" w14:textId="77777777" w:rsidR="00E84E15" w:rsidRDefault="00E84E15" w:rsidP="00E84E15">
      <w:pPr>
        <w:jc w:val="both"/>
      </w:pPr>
    </w:p>
    <w:p w14:paraId="4187B5B0" w14:textId="77777777" w:rsidR="00E84E15" w:rsidRDefault="00E84E15" w:rsidP="00E84E15">
      <w:pPr>
        <w:jc w:val="both"/>
      </w:pPr>
    </w:p>
    <w:p w14:paraId="785C697D" w14:textId="77777777" w:rsidR="00E84E15" w:rsidRDefault="00E84E15" w:rsidP="00E84E15">
      <w:pPr>
        <w:jc w:val="both"/>
      </w:pPr>
    </w:p>
    <w:p w14:paraId="3DB44B05" w14:textId="77777777" w:rsidR="00E84E15" w:rsidRDefault="00E84E15" w:rsidP="00E84E15">
      <w:pPr>
        <w:jc w:val="both"/>
      </w:pPr>
    </w:p>
    <w:p w14:paraId="75E8A024" w14:textId="77777777" w:rsidR="00E84E15" w:rsidRDefault="00E84E15" w:rsidP="00E84E15">
      <w:pPr>
        <w:jc w:val="both"/>
      </w:pPr>
    </w:p>
    <w:p w14:paraId="5C8FD814" w14:textId="77777777" w:rsidR="00E84E15" w:rsidRDefault="00E84E15" w:rsidP="00E84E15">
      <w:pPr>
        <w:jc w:val="both"/>
      </w:pPr>
    </w:p>
    <w:p w14:paraId="535FB43C" w14:textId="77777777" w:rsidR="00E84E15" w:rsidRDefault="00E84E15" w:rsidP="00E84E15">
      <w:pPr>
        <w:jc w:val="both"/>
      </w:pPr>
    </w:p>
    <w:p w14:paraId="1CF7CC01" w14:textId="77777777" w:rsidR="00E84E15" w:rsidRDefault="00E84E15" w:rsidP="00E84E15">
      <w:pPr>
        <w:jc w:val="both"/>
      </w:pPr>
    </w:p>
    <w:p w14:paraId="4012D2E9" w14:textId="77777777" w:rsidR="00E84E15" w:rsidRDefault="00E84E15" w:rsidP="00E84E15">
      <w:pPr>
        <w:jc w:val="both"/>
      </w:pPr>
    </w:p>
    <w:p w14:paraId="0095EC22" w14:textId="77777777" w:rsidR="00A26751" w:rsidRDefault="00A26751" w:rsidP="00E84E15">
      <w:pPr>
        <w:jc w:val="both"/>
      </w:pPr>
    </w:p>
    <w:p w14:paraId="4FCE49A2" w14:textId="77777777" w:rsidR="00A26751" w:rsidRDefault="00A26751" w:rsidP="00E84E15">
      <w:pPr>
        <w:jc w:val="both"/>
      </w:pPr>
    </w:p>
    <w:p w14:paraId="71FB5864" w14:textId="77777777" w:rsidR="00E84E15" w:rsidRDefault="00E84E15" w:rsidP="00E84E15">
      <w:pPr>
        <w:jc w:val="both"/>
      </w:pPr>
    </w:p>
    <w:p w14:paraId="51E158B4" w14:textId="77777777" w:rsidR="00E84E15" w:rsidRDefault="00E84E15" w:rsidP="00E84E15">
      <w:pPr>
        <w:jc w:val="both"/>
      </w:pPr>
    </w:p>
    <w:p w14:paraId="3468E9B7" w14:textId="77777777" w:rsidR="00E84E15" w:rsidRPr="00E84E15" w:rsidRDefault="00E84E15" w:rsidP="00E84E15">
      <w:pPr>
        <w:jc w:val="both"/>
      </w:pPr>
    </w:p>
    <w:p w14:paraId="0E3A6861" w14:textId="77777777" w:rsidR="00E84E15" w:rsidRPr="00E84E15" w:rsidRDefault="00E84E15" w:rsidP="00E84E15">
      <w:pPr>
        <w:jc w:val="both"/>
      </w:pPr>
      <w:r w:rsidRPr="00E84E15">
        <w:rPr>
          <w:b/>
          <w:bCs/>
        </w:rPr>
        <w:lastRenderedPageBreak/>
        <w:t>Dogs’ Ability to Detect Diseases at Early Stages through Olfaction</w:t>
      </w:r>
    </w:p>
    <w:p w14:paraId="71C3169F" w14:textId="501B6D49" w:rsidR="00E84E15" w:rsidRPr="00E84E15" w:rsidRDefault="00E84E15" w:rsidP="00E84E15">
      <w:pPr>
        <w:jc w:val="both"/>
      </w:pPr>
      <w:r w:rsidRPr="00E84E15">
        <w:t>Patroni Dimitra</w:t>
      </w:r>
      <w:r w:rsidRPr="00E84E15">
        <w:rPr>
          <w:vertAlign w:val="superscript"/>
        </w:rPr>
        <w:t>1</w:t>
      </w:r>
      <w:r w:rsidRPr="00E84E15">
        <w:t xml:space="preserve">, </w:t>
      </w:r>
      <w:r w:rsidR="005379B4" w:rsidRPr="00E84E15">
        <w:t>Psarommati Sevasti</w:t>
      </w:r>
      <w:r w:rsidRPr="00E84E15">
        <w:rPr>
          <w:vertAlign w:val="superscript"/>
        </w:rPr>
        <w:t>1</w:t>
      </w:r>
      <w:r w:rsidRPr="00E84E15">
        <w:t>,  Fotiadou Paraskevi</w:t>
      </w:r>
      <w:r w:rsidRPr="00E84E15">
        <w:rPr>
          <w:vertAlign w:val="superscript"/>
        </w:rPr>
        <w:t>1</w:t>
      </w:r>
      <w:r w:rsidRPr="00E84E15">
        <w:t>, Zervos  Ioannis</w:t>
      </w:r>
      <w:r w:rsidRPr="00E84E15">
        <w:rPr>
          <w:vertAlign w:val="superscript"/>
        </w:rPr>
        <w:t>2</w:t>
      </w:r>
    </w:p>
    <w:p w14:paraId="6447B33E" w14:textId="77777777" w:rsidR="00E84E15" w:rsidRPr="00E84E15" w:rsidRDefault="00E84E15">
      <w:pPr>
        <w:numPr>
          <w:ilvl w:val="0"/>
          <w:numId w:val="93"/>
        </w:numPr>
        <w:jc w:val="both"/>
      </w:pPr>
      <w:r w:rsidRPr="00E84E15">
        <w:t>Undergraduate student, Department of Veterinary Medicine, School of Health Sciences, Aristotle University of Thessaloniki</w:t>
      </w:r>
    </w:p>
    <w:p w14:paraId="2DB43781" w14:textId="77777777" w:rsidR="00E84E15" w:rsidRPr="00E84E15" w:rsidRDefault="00E84E15">
      <w:pPr>
        <w:numPr>
          <w:ilvl w:val="0"/>
          <w:numId w:val="93"/>
        </w:numPr>
        <w:jc w:val="both"/>
      </w:pPr>
      <w:r w:rsidRPr="00E84E15">
        <w:t>Associate Professor, School of Veterinary Medicine, Faculty of Health Sciences, Aristotle University of Thessaloniki</w:t>
      </w:r>
    </w:p>
    <w:p w14:paraId="75C20B81" w14:textId="77777777" w:rsidR="00E84E15" w:rsidRPr="00E84E15" w:rsidRDefault="00E84E15" w:rsidP="00E84E15">
      <w:pPr>
        <w:jc w:val="both"/>
      </w:pPr>
    </w:p>
    <w:p w14:paraId="3040442F" w14:textId="77777777" w:rsidR="00E84E15" w:rsidRPr="00E84E15" w:rsidRDefault="00E84E15" w:rsidP="00E84E15">
      <w:pPr>
        <w:jc w:val="both"/>
      </w:pPr>
      <w:r w:rsidRPr="00E84E15">
        <w:rPr>
          <w:b/>
          <w:bCs/>
        </w:rPr>
        <w:t>Abstract </w:t>
      </w:r>
    </w:p>
    <w:p w14:paraId="2C847D57" w14:textId="77777777" w:rsidR="00E84E15" w:rsidRPr="00E84E15" w:rsidRDefault="00E84E15" w:rsidP="00E84E15">
      <w:pPr>
        <w:jc w:val="both"/>
      </w:pPr>
      <w:r w:rsidRPr="00E84E15">
        <w:t>The olfactory sense of dogs is their most distinctive sense, as it serves both their interaction with the environment and their assistance to humans. Over the years, the scientific community has recognized dogs’ ability to detect diseases through their sense of smell, even at early stages, ranging from cases of cancer and Parkinson’s disease to those of COVID-19 and migraines.</w:t>
      </w:r>
    </w:p>
    <w:p w14:paraId="71C94A45" w14:textId="77777777" w:rsidR="00E84E15" w:rsidRPr="00E84E15" w:rsidRDefault="00E84E15" w:rsidP="00E84E15">
      <w:pPr>
        <w:jc w:val="both"/>
      </w:pPr>
      <w:r w:rsidRPr="00E84E15">
        <w:t>Anatomy and physiology explain this unique characteristic, that enables them to detect specific substances released by the human body under pathological conditions. Recognizing the importance of dogs as sensitive diagnostic tools, specialized training is essential in order for them to contribute more effectively to the field of medical science.</w:t>
      </w:r>
    </w:p>
    <w:p w14:paraId="523326D6" w14:textId="77777777" w:rsidR="00E84E15" w:rsidRPr="00E84E15" w:rsidRDefault="00E84E15" w:rsidP="00E84E15">
      <w:pPr>
        <w:jc w:val="both"/>
      </w:pPr>
    </w:p>
    <w:p w14:paraId="0F65BDA1" w14:textId="77777777" w:rsidR="00E84E15" w:rsidRPr="00E84E15" w:rsidRDefault="00E84E15" w:rsidP="00E84E15">
      <w:pPr>
        <w:jc w:val="both"/>
      </w:pPr>
      <w:r w:rsidRPr="00E84E15">
        <w:rPr>
          <w:b/>
          <w:bCs/>
        </w:rPr>
        <w:t>Bibliography</w:t>
      </w:r>
    </w:p>
    <w:p w14:paraId="28BB99F6" w14:textId="473C574C" w:rsidR="00E84E15" w:rsidRPr="00E84E15" w:rsidRDefault="00E84E15" w:rsidP="00E84E15">
      <w:pPr>
        <w:jc w:val="both"/>
      </w:pPr>
      <w:r w:rsidRPr="00E84E15">
        <w:t xml:space="preserve">Anderson, D., &amp; Jones, B. (2019, April 18). </w:t>
      </w:r>
      <w:r w:rsidRPr="00E84E15">
        <w:rPr>
          <w:i/>
          <w:iCs/>
        </w:rPr>
        <w:t>Dogs can detect epileptic seizures before they happen</w:t>
      </w:r>
      <w:r w:rsidRPr="00E84E15">
        <w:t xml:space="preserve">. </w:t>
      </w:r>
      <w:r w:rsidRPr="00E84E15">
        <w:rPr>
          <w:i/>
          <w:iCs/>
        </w:rPr>
        <w:t>Business Insider</w:t>
      </w:r>
      <w:r w:rsidRPr="00E84E15">
        <w:t>.  </w:t>
      </w:r>
    </w:p>
    <w:p w14:paraId="7B193244" w14:textId="70EDC6EA" w:rsidR="00E84E15" w:rsidRPr="00E84E15" w:rsidRDefault="00E84E15" w:rsidP="00E84E15">
      <w:pPr>
        <w:jc w:val="both"/>
      </w:pPr>
      <w:r w:rsidRPr="00E84E15">
        <w:t xml:space="preserve">Angle, C. T., Waggoner, L. P., Ferrando, A., Haney, P., &amp; Passler, T. (2016). </w:t>
      </w:r>
      <w:r w:rsidRPr="00E84E15">
        <w:rPr>
          <w:i/>
          <w:iCs/>
        </w:rPr>
        <w:t>Canine detection of the volatilome: A review of implications for pathogen and disease detection</w:t>
      </w:r>
      <w:r w:rsidRPr="00E84E15">
        <w:t xml:space="preserve">. </w:t>
      </w:r>
      <w:r w:rsidRPr="00E84E15">
        <w:rPr>
          <w:i/>
          <w:iCs/>
        </w:rPr>
        <w:t>Frontiers in Veterinary Science, 3</w:t>
      </w:r>
      <w:r w:rsidRPr="00E84E15">
        <w:t>, 47. </w:t>
      </w:r>
    </w:p>
    <w:p w14:paraId="7054C022" w14:textId="17A5D132" w:rsidR="00E84E15" w:rsidRPr="00E84E15" w:rsidRDefault="00E84E15" w:rsidP="00E84E15">
      <w:pPr>
        <w:jc w:val="both"/>
      </w:pPr>
      <w:r w:rsidRPr="00E84E15">
        <w:t xml:space="preserve">Campbell, L. F., Farmery, L., George, S. M. C., &amp; Farrant, P. B. J. (2013). </w:t>
      </w:r>
      <w:r w:rsidRPr="00E84E15">
        <w:rPr>
          <w:i/>
          <w:iCs/>
        </w:rPr>
        <w:t>Canine olfactory detection of malignant melanoma.</w:t>
      </w:r>
      <w:r w:rsidRPr="00E84E15">
        <w:t xml:space="preserve"> </w:t>
      </w:r>
      <w:r w:rsidRPr="00E84E15">
        <w:rPr>
          <w:i/>
          <w:iCs/>
        </w:rPr>
        <w:t>BMJ Case Reports</w:t>
      </w:r>
      <w:r w:rsidRPr="00E84E15">
        <w:t>. </w:t>
      </w:r>
    </w:p>
    <w:p w14:paraId="24FFAC5E" w14:textId="4F573112" w:rsidR="00E84E15" w:rsidRPr="00E84E15" w:rsidRDefault="00E84E15" w:rsidP="00E84E15">
      <w:pPr>
        <w:jc w:val="both"/>
      </w:pPr>
      <w:r w:rsidRPr="00E84E15">
        <w:t>Ensminger, J. (2011).</w:t>
      </w:r>
      <w:r w:rsidRPr="00E84E15">
        <w:rPr>
          <w:i/>
          <w:iCs/>
        </w:rPr>
        <w:t xml:space="preserve"> Police and military dogs: Criminal detection, forensic evidence, and judicial admissibility</w:t>
      </w:r>
      <w:r w:rsidRPr="00E84E15">
        <w:t xml:space="preserve"> (Chapter 3: History and judicial acceptance of tracking and trailing evidence, pp. 16–17). CRC Press.           </w:t>
      </w:r>
    </w:p>
    <w:p w14:paraId="116151F0" w14:textId="5F026B6F" w:rsidR="00E84E15" w:rsidRPr="00E84E15" w:rsidRDefault="00E84E15" w:rsidP="00E84E15">
      <w:pPr>
        <w:jc w:val="both"/>
      </w:pPr>
      <w:r w:rsidRPr="00E84E15">
        <w:t xml:space="preserve">Furuhashi, T., Toda, K., &amp; Weckwerth, W. (2025). </w:t>
      </w:r>
      <w:r w:rsidRPr="00E84E15">
        <w:rPr>
          <w:i/>
          <w:iCs/>
        </w:rPr>
        <w:t>Review of cancer cell volatile organic compounds: their metabolism and evolution</w:t>
      </w:r>
      <w:r w:rsidRPr="00E84E15">
        <w:t xml:space="preserve">. </w:t>
      </w:r>
      <w:r w:rsidRPr="00E84E15">
        <w:rPr>
          <w:i/>
          <w:iCs/>
        </w:rPr>
        <w:t>Frontiers in Molecular Biosciences</w:t>
      </w:r>
      <w:r w:rsidRPr="00E84E15">
        <w:t>.      </w:t>
      </w:r>
    </w:p>
    <w:p w14:paraId="2217A880" w14:textId="58D74383" w:rsidR="00E84E15" w:rsidRPr="00E84E15" w:rsidRDefault="00E84E15" w:rsidP="00E84E15">
      <w:pPr>
        <w:jc w:val="both"/>
      </w:pPr>
      <w:r w:rsidRPr="00E84E15">
        <w:t xml:space="preserve">Jenkins, E. K., DeChant, M. T., &amp; Perry, E. B. (2018, March 29). </w:t>
      </w:r>
      <w:r w:rsidRPr="00E84E15">
        <w:rPr>
          <w:i/>
          <w:iCs/>
        </w:rPr>
        <w:t>When the nose doesn’t know: Canine olfactory function associated with health, management, and potential links to microbiota</w:t>
      </w:r>
      <w:r w:rsidRPr="00E84E15">
        <w:t xml:space="preserve">. </w:t>
      </w:r>
      <w:r w:rsidRPr="00E84E15">
        <w:rPr>
          <w:i/>
          <w:iCs/>
        </w:rPr>
        <w:t>Frontiers in Veterinary Science</w:t>
      </w:r>
      <w:r w:rsidRPr="00E84E15">
        <w:t>.          </w:t>
      </w:r>
    </w:p>
    <w:p w14:paraId="48D87EAD" w14:textId="71EBC009" w:rsidR="00E84E15" w:rsidRPr="00E84E15" w:rsidRDefault="00E84E15" w:rsidP="00E84E15">
      <w:pPr>
        <w:jc w:val="both"/>
      </w:pPr>
      <w:r w:rsidRPr="00E84E15">
        <w:t>Lazarowski, L., Waggoner, L. P., Krichbaum, S., Singletary, M., Haney, P., Rogers, B., &amp; Angle, C. (2020). S</w:t>
      </w:r>
      <w:r w:rsidRPr="00E84E15">
        <w:rPr>
          <w:i/>
          <w:iCs/>
        </w:rPr>
        <w:t>electing dogs for explosives detection: Behavioral characteristics. Frontiers in Veterinary Science, 7</w:t>
      </w:r>
      <w:r w:rsidRPr="00E84E15">
        <w:t>, Article 597.          </w:t>
      </w:r>
    </w:p>
    <w:p w14:paraId="43379259" w14:textId="7BE8AD97" w:rsidR="00E84E15" w:rsidRPr="00E84E15" w:rsidRDefault="00E84E15" w:rsidP="00E84E15">
      <w:pPr>
        <w:jc w:val="both"/>
      </w:pPr>
      <w:r w:rsidRPr="00E84E15">
        <w:t>MacDonald, F. (2016, June 28).</w:t>
      </w:r>
      <w:r w:rsidRPr="00E84E15">
        <w:rPr>
          <w:i/>
          <w:iCs/>
        </w:rPr>
        <w:t xml:space="preserve"> Scientists think they finally know how dogs sniff out diabetes.</w:t>
      </w:r>
      <w:r w:rsidRPr="00E84E15">
        <w:t xml:space="preserve"> </w:t>
      </w:r>
      <w:r w:rsidRPr="00E84E15">
        <w:rPr>
          <w:i/>
          <w:iCs/>
        </w:rPr>
        <w:t>ScienceAlert</w:t>
      </w:r>
      <w:r w:rsidRPr="00E84E15">
        <w:t>.         </w:t>
      </w:r>
    </w:p>
    <w:p w14:paraId="133F0EDB" w14:textId="28586FCB" w:rsidR="00E84E15" w:rsidRPr="002617A2" w:rsidRDefault="00E84E15" w:rsidP="00E84E15">
      <w:pPr>
        <w:jc w:val="both"/>
      </w:pPr>
      <w:r w:rsidRPr="00E84E15">
        <w:lastRenderedPageBreak/>
        <w:t xml:space="preserve">Neoiorizontes. (2024, October 18). </w:t>
      </w:r>
      <w:r w:rsidRPr="00E84E15">
        <w:rPr>
          <w:i/>
          <w:iCs/>
        </w:rPr>
        <w:t>Μπορούν να μυρίσουν οι σκύλοι την ασθένεια; Πώς αντιδρούν όταν κάποιος είναι άρρωστος.</w:t>
      </w:r>
      <w:r w:rsidRPr="00E84E15">
        <w:t xml:space="preserve"> </w:t>
      </w:r>
      <w:r w:rsidRPr="00E84E15">
        <w:rPr>
          <w:i/>
          <w:iCs/>
        </w:rPr>
        <w:t>Νέοι Ορίζοντες</w:t>
      </w:r>
      <w:r w:rsidRPr="00E84E15">
        <w:t>. </w:t>
      </w:r>
    </w:p>
    <w:p w14:paraId="5A35C288" w14:textId="63C594FD" w:rsidR="00E84E15" w:rsidRPr="00E84E15" w:rsidRDefault="00E84E15" w:rsidP="00E84E15">
      <w:pPr>
        <w:jc w:val="both"/>
      </w:pPr>
      <w:r w:rsidRPr="00E84E15">
        <w:t xml:space="preserve">Owlstone Medical. (2024, September 9). </w:t>
      </w:r>
      <w:r w:rsidRPr="00E84E15">
        <w:rPr>
          <w:i/>
          <w:iCs/>
        </w:rPr>
        <w:t>Smelling cancer: How medical detection dogs can inspire breath analysis.</w:t>
      </w:r>
    </w:p>
    <w:p w14:paraId="2A7EDF59" w14:textId="2DF18A60" w:rsidR="00E84E15" w:rsidRPr="00E84E15" w:rsidRDefault="00E84E15" w:rsidP="00E84E15">
      <w:pPr>
        <w:jc w:val="both"/>
      </w:pPr>
      <w:r w:rsidRPr="00E84E15">
        <w:t xml:space="preserve">Roswell Park Comprehensive Cancer Center. (2020, August 25). </w:t>
      </w:r>
      <w:r w:rsidRPr="00E84E15">
        <w:rPr>
          <w:i/>
          <w:iCs/>
        </w:rPr>
        <w:t>Can dogs smell cancer?           </w:t>
      </w:r>
    </w:p>
    <w:p w14:paraId="3F72B69B" w14:textId="26563DE6" w:rsidR="00E84E15" w:rsidRPr="00E84E15" w:rsidRDefault="00E84E15" w:rsidP="00E84E15">
      <w:pPr>
        <w:jc w:val="both"/>
      </w:pPr>
      <w:r w:rsidRPr="00E84E15">
        <w:t>Sadiq, M. (2025, April 17). H</w:t>
      </w:r>
      <w:r w:rsidRPr="00E84E15">
        <w:rPr>
          <w:i/>
          <w:iCs/>
        </w:rPr>
        <w:t>ow dogs are being trained to detect disease in humans. Animals Around the Globe</w:t>
      </w:r>
      <w:r w:rsidRPr="00E84E15">
        <w:t>. </w:t>
      </w:r>
    </w:p>
    <w:p w14:paraId="1D2D3222" w14:textId="55915CCC" w:rsidR="00E84E15" w:rsidRPr="00E84E15" w:rsidRDefault="00E84E15" w:rsidP="00E84E15">
      <w:pPr>
        <w:jc w:val="both"/>
      </w:pPr>
      <w:r w:rsidRPr="00E84E15">
        <w:t>Souza, N. M. P., Silva, P. R., de Lima, C. M. G., Lopes, M. S., Calixto, P. S., Bilek, B. M. Z., Ferreira, L. M., Welter, M., Rego, F. G. de M., &amp; Sari, M. H. M. (2026).</w:t>
      </w:r>
      <w:r w:rsidRPr="00E84E15">
        <w:rPr>
          <w:i/>
          <w:iCs/>
        </w:rPr>
        <w:t xml:space="preserve"> What is the role of diabetic alert dogs in glycemic monitoring for individuals with type 1 diabetes? A scoping review</w:t>
      </w:r>
      <w:r w:rsidRPr="00E84E15">
        <w:t xml:space="preserve">. </w:t>
      </w:r>
      <w:r w:rsidRPr="00E84E15">
        <w:rPr>
          <w:i/>
          <w:iCs/>
        </w:rPr>
        <w:t>Med Sciences, 14</w:t>
      </w:r>
      <w:r w:rsidRPr="00E84E15">
        <w:t>(1), 39.           </w:t>
      </w:r>
    </w:p>
    <w:p w14:paraId="2E169F0B" w14:textId="44A1D972" w:rsidR="00E84E15" w:rsidRPr="00E84E15" w:rsidRDefault="00E84E15" w:rsidP="00E84E15">
      <w:pPr>
        <w:jc w:val="both"/>
      </w:pPr>
      <w:r w:rsidRPr="00E84E15">
        <w:t xml:space="preserve">Trivedi, D. K., Sinclair, E., Xu, Y., Sarkar, D., Walton-Doyle, C., Liscio, C., Banks, P., Milne, J., Silverdale, M., Kunath, T., Goodacre, R., &amp; Barran, P. (2019). </w:t>
      </w:r>
      <w:r w:rsidRPr="00E84E15">
        <w:rPr>
          <w:i/>
          <w:iCs/>
        </w:rPr>
        <w:t>Discovery of volatile biomarkers of Parkinson’s disease from sebum</w:t>
      </w:r>
      <w:r w:rsidRPr="00E84E15">
        <w:t xml:space="preserve">. </w:t>
      </w:r>
      <w:r w:rsidRPr="00E84E15">
        <w:rPr>
          <w:i/>
          <w:iCs/>
        </w:rPr>
        <w:t>ACS Central Science, 5</w:t>
      </w:r>
      <w:r w:rsidRPr="00E84E15">
        <w:t>(4), 599–606. </w:t>
      </w:r>
    </w:p>
    <w:p w14:paraId="34E04070" w14:textId="77777777" w:rsidR="00E84E15" w:rsidRPr="00E84E15" w:rsidRDefault="00E84E15" w:rsidP="00E84E15">
      <w:pPr>
        <w:jc w:val="both"/>
      </w:pPr>
      <w:r w:rsidRPr="00E84E15">
        <w:t xml:space="preserve">Vidal-Martínez, V. M., Mancilla-Tapia, J. M., Soler-Jiménez, L. C., Velázquez-Abunader, I., Jiménez-Coello, M., Ortega-Pacheco, A., &amp; Hernández-Mena, D. (2025). </w:t>
      </w:r>
      <w:r w:rsidRPr="00E84E15">
        <w:rPr>
          <w:i/>
          <w:iCs/>
        </w:rPr>
        <w:t>At what cycle threshold level are dogs able to detect SARS-CoV-2 in humans?</w:t>
      </w:r>
      <w:r w:rsidRPr="00E84E15">
        <w:t xml:space="preserve"> </w:t>
      </w:r>
      <w:r w:rsidRPr="00E84E15">
        <w:rPr>
          <w:i/>
          <w:iCs/>
        </w:rPr>
        <w:t>PLOS ONE, 20</w:t>
      </w:r>
      <w:r w:rsidRPr="00E84E15">
        <w:t>(1), e0317213. </w:t>
      </w:r>
    </w:p>
    <w:p w14:paraId="0AAC3CE5" w14:textId="77777777" w:rsidR="005379B4" w:rsidRDefault="005379B4">
      <w:r>
        <w:br w:type="page"/>
      </w:r>
    </w:p>
    <w:p w14:paraId="0E680424" w14:textId="77777777" w:rsidR="005379B4" w:rsidRPr="005379B4" w:rsidRDefault="005379B4" w:rsidP="005379B4">
      <w:pPr>
        <w:jc w:val="both"/>
      </w:pPr>
      <w:r w:rsidRPr="005379B4">
        <w:rPr>
          <w:b/>
          <w:bCs/>
        </w:rPr>
        <w:lastRenderedPageBreak/>
        <w:t>Neonatal Maladjustment Syndrome in Foals: Clinical Approach and Management</w:t>
      </w:r>
    </w:p>
    <w:p w14:paraId="47739206" w14:textId="21399D42" w:rsidR="005379B4" w:rsidRPr="005379B4" w:rsidRDefault="005379B4" w:rsidP="005379B4">
      <w:pPr>
        <w:jc w:val="both"/>
      </w:pPr>
      <w:r w:rsidRPr="005379B4">
        <w:t>Κaragiannis Georgios1</w:t>
      </w:r>
      <w:r>
        <w:t xml:space="preserve">, </w:t>
      </w:r>
      <w:r w:rsidRPr="005379B4">
        <w:t>Diakakis Nikolaos</w:t>
      </w:r>
      <w:r w:rsidRPr="005379B4">
        <w:rPr>
          <w:vertAlign w:val="superscript"/>
        </w:rPr>
        <w:t>2</w:t>
      </w:r>
    </w:p>
    <w:p w14:paraId="37B5CBD1" w14:textId="77777777" w:rsidR="005379B4" w:rsidRPr="005379B4" w:rsidRDefault="005379B4">
      <w:pPr>
        <w:numPr>
          <w:ilvl w:val="0"/>
          <w:numId w:val="94"/>
        </w:numPr>
        <w:jc w:val="both"/>
      </w:pPr>
      <w:r w:rsidRPr="005379B4">
        <w:t>Undergraduate student, Department of Veterinary Medicine, School of Health Sciences, Aristotle University of Thessaloniki</w:t>
      </w:r>
    </w:p>
    <w:p w14:paraId="5458F062" w14:textId="77777777" w:rsidR="005379B4" w:rsidRPr="005379B4" w:rsidRDefault="005379B4">
      <w:pPr>
        <w:numPr>
          <w:ilvl w:val="0"/>
          <w:numId w:val="94"/>
        </w:numPr>
        <w:jc w:val="both"/>
      </w:pPr>
      <w:r w:rsidRPr="005379B4">
        <w:t>Professor of Equine Surgery, Department of Veterinary Medicine, School of Health Sciences, Aristotle University of Thessaloniki</w:t>
      </w:r>
    </w:p>
    <w:p w14:paraId="303C3DF2" w14:textId="77777777" w:rsidR="005379B4" w:rsidRDefault="005379B4" w:rsidP="005379B4">
      <w:pPr>
        <w:jc w:val="both"/>
        <w:rPr>
          <w:b/>
          <w:bCs/>
        </w:rPr>
      </w:pPr>
      <w:r>
        <w:rPr>
          <w:b/>
          <w:bCs/>
        </w:rPr>
        <w:t>Abstract</w:t>
      </w:r>
    </w:p>
    <w:p w14:paraId="1A3A70A3" w14:textId="2D12D52E" w:rsidR="005379B4" w:rsidRPr="005379B4" w:rsidRDefault="005379B4" w:rsidP="005379B4">
      <w:pPr>
        <w:jc w:val="both"/>
        <w:rPr>
          <w:b/>
          <w:bCs/>
        </w:rPr>
      </w:pPr>
      <w:r>
        <w:t xml:space="preserve">Neonatal </w:t>
      </w:r>
      <w:r w:rsidRPr="005379B4">
        <w:t>Maladjustment Syndrome (NMS) is an important pathological condition affecting newborn foals, with an estimated incidence of 1–2% of births and is primarily characterized by dysfunction of the central nervous system. Its pathogenesis is mainly associated with perinatal hypoxia and ischemia, leading to neurological abnormalities such as loss of the suckling reflex, disorientation, and seizures. Additionally, the respiratory, gastrointestinal, and urinary systems may also be affected. Diagnosis is primarily based on clinical presentation and the exclusion of other conditions, such as sepsis and metabolic disorders. Therapeutic management includes supportive care, seizure control, and appropriate nutritional support. In recent years, the Madigan Squeeze Technique has emerged as an innovative therapeutic approach, based on the regulation of neurosteroid hormones involved in neonatal neurological awakening. The prognosis is generally favorable, with recovery rates reaching 70–80%, particularly when timely and appropriate therapeutic intervention is applied.</w:t>
      </w:r>
    </w:p>
    <w:p w14:paraId="53EF30C5" w14:textId="77777777" w:rsidR="005379B4" w:rsidRPr="005379B4" w:rsidRDefault="005379B4" w:rsidP="005379B4">
      <w:pPr>
        <w:jc w:val="both"/>
      </w:pPr>
    </w:p>
    <w:p w14:paraId="4EFFED76" w14:textId="77777777" w:rsidR="005379B4" w:rsidRPr="005379B4" w:rsidRDefault="005379B4" w:rsidP="005379B4">
      <w:pPr>
        <w:jc w:val="both"/>
      </w:pPr>
      <w:r w:rsidRPr="005379B4">
        <w:rPr>
          <w:b/>
          <w:bCs/>
        </w:rPr>
        <w:t>Bibliography</w:t>
      </w:r>
    </w:p>
    <w:p w14:paraId="4B45B650" w14:textId="77777777" w:rsidR="005379B4" w:rsidRPr="005379B4" w:rsidRDefault="005379B4" w:rsidP="005379B4">
      <w:pPr>
        <w:jc w:val="both"/>
      </w:pPr>
      <w:r w:rsidRPr="005379B4">
        <w:t xml:space="preserve">Agerholm, J. S., Christoffersen, M., Secher, J. B., Normann, A., &amp; Pedersen, H. G. (2024). Dystocia in cattle and horses: </w:t>
      </w:r>
      <w:r w:rsidRPr="005379B4">
        <w:rPr>
          <w:i/>
          <w:iCs/>
        </w:rPr>
        <w:t>A compilation of historical artworks dedicated to Professor Gerhard Sand</w:t>
      </w:r>
      <w:r w:rsidRPr="005379B4">
        <w:t xml:space="preserve"> (1861–1921). </w:t>
      </w:r>
      <w:r w:rsidRPr="005379B4">
        <w:rPr>
          <w:i/>
          <w:iCs/>
        </w:rPr>
        <w:t>Acta Veterinaria Scandinavica, 66</w:t>
      </w:r>
      <w:r w:rsidRPr="005379B4">
        <w:t>(1), 12.</w:t>
      </w:r>
    </w:p>
    <w:p w14:paraId="4C6FEADC" w14:textId="77777777" w:rsidR="005379B4" w:rsidRPr="005379B4" w:rsidRDefault="005379B4" w:rsidP="005379B4">
      <w:pPr>
        <w:jc w:val="both"/>
      </w:pPr>
      <w:r w:rsidRPr="005379B4">
        <w:t xml:space="preserve">Aleman, M., Weich, K. M., &amp; Madigan, J. E. (2017). </w:t>
      </w:r>
      <w:r w:rsidRPr="005379B4">
        <w:rPr>
          <w:i/>
          <w:iCs/>
        </w:rPr>
        <w:t>Survey of veterinarians using a novel physical compression squeeze procedure in the management of neonatal maladjustment syndrome in foals</w:t>
      </w:r>
      <w:r w:rsidRPr="005379B4">
        <w:t xml:space="preserve">. </w:t>
      </w:r>
      <w:r w:rsidRPr="005379B4">
        <w:rPr>
          <w:i/>
          <w:iCs/>
        </w:rPr>
        <w:t>Animals, 7</w:t>
      </w:r>
      <w:r w:rsidRPr="005379B4">
        <w:t>(9), 69.</w:t>
      </w:r>
    </w:p>
    <w:p w14:paraId="7C91E4EB" w14:textId="77777777" w:rsidR="005379B4" w:rsidRPr="005379B4" w:rsidRDefault="005379B4" w:rsidP="005379B4">
      <w:pPr>
        <w:jc w:val="both"/>
      </w:pPr>
      <w:r w:rsidRPr="005379B4">
        <w:t xml:space="preserve">Baird, J. D. (1973). </w:t>
      </w:r>
      <w:r w:rsidRPr="005379B4">
        <w:rPr>
          <w:i/>
          <w:iCs/>
        </w:rPr>
        <w:t>Neonatal maladjustment syndrome in a Thoroughbred foal.</w:t>
      </w:r>
      <w:r w:rsidRPr="005379B4">
        <w:t xml:space="preserve"> </w:t>
      </w:r>
      <w:r w:rsidRPr="005379B4">
        <w:rPr>
          <w:i/>
          <w:iCs/>
        </w:rPr>
        <w:t>Australian Veterinary Journal, 49</w:t>
      </w:r>
      <w:r w:rsidRPr="005379B4">
        <w:t>(11), 530–534.</w:t>
      </w:r>
    </w:p>
    <w:p w14:paraId="0407F3E6" w14:textId="77777777" w:rsidR="005379B4" w:rsidRPr="005379B4" w:rsidRDefault="005379B4" w:rsidP="005379B4">
      <w:pPr>
        <w:jc w:val="both"/>
      </w:pPr>
      <w:r w:rsidRPr="005379B4">
        <w:t>Beckstett, A. (2021, February 17)</w:t>
      </w:r>
      <w:r w:rsidRPr="005379B4">
        <w:rPr>
          <w:i/>
          <w:iCs/>
        </w:rPr>
        <w:t>. Foal neurologic exams: Steps and signs of disease. The Horse</w:t>
      </w:r>
      <w:r w:rsidRPr="005379B4">
        <w:t>.</w:t>
      </w:r>
    </w:p>
    <w:p w14:paraId="40248104" w14:textId="77777777" w:rsidR="005379B4" w:rsidRPr="005379B4" w:rsidRDefault="005379B4" w:rsidP="005379B4">
      <w:pPr>
        <w:jc w:val="both"/>
      </w:pPr>
      <w:r w:rsidRPr="005379B4">
        <w:t xml:space="preserve">Diesch, T. J., &amp; Mellor, D. J. (2013). </w:t>
      </w:r>
      <w:r w:rsidRPr="005379B4">
        <w:rPr>
          <w:i/>
          <w:iCs/>
        </w:rPr>
        <w:t>Birth transitions: Pathophysiology, the onset of consciousness and possible implications for neonatal maladjustment syndrome in the foal</w:t>
      </w:r>
      <w:r w:rsidRPr="005379B4">
        <w:t xml:space="preserve">. </w:t>
      </w:r>
      <w:r w:rsidRPr="005379B4">
        <w:rPr>
          <w:i/>
          <w:iCs/>
        </w:rPr>
        <w:t>Equine Veterinary Journal, 45</w:t>
      </w:r>
      <w:r w:rsidRPr="005379B4">
        <w:t>(6), 656–660.</w:t>
      </w:r>
    </w:p>
    <w:p w14:paraId="537654B6" w14:textId="77777777" w:rsidR="005379B4" w:rsidRPr="005379B4" w:rsidRDefault="005379B4" w:rsidP="005379B4">
      <w:pPr>
        <w:jc w:val="both"/>
      </w:pPr>
      <w:r w:rsidRPr="005379B4">
        <w:t xml:space="preserve">Haggett, E. (2018, October 1). </w:t>
      </w:r>
      <w:r w:rsidRPr="005379B4">
        <w:rPr>
          <w:i/>
          <w:iCs/>
        </w:rPr>
        <w:t>Neonatal maladjustment syndrome in foals</w:t>
      </w:r>
      <w:r w:rsidRPr="005379B4">
        <w:t xml:space="preserve">. </w:t>
      </w:r>
      <w:r w:rsidRPr="005379B4">
        <w:rPr>
          <w:i/>
          <w:iCs/>
        </w:rPr>
        <w:t>Vet Times</w:t>
      </w:r>
      <w:r w:rsidRPr="005379B4">
        <w:t>.</w:t>
      </w:r>
    </w:p>
    <w:p w14:paraId="7D9CB749" w14:textId="77777777" w:rsidR="005379B4" w:rsidRPr="005379B4" w:rsidRDefault="005379B4" w:rsidP="005379B4">
      <w:pPr>
        <w:jc w:val="both"/>
      </w:pPr>
      <w:r w:rsidRPr="005379B4">
        <w:t xml:space="preserve">Madigan, J. E., Haggett, E. F., Pickles, K. J., et al. (2012). </w:t>
      </w:r>
      <w:r w:rsidRPr="005379B4">
        <w:rPr>
          <w:i/>
          <w:iCs/>
        </w:rPr>
        <w:t>Allopregnanolone infusion induced neurobehavioural alterations in a neonatal foal: Is this a clue to the pathogenesis of neonatal maladjustment syndrome? Equine Veterinary Journal, 44</w:t>
      </w:r>
      <w:r w:rsidRPr="005379B4">
        <w:t>(Suppl. 41), 109–112.</w:t>
      </w:r>
    </w:p>
    <w:p w14:paraId="00305E50" w14:textId="77777777" w:rsidR="005379B4" w:rsidRPr="005379B4" w:rsidRDefault="005379B4" w:rsidP="005379B4">
      <w:pPr>
        <w:jc w:val="both"/>
      </w:pPr>
      <w:r w:rsidRPr="005379B4">
        <w:t>Oke, S. (2022, March 20).</w:t>
      </w:r>
      <w:r w:rsidRPr="005379B4">
        <w:rPr>
          <w:i/>
          <w:iCs/>
        </w:rPr>
        <w:t xml:space="preserve"> Saving the somnolent foal.</w:t>
      </w:r>
      <w:r w:rsidRPr="005379B4">
        <w:t xml:space="preserve"> </w:t>
      </w:r>
      <w:r w:rsidRPr="005379B4">
        <w:rPr>
          <w:i/>
          <w:iCs/>
        </w:rPr>
        <w:t>The Horse</w:t>
      </w:r>
      <w:r w:rsidRPr="005379B4">
        <w:t>.</w:t>
      </w:r>
    </w:p>
    <w:p w14:paraId="5A9EE107" w14:textId="77777777" w:rsidR="005379B4" w:rsidRPr="005379B4" w:rsidRDefault="005379B4" w:rsidP="005379B4">
      <w:pPr>
        <w:jc w:val="both"/>
      </w:pPr>
      <w:r w:rsidRPr="005379B4">
        <w:t xml:space="preserve">Oke, S. (2022, November 17). </w:t>
      </w:r>
      <w:r w:rsidRPr="005379B4">
        <w:rPr>
          <w:i/>
          <w:iCs/>
        </w:rPr>
        <w:t>Time to thrive: Neonatal health concerns</w:t>
      </w:r>
      <w:r w:rsidRPr="005379B4">
        <w:t xml:space="preserve">. </w:t>
      </w:r>
      <w:r w:rsidRPr="005379B4">
        <w:rPr>
          <w:i/>
          <w:iCs/>
        </w:rPr>
        <w:t>The Horse</w:t>
      </w:r>
      <w:r w:rsidRPr="005379B4">
        <w:t>.</w:t>
      </w:r>
    </w:p>
    <w:p w14:paraId="1C2BABB4" w14:textId="77777777" w:rsidR="005379B4" w:rsidRPr="005379B4" w:rsidRDefault="005379B4" w:rsidP="005379B4">
      <w:pPr>
        <w:jc w:val="both"/>
      </w:pPr>
      <w:r w:rsidRPr="005379B4">
        <w:lastRenderedPageBreak/>
        <w:t>Paradis, M. R. (2006).</w:t>
      </w:r>
      <w:r w:rsidRPr="005379B4">
        <w:rPr>
          <w:i/>
          <w:iCs/>
        </w:rPr>
        <w:t xml:space="preserve"> Neurologic dysfunctions. </w:t>
      </w:r>
      <w:r w:rsidRPr="005379B4">
        <w:t xml:space="preserve">In M. R. Paradis (Ed.), </w:t>
      </w:r>
      <w:r w:rsidRPr="005379B4">
        <w:rPr>
          <w:i/>
          <w:iCs/>
        </w:rPr>
        <w:t>Equine neonatal medicine</w:t>
      </w:r>
      <w:r w:rsidRPr="005379B4">
        <w:t xml:space="preserve"> (pp. 179–190). Elsevier Saunders.</w:t>
      </w:r>
    </w:p>
    <w:p w14:paraId="5266D84E" w14:textId="77777777" w:rsidR="005379B4" w:rsidRPr="005379B4" w:rsidRDefault="005379B4" w:rsidP="005379B4">
      <w:pPr>
        <w:jc w:val="both"/>
      </w:pPr>
      <w:r w:rsidRPr="005379B4">
        <w:t xml:space="preserve">Southwood, L. L. &amp; Wilkins, P. A. (Eds.). (2014). </w:t>
      </w:r>
      <w:r w:rsidRPr="005379B4">
        <w:rPr>
          <w:i/>
          <w:iCs/>
        </w:rPr>
        <w:t>Equine emergency and critical care medicine</w:t>
      </w:r>
      <w:r w:rsidRPr="005379B4">
        <w:t>. CRC Press.</w:t>
      </w:r>
    </w:p>
    <w:p w14:paraId="4E84FFDA" w14:textId="77777777" w:rsidR="005379B4" w:rsidRDefault="005379B4" w:rsidP="005379B4">
      <w:pPr>
        <w:jc w:val="both"/>
      </w:pPr>
    </w:p>
    <w:p w14:paraId="157816CD" w14:textId="77777777" w:rsidR="005379B4" w:rsidRDefault="005379B4" w:rsidP="005379B4">
      <w:pPr>
        <w:jc w:val="both"/>
      </w:pPr>
    </w:p>
    <w:p w14:paraId="5DA1CFEF" w14:textId="77777777" w:rsidR="005379B4" w:rsidRDefault="005379B4" w:rsidP="005379B4">
      <w:pPr>
        <w:jc w:val="both"/>
      </w:pPr>
    </w:p>
    <w:p w14:paraId="2183E232" w14:textId="77777777" w:rsidR="005379B4" w:rsidRDefault="005379B4" w:rsidP="005379B4">
      <w:pPr>
        <w:jc w:val="both"/>
      </w:pPr>
    </w:p>
    <w:p w14:paraId="41FE8C83" w14:textId="77777777" w:rsidR="005379B4" w:rsidRDefault="005379B4" w:rsidP="005379B4">
      <w:pPr>
        <w:jc w:val="both"/>
      </w:pPr>
    </w:p>
    <w:p w14:paraId="789ADD31" w14:textId="77777777" w:rsidR="005379B4" w:rsidRDefault="005379B4" w:rsidP="005379B4">
      <w:pPr>
        <w:jc w:val="both"/>
      </w:pPr>
    </w:p>
    <w:p w14:paraId="60A610A8" w14:textId="77777777" w:rsidR="005379B4" w:rsidRDefault="005379B4" w:rsidP="005379B4">
      <w:pPr>
        <w:jc w:val="both"/>
      </w:pPr>
    </w:p>
    <w:p w14:paraId="0C7BF380" w14:textId="77777777" w:rsidR="005379B4" w:rsidRDefault="005379B4" w:rsidP="005379B4">
      <w:pPr>
        <w:jc w:val="both"/>
      </w:pPr>
    </w:p>
    <w:p w14:paraId="506C9365" w14:textId="77777777" w:rsidR="005379B4" w:rsidRDefault="005379B4" w:rsidP="005379B4">
      <w:pPr>
        <w:jc w:val="both"/>
      </w:pPr>
    </w:p>
    <w:p w14:paraId="156ED61C" w14:textId="77777777" w:rsidR="005379B4" w:rsidRDefault="005379B4" w:rsidP="005379B4">
      <w:pPr>
        <w:jc w:val="both"/>
      </w:pPr>
    </w:p>
    <w:p w14:paraId="442E2A45" w14:textId="77777777" w:rsidR="005379B4" w:rsidRDefault="005379B4" w:rsidP="005379B4">
      <w:pPr>
        <w:jc w:val="both"/>
      </w:pPr>
    </w:p>
    <w:p w14:paraId="5758FBD0" w14:textId="77777777" w:rsidR="005379B4" w:rsidRDefault="005379B4" w:rsidP="005379B4">
      <w:pPr>
        <w:jc w:val="both"/>
      </w:pPr>
    </w:p>
    <w:p w14:paraId="112EC0A0" w14:textId="77777777" w:rsidR="005379B4" w:rsidRDefault="005379B4" w:rsidP="005379B4">
      <w:pPr>
        <w:jc w:val="both"/>
      </w:pPr>
    </w:p>
    <w:p w14:paraId="28D912CB" w14:textId="77777777" w:rsidR="005379B4" w:rsidRDefault="005379B4" w:rsidP="005379B4">
      <w:pPr>
        <w:jc w:val="both"/>
      </w:pPr>
    </w:p>
    <w:p w14:paraId="275CCFFA" w14:textId="77777777" w:rsidR="005379B4" w:rsidRDefault="005379B4" w:rsidP="005379B4">
      <w:pPr>
        <w:jc w:val="both"/>
      </w:pPr>
    </w:p>
    <w:p w14:paraId="51B9BF2B" w14:textId="77777777" w:rsidR="005379B4" w:rsidRDefault="005379B4" w:rsidP="005379B4">
      <w:pPr>
        <w:jc w:val="both"/>
      </w:pPr>
    </w:p>
    <w:p w14:paraId="1F5E5109" w14:textId="77777777" w:rsidR="005379B4" w:rsidRDefault="005379B4" w:rsidP="005379B4">
      <w:pPr>
        <w:jc w:val="both"/>
      </w:pPr>
    </w:p>
    <w:p w14:paraId="3BB4AEB5" w14:textId="77777777" w:rsidR="005379B4" w:rsidRDefault="005379B4" w:rsidP="005379B4">
      <w:pPr>
        <w:jc w:val="both"/>
      </w:pPr>
    </w:p>
    <w:p w14:paraId="7F02F97F" w14:textId="77777777" w:rsidR="005379B4" w:rsidRDefault="005379B4" w:rsidP="005379B4">
      <w:pPr>
        <w:jc w:val="both"/>
      </w:pPr>
    </w:p>
    <w:p w14:paraId="6A5935DE" w14:textId="77777777" w:rsidR="005379B4" w:rsidRDefault="005379B4" w:rsidP="005379B4">
      <w:pPr>
        <w:jc w:val="both"/>
      </w:pPr>
    </w:p>
    <w:p w14:paraId="3B4C26E7" w14:textId="77777777" w:rsidR="005379B4" w:rsidRDefault="005379B4" w:rsidP="005379B4">
      <w:pPr>
        <w:jc w:val="both"/>
      </w:pPr>
    </w:p>
    <w:p w14:paraId="2440DF50" w14:textId="77777777" w:rsidR="005379B4" w:rsidRDefault="005379B4" w:rsidP="005379B4">
      <w:pPr>
        <w:jc w:val="both"/>
      </w:pPr>
    </w:p>
    <w:p w14:paraId="59D70649" w14:textId="77777777" w:rsidR="005379B4" w:rsidRDefault="005379B4" w:rsidP="005379B4">
      <w:pPr>
        <w:jc w:val="both"/>
      </w:pPr>
    </w:p>
    <w:p w14:paraId="4132CE1B" w14:textId="77777777" w:rsidR="005379B4" w:rsidRDefault="005379B4" w:rsidP="005379B4">
      <w:pPr>
        <w:jc w:val="both"/>
      </w:pPr>
    </w:p>
    <w:p w14:paraId="58C78F63" w14:textId="77777777" w:rsidR="005379B4" w:rsidRDefault="005379B4" w:rsidP="005379B4">
      <w:pPr>
        <w:jc w:val="both"/>
      </w:pPr>
    </w:p>
    <w:p w14:paraId="4CA4316B" w14:textId="77777777" w:rsidR="005379B4" w:rsidRDefault="005379B4" w:rsidP="005379B4">
      <w:pPr>
        <w:jc w:val="both"/>
      </w:pPr>
    </w:p>
    <w:p w14:paraId="332420F6" w14:textId="77777777" w:rsidR="005379B4" w:rsidRPr="005379B4" w:rsidRDefault="005379B4" w:rsidP="005379B4">
      <w:pPr>
        <w:jc w:val="both"/>
      </w:pPr>
    </w:p>
    <w:p w14:paraId="5F582E07" w14:textId="77777777" w:rsidR="005379B4" w:rsidRPr="005379B4" w:rsidRDefault="005379B4" w:rsidP="005379B4">
      <w:pPr>
        <w:jc w:val="both"/>
      </w:pPr>
      <w:r w:rsidRPr="005379B4">
        <w:rPr>
          <w:b/>
          <w:bCs/>
        </w:rPr>
        <w:lastRenderedPageBreak/>
        <w:t>Exercise-Induced Pulmonary Haemorrhage in Horses (EIPH): When the lungs give in to speed</w:t>
      </w:r>
    </w:p>
    <w:p w14:paraId="54EAA898" w14:textId="77777777" w:rsidR="005379B4" w:rsidRPr="005379B4" w:rsidRDefault="005379B4" w:rsidP="005379B4">
      <w:pPr>
        <w:jc w:val="both"/>
      </w:pPr>
      <w:r w:rsidRPr="005379B4">
        <w:t>Lourou Emmanouela</w:t>
      </w:r>
      <w:r w:rsidRPr="005379B4">
        <w:rPr>
          <w:vertAlign w:val="superscript"/>
        </w:rPr>
        <w:t>1</w:t>
      </w:r>
      <w:r w:rsidRPr="005379B4">
        <w:t>,</w:t>
      </w:r>
      <w:r w:rsidRPr="005379B4">
        <w:rPr>
          <w:vertAlign w:val="superscript"/>
        </w:rPr>
        <w:t xml:space="preserve"> </w:t>
      </w:r>
      <w:r w:rsidRPr="005379B4">
        <w:t>Diakakis Nikolaos</w:t>
      </w:r>
      <w:r w:rsidRPr="005379B4">
        <w:rPr>
          <w:vertAlign w:val="superscript"/>
        </w:rPr>
        <w:t>2</w:t>
      </w:r>
    </w:p>
    <w:p w14:paraId="4952B831" w14:textId="77777777" w:rsidR="005379B4" w:rsidRPr="005379B4" w:rsidRDefault="005379B4">
      <w:pPr>
        <w:numPr>
          <w:ilvl w:val="0"/>
          <w:numId w:val="95"/>
        </w:numPr>
        <w:jc w:val="both"/>
      </w:pPr>
      <w:r w:rsidRPr="005379B4">
        <w:t>Undergraduate Student, School of Veterinary Medicine, Faculty of Health Sciences, Aristotle University of Thessaloniki </w:t>
      </w:r>
    </w:p>
    <w:p w14:paraId="05711C00" w14:textId="77777777" w:rsidR="005379B4" w:rsidRDefault="005379B4">
      <w:pPr>
        <w:numPr>
          <w:ilvl w:val="0"/>
          <w:numId w:val="95"/>
        </w:numPr>
        <w:jc w:val="both"/>
      </w:pPr>
      <w:r w:rsidRPr="005379B4">
        <w:t>Professor of Equine Surgery, School of Veterinary Medicine, Faculty of Health Sciences, Aristotle University of Thessaloniki</w:t>
      </w:r>
    </w:p>
    <w:p w14:paraId="0F48A992" w14:textId="77777777" w:rsidR="005379B4" w:rsidRPr="005379B4" w:rsidRDefault="005379B4" w:rsidP="005379B4">
      <w:pPr>
        <w:ind w:left="720"/>
        <w:jc w:val="both"/>
      </w:pPr>
    </w:p>
    <w:p w14:paraId="5F4BEA90" w14:textId="77777777" w:rsidR="005379B4" w:rsidRPr="005379B4" w:rsidRDefault="005379B4" w:rsidP="005379B4">
      <w:pPr>
        <w:jc w:val="both"/>
      </w:pPr>
      <w:r w:rsidRPr="005379B4">
        <w:rPr>
          <w:b/>
          <w:bCs/>
        </w:rPr>
        <w:t>Abstract</w:t>
      </w:r>
    </w:p>
    <w:p w14:paraId="0B1F4D7C" w14:textId="52802563" w:rsidR="005379B4" w:rsidRDefault="005379B4" w:rsidP="005379B4">
      <w:pPr>
        <w:jc w:val="both"/>
      </w:pPr>
      <w:r w:rsidRPr="005379B4">
        <w:t>Exercise-Induced Pulmonary Hemorrhage (EIPH) in the horse is a multifactorial clinical syndrome that manifests during intense exercise. It usually occurs in equine athletes due to increased transmural pressures and rupture of the blood–gas barrier. It is characterized by the presence of blood during tracheobronchoscopy and/or the detection of erythrocytes or hemosiderin-laden macrophages in bronchoalveolar lavage fluid. The asymptomatic form of the disease is of great importance, as it seems that this syndrome affects 70-90% of equine athletes. Even though its etiology and pathogenesis have not been completely clarified, it is believed that it comes from a combination of alveolar wall damage, arterial hypertension and increased airway pressure. Even though etiologic therapy is not possible, diuretics (furosemide), nasal strips, hemostatic drugs (aminocaproic acid, conjugated oestrogens), vasodilators (sildenafil), vasoprotective (flavanoids) and antihypertensive (enalapril) drugs are used for the prevention and management of the syndrome. Furthermore, administration of concentrated equine serum, NSAID (meloxicam), antibiotics and dietary supplements (omega-3 fatty acids) and also, a longer race interval contribute to the management of the disease. This oral announcement stems from a literature review.</w:t>
      </w:r>
    </w:p>
    <w:p w14:paraId="0C8CD73C" w14:textId="77777777" w:rsidR="005379B4" w:rsidRPr="005379B4" w:rsidRDefault="005379B4" w:rsidP="005379B4">
      <w:pPr>
        <w:jc w:val="both"/>
      </w:pPr>
    </w:p>
    <w:p w14:paraId="4AEC4711" w14:textId="77777777" w:rsidR="005379B4" w:rsidRPr="005379B4" w:rsidRDefault="005379B4" w:rsidP="005379B4">
      <w:pPr>
        <w:jc w:val="both"/>
      </w:pPr>
      <w:r w:rsidRPr="005379B4">
        <w:rPr>
          <w:b/>
          <w:bCs/>
        </w:rPr>
        <w:t>Bibliography</w:t>
      </w:r>
    </w:p>
    <w:p w14:paraId="770888FE" w14:textId="1229E24E" w:rsidR="005379B4" w:rsidRPr="005379B4" w:rsidRDefault="005379B4" w:rsidP="005379B4">
      <w:pPr>
        <w:jc w:val="both"/>
      </w:pPr>
      <w:r w:rsidRPr="005379B4">
        <w:t>Birks, E. K., et al. (2002). E</w:t>
      </w:r>
      <w:r w:rsidRPr="005379B4">
        <w:rPr>
          <w:i/>
          <w:iCs/>
        </w:rPr>
        <w:t>IPH: Postrace endoscopic evaluation of Standardbreds and Thoroughbreds</w:t>
      </w:r>
      <w:r w:rsidRPr="005379B4">
        <w:t xml:space="preserve">. </w:t>
      </w:r>
      <w:r w:rsidRPr="005379B4">
        <w:rPr>
          <w:i/>
          <w:iCs/>
        </w:rPr>
        <w:t>Equine Veterinary Education</w:t>
      </w:r>
      <w:r w:rsidRPr="005379B4">
        <w:t>.</w:t>
      </w:r>
    </w:p>
    <w:p w14:paraId="47D0F88D" w14:textId="6BDB8514" w:rsidR="005379B4" w:rsidRPr="005379B4" w:rsidRDefault="005379B4" w:rsidP="005379B4">
      <w:pPr>
        <w:jc w:val="both"/>
      </w:pPr>
      <w:r w:rsidRPr="005379B4">
        <w:t xml:space="preserve">Chiara, B., et al. (2024). </w:t>
      </w:r>
      <w:r w:rsidRPr="005379B4">
        <w:rPr>
          <w:i/>
          <w:iCs/>
        </w:rPr>
        <w:t>Comparison between tracheal wash and bronchoalveolar lavage cytology for the assessment of exercise-induced pulmonary hemorrhage (EIPH) in racehorses.</w:t>
      </w:r>
      <w:r w:rsidRPr="005379B4">
        <w:t xml:space="preserve"> </w:t>
      </w:r>
      <w:r w:rsidRPr="005379B4">
        <w:rPr>
          <w:i/>
          <w:iCs/>
        </w:rPr>
        <w:t>Animals, 14</w:t>
      </w:r>
      <w:r w:rsidRPr="005379B4">
        <w:t>, Article 3243.</w:t>
      </w:r>
    </w:p>
    <w:p w14:paraId="354CAD8B" w14:textId="5F8D39B0" w:rsidR="005379B4" w:rsidRPr="005379B4" w:rsidRDefault="005379B4" w:rsidP="005379B4">
      <w:pPr>
        <w:jc w:val="both"/>
      </w:pPr>
      <w:r w:rsidRPr="005379B4">
        <w:t xml:space="preserve">Couëtil, L. L., et al. (2015). </w:t>
      </w:r>
      <w:r w:rsidRPr="005379B4">
        <w:rPr>
          <w:i/>
          <w:iCs/>
        </w:rPr>
        <w:t>Exercise-induced pulmonary hemorrhage in horses: Current concepts.</w:t>
      </w:r>
      <w:r w:rsidRPr="005379B4">
        <w:t xml:space="preserve"> </w:t>
      </w:r>
      <w:r w:rsidRPr="005379B4">
        <w:rPr>
          <w:i/>
          <w:iCs/>
        </w:rPr>
        <w:t>Journal of the American Veterinary Medical Association, 255</w:t>
      </w:r>
      <w:r w:rsidRPr="005379B4">
        <w:t>(6), 710–721.</w:t>
      </w:r>
    </w:p>
    <w:p w14:paraId="7D9B2579" w14:textId="47EB04A8" w:rsidR="005379B4" w:rsidRPr="005379B4" w:rsidRDefault="005379B4" w:rsidP="005379B4">
      <w:pPr>
        <w:jc w:val="both"/>
      </w:pPr>
      <w:r w:rsidRPr="005379B4">
        <w:t xml:space="preserve">Hinchcliff, K. W., et al. (2015). </w:t>
      </w:r>
      <w:r w:rsidRPr="005379B4">
        <w:rPr>
          <w:i/>
          <w:iCs/>
        </w:rPr>
        <w:t>Exercise-induced pulmonary hemorrhage in horses. Journal of Veterinary Internal Medicine, 29</w:t>
      </w:r>
      <w:r w:rsidRPr="005379B4">
        <w:t>(3), 743–758.</w:t>
      </w:r>
    </w:p>
    <w:p w14:paraId="564D97B6" w14:textId="1E1E7434" w:rsidR="005379B4" w:rsidRPr="005379B4" w:rsidRDefault="005379B4" w:rsidP="005379B4">
      <w:pPr>
        <w:jc w:val="both"/>
      </w:pPr>
      <w:r w:rsidRPr="005379B4">
        <w:t xml:space="preserve">Howard, H. E., et al. (2007). </w:t>
      </w:r>
      <w:r w:rsidRPr="005379B4">
        <w:rPr>
          <w:i/>
          <w:iCs/>
        </w:rPr>
        <w:t>Review of alternative therapies for EIPH.</w:t>
      </w:r>
    </w:p>
    <w:p w14:paraId="2171FE6E" w14:textId="115CBA32" w:rsidR="005379B4" w:rsidRPr="005379B4" w:rsidRDefault="005379B4" w:rsidP="005379B4">
      <w:pPr>
        <w:jc w:val="both"/>
      </w:pPr>
      <w:r w:rsidRPr="005379B4">
        <w:t xml:space="preserve">Kelly, M. (2015). </w:t>
      </w:r>
      <w:r w:rsidRPr="005379B4">
        <w:rPr>
          <w:i/>
          <w:iCs/>
        </w:rPr>
        <w:t>Studies on serial resting and dynamic endoscopic examinations of Thoroughbred yearlings (</w:t>
      </w:r>
      <w:r w:rsidRPr="005379B4">
        <w:t>PhD Thesis). University of Glasgow.</w:t>
      </w:r>
    </w:p>
    <w:p w14:paraId="37535460" w14:textId="2D5FD8B2" w:rsidR="005379B4" w:rsidRPr="005379B4" w:rsidRDefault="005379B4" w:rsidP="005379B4">
      <w:pPr>
        <w:jc w:val="both"/>
      </w:pPr>
      <w:r w:rsidRPr="005379B4">
        <w:lastRenderedPageBreak/>
        <w:t xml:space="preserve">Morán, G., &amp; Folch, H. (2013). </w:t>
      </w:r>
      <w:r w:rsidRPr="005379B4">
        <w:rPr>
          <w:i/>
          <w:iCs/>
        </w:rPr>
        <w:t>Exercise-induced pulmonary hemorrhage in horses. Acta Veterinaria Brno, 82</w:t>
      </w:r>
      <w:r w:rsidRPr="005379B4">
        <w:t>(3), 309–316.</w:t>
      </w:r>
    </w:p>
    <w:p w14:paraId="2179F1BD" w14:textId="5108F7E9" w:rsidR="005379B4" w:rsidRPr="005379B4" w:rsidRDefault="005379B4" w:rsidP="005379B4">
      <w:pPr>
        <w:jc w:val="both"/>
      </w:pPr>
      <w:r w:rsidRPr="005379B4">
        <w:t xml:space="preserve">Poole, D. C., et al. (2007). </w:t>
      </w:r>
      <w:r w:rsidRPr="005379B4">
        <w:rPr>
          <w:i/>
          <w:iCs/>
        </w:rPr>
        <w:t>Exercise-induced pulmonary haemorrhage (EIPH): Mechanistic bases and therapeutic interventions.</w:t>
      </w:r>
      <w:r w:rsidRPr="005379B4">
        <w:t xml:space="preserve"> Equine Veterinary Journal, 39, 292–293.</w:t>
      </w:r>
    </w:p>
    <w:p w14:paraId="326B0AA4" w14:textId="601B77EA" w:rsidR="005379B4" w:rsidRPr="005379B4" w:rsidRDefault="005379B4" w:rsidP="005379B4">
      <w:pPr>
        <w:jc w:val="both"/>
      </w:pPr>
      <w:r w:rsidRPr="005379B4">
        <w:t xml:space="preserve">Rocchigiani, G. (2022). </w:t>
      </w:r>
      <w:r w:rsidRPr="005379B4">
        <w:rPr>
          <w:i/>
          <w:iCs/>
        </w:rPr>
        <w:t>Exercise induced pulmonary haemorrhage (EIPH) and exercise associated fatal pulmonary haemorrhage (EAFPH) in racing horses: Two different diseases?</w:t>
      </w:r>
    </w:p>
    <w:p w14:paraId="1747D972" w14:textId="18D436C9" w:rsidR="005379B4" w:rsidRPr="005379B4" w:rsidRDefault="005379B4" w:rsidP="005379B4">
      <w:pPr>
        <w:jc w:val="both"/>
      </w:pPr>
      <w:r w:rsidRPr="005379B4">
        <w:t xml:space="preserve">Tammi, S. (2009). </w:t>
      </w:r>
      <w:r w:rsidRPr="005379B4">
        <w:rPr>
          <w:i/>
          <w:iCs/>
        </w:rPr>
        <w:t>The effectiveness of immunotherapy in treating exercise-induced pulmonary hemorrhage.</w:t>
      </w:r>
      <w:r w:rsidRPr="005379B4">
        <w:t xml:space="preserve"> </w:t>
      </w:r>
      <w:r w:rsidRPr="005379B4">
        <w:rPr>
          <w:i/>
          <w:iCs/>
        </w:rPr>
        <w:t>Journal of Equine Veterinary Science</w:t>
      </w:r>
      <w:r w:rsidRPr="005379B4">
        <w:t>.</w:t>
      </w:r>
    </w:p>
    <w:p w14:paraId="19914E0A" w14:textId="20466A47" w:rsidR="005379B4" w:rsidRPr="005379B4" w:rsidRDefault="005379B4" w:rsidP="005379B4">
      <w:pPr>
        <w:jc w:val="both"/>
      </w:pPr>
      <w:r w:rsidRPr="005379B4">
        <w:t>West, J. B., et al. (2001).</w:t>
      </w:r>
      <w:r w:rsidRPr="005379B4">
        <w:rPr>
          <w:i/>
          <w:iCs/>
        </w:rPr>
        <w:t xml:space="preserve"> Stress failure of pulmonary capillaries in racehorses with exercise-induced pulmonary hemorrhage. Journal of Applied Physiology, 91</w:t>
      </w:r>
      <w:r w:rsidRPr="005379B4">
        <w:t>(3), 1396–1404.</w:t>
      </w:r>
    </w:p>
    <w:p w14:paraId="766B8C1A" w14:textId="77777777" w:rsidR="005379B4" w:rsidRPr="005379B4" w:rsidRDefault="005379B4" w:rsidP="005379B4">
      <w:pPr>
        <w:jc w:val="both"/>
      </w:pPr>
      <w:r w:rsidRPr="005379B4">
        <w:t xml:space="preserve">Wilson, D. A. (2012). </w:t>
      </w:r>
      <w:r w:rsidRPr="005379B4">
        <w:rPr>
          <w:i/>
          <w:iCs/>
        </w:rPr>
        <w:t>Clinical veterinary advisor: The horse</w:t>
      </w:r>
      <w:r w:rsidRPr="005379B4">
        <w:t>. St. Louis, MO: Elsevier.</w:t>
      </w:r>
    </w:p>
    <w:p w14:paraId="16EAC3AC" w14:textId="77777777" w:rsidR="005379B4" w:rsidRDefault="005379B4" w:rsidP="005379B4">
      <w:pPr>
        <w:jc w:val="both"/>
      </w:pPr>
      <w:r w:rsidRPr="005379B4">
        <w:br/>
      </w:r>
      <w:r w:rsidRPr="005379B4">
        <w:br/>
      </w:r>
      <w:r w:rsidRPr="005379B4">
        <w:br/>
      </w:r>
      <w:r w:rsidRPr="005379B4">
        <w:br/>
      </w:r>
      <w:r w:rsidRPr="005379B4">
        <w:br/>
      </w:r>
      <w:r w:rsidRPr="005379B4">
        <w:br/>
      </w:r>
      <w:r w:rsidRPr="005379B4">
        <w:br/>
      </w:r>
      <w:r w:rsidRPr="005379B4">
        <w:br/>
      </w:r>
      <w:r w:rsidRPr="005379B4">
        <w:br/>
      </w:r>
      <w:r w:rsidRPr="005379B4">
        <w:br/>
      </w:r>
      <w:r w:rsidRPr="005379B4">
        <w:br/>
      </w:r>
      <w:r w:rsidRPr="005379B4">
        <w:br/>
      </w:r>
      <w:r w:rsidRPr="005379B4">
        <w:br/>
      </w:r>
      <w:r w:rsidRPr="005379B4">
        <w:br/>
      </w:r>
      <w:r w:rsidRPr="005379B4">
        <w:br/>
      </w:r>
    </w:p>
    <w:p w14:paraId="571D4EAA" w14:textId="77777777" w:rsidR="005379B4" w:rsidRDefault="005379B4" w:rsidP="005379B4">
      <w:pPr>
        <w:jc w:val="both"/>
      </w:pPr>
    </w:p>
    <w:p w14:paraId="62536BC1" w14:textId="77777777" w:rsidR="005379B4" w:rsidRDefault="005379B4" w:rsidP="005379B4">
      <w:pPr>
        <w:jc w:val="both"/>
      </w:pPr>
    </w:p>
    <w:p w14:paraId="4C5BE7D4" w14:textId="77777777" w:rsidR="005379B4" w:rsidRDefault="005379B4" w:rsidP="005379B4">
      <w:pPr>
        <w:jc w:val="both"/>
      </w:pPr>
    </w:p>
    <w:p w14:paraId="404B2B13" w14:textId="77777777" w:rsidR="005379B4" w:rsidRDefault="005379B4" w:rsidP="005379B4">
      <w:pPr>
        <w:jc w:val="both"/>
      </w:pPr>
    </w:p>
    <w:p w14:paraId="5512206A" w14:textId="77777777" w:rsidR="005379B4" w:rsidRDefault="005379B4" w:rsidP="005379B4">
      <w:pPr>
        <w:jc w:val="both"/>
      </w:pPr>
    </w:p>
    <w:p w14:paraId="490DA8CF" w14:textId="77777777" w:rsidR="005379B4" w:rsidRDefault="005379B4" w:rsidP="005379B4">
      <w:pPr>
        <w:jc w:val="both"/>
      </w:pPr>
    </w:p>
    <w:p w14:paraId="467A3510" w14:textId="77777777" w:rsidR="005379B4" w:rsidRDefault="005379B4" w:rsidP="005379B4">
      <w:pPr>
        <w:jc w:val="both"/>
      </w:pPr>
    </w:p>
    <w:p w14:paraId="4CF61A26" w14:textId="77777777" w:rsidR="005379B4" w:rsidRDefault="005379B4" w:rsidP="005379B4">
      <w:pPr>
        <w:jc w:val="both"/>
      </w:pPr>
    </w:p>
    <w:p w14:paraId="38C4D406" w14:textId="77777777" w:rsidR="005379B4" w:rsidRDefault="005379B4" w:rsidP="005379B4">
      <w:pPr>
        <w:jc w:val="both"/>
      </w:pPr>
    </w:p>
    <w:p w14:paraId="08220AEC" w14:textId="77777777" w:rsidR="005379B4" w:rsidRDefault="005379B4" w:rsidP="005379B4">
      <w:pPr>
        <w:jc w:val="both"/>
      </w:pPr>
    </w:p>
    <w:p w14:paraId="1B0CCF2F" w14:textId="77777777" w:rsidR="005379B4" w:rsidRPr="005379B4" w:rsidRDefault="005379B4" w:rsidP="005379B4">
      <w:pPr>
        <w:jc w:val="both"/>
      </w:pPr>
    </w:p>
    <w:p w14:paraId="47616BA2" w14:textId="77777777" w:rsidR="005379B4" w:rsidRPr="005379B4" w:rsidRDefault="005379B4" w:rsidP="005379B4">
      <w:pPr>
        <w:jc w:val="both"/>
      </w:pPr>
      <w:r w:rsidRPr="005379B4">
        <w:rPr>
          <w:b/>
          <w:bCs/>
        </w:rPr>
        <w:lastRenderedPageBreak/>
        <w:t>Diagnostic and Therapeutic Approach to Εquine Cervical Pathology </w:t>
      </w:r>
    </w:p>
    <w:p w14:paraId="7F6B10FF" w14:textId="77777777" w:rsidR="005379B4" w:rsidRPr="005379B4" w:rsidRDefault="005379B4" w:rsidP="005379B4">
      <w:pPr>
        <w:jc w:val="both"/>
      </w:pPr>
      <w:r w:rsidRPr="005379B4">
        <w:t>Grigoriadou Eleutheria</w:t>
      </w:r>
      <w:r w:rsidRPr="005379B4">
        <w:rPr>
          <w:vertAlign w:val="superscript"/>
        </w:rPr>
        <w:t>1</w:t>
      </w:r>
      <w:r w:rsidRPr="005379B4">
        <w:t>, Diakakis Nikolaos</w:t>
      </w:r>
      <w:r w:rsidRPr="005379B4">
        <w:rPr>
          <w:vertAlign w:val="superscript"/>
        </w:rPr>
        <w:t>2</w:t>
      </w:r>
    </w:p>
    <w:p w14:paraId="4977FD19" w14:textId="77777777" w:rsidR="005379B4" w:rsidRPr="005379B4" w:rsidRDefault="005379B4">
      <w:pPr>
        <w:numPr>
          <w:ilvl w:val="0"/>
          <w:numId w:val="96"/>
        </w:numPr>
        <w:jc w:val="both"/>
      </w:pPr>
      <w:r w:rsidRPr="005379B4">
        <w:t>Undergraduate student, Department of Veterinary Medicine, School of Health Sciences, Aristotle University of Thessaloniki</w:t>
      </w:r>
    </w:p>
    <w:p w14:paraId="1B3588AB" w14:textId="77777777" w:rsidR="005379B4" w:rsidRPr="005379B4" w:rsidRDefault="005379B4">
      <w:pPr>
        <w:numPr>
          <w:ilvl w:val="0"/>
          <w:numId w:val="96"/>
        </w:numPr>
        <w:jc w:val="both"/>
      </w:pPr>
      <w:r w:rsidRPr="005379B4">
        <w:t>Professor of Equine Surgery, Department of Veterinary Medicine, School of Health Sciences, Aristotle University of Thessaloniki</w:t>
      </w:r>
    </w:p>
    <w:p w14:paraId="6FC8C0C4" w14:textId="77777777" w:rsidR="005379B4" w:rsidRPr="005379B4" w:rsidRDefault="005379B4" w:rsidP="005379B4">
      <w:pPr>
        <w:jc w:val="both"/>
      </w:pPr>
    </w:p>
    <w:p w14:paraId="03980556" w14:textId="77777777" w:rsidR="005379B4" w:rsidRPr="005379B4" w:rsidRDefault="005379B4" w:rsidP="005379B4">
      <w:pPr>
        <w:jc w:val="both"/>
      </w:pPr>
      <w:r w:rsidRPr="005379B4">
        <w:rPr>
          <w:b/>
          <w:bCs/>
        </w:rPr>
        <w:t>Abstract</w:t>
      </w:r>
    </w:p>
    <w:p w14:paraId="3D64BE4C" w14:textId="77777777" w:rsidR="005379B4" w:rsidRDefault="005379B4" w:rsidP="005379B4">
      <w:pPr>
        <w:jc w:val="both"/>
      </w:pPr>
      <w:r w:rsidRPr="005379B4">
        <w:t>Equine cervical pathology is presented with symptoms such as forelimb lameness, neck stiffness, ataxia and reduced performance. The diagnostic approach requires a complete orthopedic examination, including history, inspection, palpation, passive manipulation of the neck and limbs, and evaluation during movement. Diagnosis is based on imaging techniques such as radiography, ultrasonography, scintigraphy, computed tomography (CT), and myelography, which allow identification of osseous lesions as well as pathological conditions affecting soft tissues and joints. Treatment is mainly conservative and includes the administration of steroidal or non-steroidal anti-inflammatory drugs (NSAIDs) and muscle relaxants, along with rest and physiotherapy. Intra-articular corticosteroid injections are of particular importance, as they provide targeted treatment for pain originating from the cervical joints. When performed with accurate diagnosis and ultrasound guidance, they significantly improve the clinical condition and performance of the horse. Surgical intervention is reserved for selected cases only.</w:t>
      </w:r>
    </w:p>
    <w:p w14:paraId="0657EB74" w14:textId="5CE53330" w:rsidR="005379B4" w:rsidRPr="005379B4" w:rsidRDefault="005379B4" w:rsidP="005379B4">
      <w:pPr>
        <w:jc w:val="both"/>
      </w:pPr>
    </w:p>
    <w:p w14:paraId="75F07C1B" w14:textId="77777777" w:rsidR="005379B4" w:rsidRPr="005379B4" w:rsidRDefault="005379B4" w:rsidP="005379B4">
      <w:pPr>
        <w:jc w:val="both"/>
      </w:pPr>
      <w:r w:rsidRPr="005379B4">
        <w:rPr>
          <w:b/>
          <w:bCs/>
        </w:rPr>
        <w:t>Bibliography</w:t>
      </w:r>
    </w:p>
    <w:p w14:paraId="211C2026" w14:textId="5FE9A083" w:rsidR="005379B4" w:rsidRPr="005379B4" w:rsidRDefault="005379B4" w:rsidP="005379B4">
      <w:pPr>
        <w:jc w:val="both"/>
      </w:pPr>
      <w:r w:rsidRPr="005379B4">
        <w:t xml:space="preserve">Διακάκης, Ν. (2022). </w:t>
      </w:r>
      <w:r w:rsidRPr="005379B4">
        <w:rPr>
          <w:i/>
          <w:iCs/>
        </w:rPr>
        <w:t>Προβλήματα της σπονδυλικής στήλης του ίππου: Διάγνωση και αντιμετώπιση.</w:t>
      </w:r>
      <w:r w:rsidRPr="005379B4">
        <w:t xml:space="preserve"> </w:t>
      </w:r>
      <w:r w:rsidRPr="005379B4">
        <w:rPr>
          <w:i/>
          <w:iCs/>
        </w:rPr>
        <w:t>Πρακτικά 15ου Πανελλήνιου Κτηνιατρικού Συνεδρίου</w:t>
      </w:r>
      <w:r w:rsidRPr="005379B4">
        <w:t>.</w:t>
      </w:r>
    </w:p>
    <w:p w14:paraId="4EB00A5F" w14:textId="20BFA6E5" w:rsidR="005379B4" w:rsidRPr="005379B4" w:rsidRDefault="005379B4" w:rsidP="005379B4">
      <w:pPr>
        <w:jc w:val="both"/>
      </w:pPr>
      <w:r w:rsidRPr="005379B4">
        <w:t xml:space="preserve">Adams, S. B. (2024). </w:t>
      </w:r>
      <w:r w:rsidRPr="005379B4">
        <w:rPr>
          <w:i/>
          <w:iCs/>
        </w:rPr>
        <w:t>The lameness examination in horses.</w:t>
      </w:r>
      <w:r w:rsidRPr="005379B4">
        <w:t xml:space="preserve"> MSD Manual</w:t>
      </w:r>
    </w:p>
    <w:p w14:paraId="2E8189DC" w14:textId="737268D8" w:rsidR="005379B4" w:rsidRPr="005379B4" w:rsidRDefault="005379B4" w:rsidP="005379B4">
      <w:pPr>
        <w:jc w:val="both"/>
      </w:pPr>
      <w:r w:rsidRPr="005379B4">
        <w:t xml:space="preserve">Bergman, H. J. (n.d.). </w:t>
      </w:r>
      <w:r w:rsidRPr="005379B4">
        <w:rPr>
          <w:i/>
          <w:iCs/>
        </w:rPr>
        <w:t xml:space="preserve">Neck pathology: Diagnostic options. </w:t>
      </w:r>
      <w:r w:rsidRPr="005379B4">
        <w:t>The International Society of Equine Locomotor Pathology.</w:t>
      </w:r>
    </w:p>
    <w:p w14:paraId="240AAFE3" w14:textId="072D1584" w:rsidR="005379B4" w:rsidRPr="005379B4" w:rsidRDefault="005379B4" w:rsidP="005379B4">
      <w:pPr>
        <w:jc w:val="both"/>
      </w:pPr>
      <w:r w:rsidRPr="005379B4">
        <w:t xml:space="preserve">Cornille, J.-L. (2013). </w:t>
      </w:r>
      <w:r w:rsidRPr="005379B4">
        <w:rPr>
          <w:i/>
          <w:iCs/>
        </w:rPr>
        <w:t>Technical discussion with Leanne</w:t>
      </w:r>
      <w:r w:rsidRPr="005379B4">
        <w:t>. Science of Motion.</w:t>
      </w:r>
    </w:p>
    <w:p w14:paraId="2B8DA9DA" w14:textId="679F23EB" w:rsidR="005379B4" w:rsidRPr="005379B4" w:rsidRDefault="005379B4" w:rsidP="005379B4">
      <w:pPr>
        <w:jc w:val="both"/>
      </w:pPr>
      <w:r w:rsidRPr="005379B4">
        <w:t xml:space="preserve">Davidson, E. J., Stefanovski, D., Slack, J., &amp; Manzi, T. J. (2024). </w:t>
      </w:r>
      <w:r w:rsidRPr="005379B4">
        <w:rPr>
          <w:i/>
          <w:iCs/>
        </w:rPr>
        <w:t>Ultrasound-guided caudal cervical articular process arthrocentesis is accurate in live horses with and without arthropathy.</w:t>
      </w:r>
    </w:p>
    <w:p w14:paraId="1A8DD5DE" w14:textId="5F31ECB3" w:rsidR="005379B4" w:rsidRPr="005379B4" w:rsidRDefault="005379B4" w:rsidP="005379B4">
      <w:pPr>
        <w:jc w:val="both"/>
      </w:pPr>
      <w:r w:rsidRPr="005379B4">
        <w:t xml:space="preserve">Dixon, J. J. (2018). </w:t>
      </w:r>
      <w:r w:rsidRPr="005379B4">
        <w:rPr>
          <w:i/>
          <w:iCs/>
        </w:rPr>
        <w:t>Imaging the equine neck.</w:t>
      </w:r>
      <w:r w:rsidRPr="005379B4">
        <w:t xml:space="preserve"> </w:t>
      </w:r>
      <w:r w:rsidRPr="005379B4">
        <w:rPr>
          <w:i/>
          <w:iCs/>
        </w:rPr>
        <w:t>UK Vet Equine, 2</w:t>
      </w:r>
      <w:r w:rsidRPr="005379B4">
        <w:t>(2). </w:t>
      </w:r>
    </w:p>
    <w:p w14:paraId="4A8217A8" w14:textId="1952724F" w:rsidR="005379B4" w:rsidRPr="005379B4" w:rsidRDefault="005379B4" w:rsidP="005379B4">
      <w:pPr>
        <w:jc w:val="both"/>
      </w:pPr>
      <w:r w:rsidRPr="005379B4">
        <w:t xml:space="preserve">Fletcher, O., Dixon, J., &amp; Anderson, J. (2025). </w:t>
      </w:r>
      <w:r w:rsidRPr="005379B4">
        <w:rPr>
          <w:i/>
          <w:iCs/>
        </w:rPr>
        <w:t>Interpreting cervical radiographs in horses</w:t>
      </w:r>
      <w:r w:rsidRPr="005379B4">
        <w:t xml:space="preserve">. </w:t>
      </w:r>
      <w:r w:rsidRPr="005379B4">
        <w:rPr>
          <w:i/>
          <w:iCs/>
        </w:rPr>
        <w:t>In Practice</w:t>
      </w:r>
      <w:r w:rsidRPr="005379B4">
        <w:t>. </w:t>
      </w:r>
    </w:p>
    <w:p w14:paraId="503282FF" w14:textId="0AF80E07" w:rsidR="005379B4" w:rsidRPr="005379B4" w:rsidRDefault="005379B4" w:rsidP="005379B4">
      <w:pPr>
        <w:jc w:val="both"/>
      </w:pPr>
      <w:r w:rsidRPr="005379B4">
        <w:t xml:space="preserve">Henson, F. M. D. (Ed.). (2018). </w:t>
      </w:r>
      <w:r w:rsidRPr="005379B4">
        <w:rPr>
          <w:i/>
          <w:iCs/>
        </w:rPr>
        <w:t>Equine neck and back pathology: Diagnosis and treatment</w:t>
      </w:r>
      <w:r w:rsidRPr="005379B4">
        <w:t xml:space="preserve"> (2nd ed.). Elsevier.</w:t>
      </w:r>
    </w:p>
    <w:p w14:paraId="4F1B8E19" w14:textId="2680F02C" w:rsidR="005379B4" w:rsidRPr="005379B4" w:rsidRDefault="005379B4" w:rsidP="005379B4">
      <w:pPr>
        <w:jc w:val="both"/>
      </w:pPr>
      <w:r w:rsidRPr="005379B4">
        <w:t xml:space="preserve">Tabor, G. (2021). </w:t>
      </w:r>
      <w:r w:rsidRPr="005379B4">
        <w:rPr>
          <w:i/>
          <w:iCs/>
        </w:rPr>
        <w:t>Physiotherapy for neck pain in the horse</w:t>
      </w:r>
      <w:r w:rsidRPr="005379B4">
        <w:t>. UK Vet Equine, 5(1), 37–42.</w:t>
      </w:r>
    </w:p>
    <w:p w14:paraId="4D682398" w14:textId="5FF3C59D" w:rsidR="005379B4" w:rsidRPr="005379B4" w:rsidRDefault="005379B4" w:rsidP="005379B4">
      <w:pPr>
        <w:jc w:val="both"/>
      </w:pPr>
      <w:r w:rsidRPr="005379B4">
        <w:rPr>
          <w:b/>
          <w:bCs/>
        </w:rPr>
        <w:lastRenderedPageBreak/>
        <w:t>West Nile Virus in Equids: The Importance of Clinical and Laboratory Diagnosis in Disease Surveillance</w:t>
      </w:r>
    </w:p>
    <w:p w14:paraId="2F2A6AA4" w14:textId="77777777" w:rsidR="005379B4" w:rsidRPr="005379B4" w:rsidRDefault="005379B4" w:rsidP="005379B4">
      <w:pPr>
        <w:jc w:val="both"/>
      </w:pPr>
      <w:r w:rsidRPr="005379B4">
        <w:t> Voultsiou Vasiliki</w:t>
      </w:r>
      <w:r w:rsidRPr="005379B4">
        <w:rPr>
          <w:vertAlign w:val="superscript"/>
        </w:rPr>
        <w:t>1</w:t>
      </w:r>
      <w:r w:rsidRPr="005379B4">
        <w:t>, Diakakis Nikolaos</w:t>
      </w:r>
      <w:r w:rsidRPr="005379B4">
        <w:rPr>
          <w:vertAlign w:val="superscript"/>
        </w:rPr>
        <w:t>2  </w:t>
      </w:r>
    </w:p>
    <w:p w14:paraId="0949E90D" w14:textId="77777777" w:rsidR="005379B4" w:rsidRPr="005379B4" w:rsidRDefault="005379B4">
      <w:pPr>
        <w:numPr>
          <w:ilvl w:val="0"/>
          <w:numId w:val="97"/>
        </w:numPr>
        <w:jc w:val="both"/>
      </w:pPr>
      <w:r w:rsidRPr="005379B4">
        <w:t>Undergraduate student, Department of Veterinary Medicine, School of Health Sciences, Aristotle University of Thessaloniki.</w:t>
      </w:r>
    </w:p>
    <w:p w14:paraId="737E5888" w14:textId="77777777" w:rsidR="005379B4" w:rsidRPr="005379B4" w:rsidRDefault="005379B4">
      <w:pPr>
        <w:numPr>
          <w:ilvl w:val="0"/>
          <w:numId w:val="97"/>
        </w:numPr>
        <w:jc w:val="both"/>
      </w:pPr>
      <w:r w:rsidRPr="005379B4">
        <w:t>Professor, Equine Surgery Unit, School of Veterinary Medicine, Aristotle University of Thessaloniki, Greece.</w:t>
      </w:r>
    </w:p>
    <w:p w14:paraId="51175E2E" w14:textId="77777777" w:rsidR="005379B4" w:rsidRPr="005379B4" w:rsidRDefault="005379B4" w:rsidP="005379B4">
      <w:pPr>
        <w:jc w:val="both"/>
      </w:pPr>
    </w:p>
    <w:p w14:paraId="0884DF75" w14:textId="77777777" w:rsidR="005379B4" w:rsidRPr="005379B4" w:rsidRDefault="005379B4" w:rsidP="005379B4">
      <w:pPr>
        <w:jc w:val="both"/>
      </w:pPr>
      <w:r w:rsidRPr="005379B4">
        <w:rPr>
          <w:b/>
          <w:bCs/>
        </w:rPr>
        <w:t>Abstract</w:t>
      </w:r>
    </w:p>
    <w:p w14:paraId="6C7D4FB0" w14:textId="77777777" w:rsidR="005379B4" w:rsidRPr="005379B4" w:rsidRDefault="005379B4" w:rsidP="005379B4">
      <w:pPr>
        <w:jc w:val="both"/>
      </w:pPr>
      <w:r w:rsidRPr="005379B4">
        <w:t> West Nile Virus (WNV) is an RNA virus belonging to the Flaviviridae family. It is a significant zoonotic disease with an international distribution. It is transmitted through infected mosquitoes, with birds serving as the natural reservoir and equines and humans acting as dead-end hosts. In horses, it often causes a severe form of encephalomyelitis that is clinically manifested with ataxia, muscle fasciculations and depression. Clinical evaluation and inclusion of the disease in the differential diagnosis are crucial, as they trigger immediate notification of the authorities on a suspected case while enhancing the timely treatment of the incident. Furthermore, the use of laboratory diagnostic techniques remains essential for the official confirmation of cases. Laboratory confirmation is the cornerstone of epidemiological surveillance, enabling authorities to detect and map the spread of the virus early on and to protect public health.</w:t>
      </w:r>
    </w:p>
    <w:p w14:paraId="1E66F805" w14:textId="001FE85A" w:rsidR="005379B4" w:rsidRPr="005379B4" w:rsidRDefault="005379B4" w:rsidP="005379B4">
      <w:pPr>
        <w:jc w:val="both"/>
      </w:pPr>
    </w:p>
    <w:p w14:paraId="6F458CA3" w14:textId="77777777" w:rsidR="005379B4" w:rsidRPr="005379B4" w:rsidRDefault="005379B4" w:rsidP="005379B4">
      <w:pPr>
        <w:jc w:val="both"/>
      </w:pPr>
      <w:r w:rsidRPr="005379B4">
        <w:rPr>
          <w:b/>
          <w:bCs/>
        </w:rPr>
        <w:t>Bibliography</w:t>
      </w:r>
    </w:p>
    <w:p w14:paraId="302DBBCB" w14:textId="63217014" w:rsidR="005379B4" w:rsidRPr="002617A2" w:rsidRDefault="005379B4" w:rsidP="005379B4">
      <w:pPr>
        <w:jc w:val="both"/>
      </w:pPr>
      <w:r w:rsidRPr="005379B4">
        <w:t xml:space="preserve">Υπουργείο Αγροτικής Ανάπτυξης και Τροφίμων. (2024). </w:t>
      </w:r>
      <w:r w:rsidRPr="005379B4">
        <w:rPr>
          <w:i/>
          <w:iCs/>
        </w:rPr>
        <w:t>Πρόγραμμα Επιτήρησης του ιού του Πυρετού του Δυτικού Νείλου (ΠΔΝ) στα ιπποειδή, τα πτηνά και σε άλλα ζώα ευαίσθητα στον ιό</w:t>
      </w:r>
      <w:r w:rsidRPr="005379B4">
        <w:t xml:space="preserve"> (Αριθμ. 1500/224312). </w:t>
      </w:r>
      <w:r w:rsidRPr="005379B4">
        <w:rPr>
          <w:i/>
          <w:iCs/>
        </w:rPr>
        <w:t>Φύλλο Εφημερίδας της Κυβερνήσεως</w:t>
      </w:r>
      <w:r w:rsidRPr="005379B4">
        <w:t>, 4558, Τεύχος Β’.</w:t>
      </w:r>
    </w:p>
    <w:p w14:paraId="658A2FB6" w14:textId="77777777" w:rsidR="005379B4" w:rsidRPr="005379B4" w:rsidRDefault="005379B4" w:rsidP="005379B4">
      <w:pPr>
        <w:jc w:val="both"/>
      </w:pPr>
      <w:r w:rsidRPr="005379B4">
        <w:t>Ahsan</w:t>
      </w:r>
      <w:r w:rsidRPr="002617A2">
        <w:t xml:space="preserve"> </w:t>
      </w:r>
      <w:r w:rsidRPr="005379B4">
        <w:t>Naveed</w:t>
      </w:r>
      <w:r w:rsidRPr="002617A2">
        <w:t xml:space="preserve">, </w:t>
      </w:r>
      <w:r w:rsidRPr="005379B4">
        <w:t>Lianne</w:t>
      </w:r>
      <w:r w:rsidRPr="002617A2">
        <w:t xml:space="preserve"> </w:t>
      </w:r>
      <w:r w:rsidRPr="005379B4">
        <w:t>G</w:t>
      </w:r>
      <w:r w:rsidRPr="002617A2">
        <w:t xml:space="preserve">. </w:t>
      </w:r>
      <w:r w:rsidRPr="005379B4">
        <w:t>Eertink</w:t>
      </w:r>
      <w:r w:rsidRPr="002617A2">
        <w:t xml:space="preserve">, </w:t>
      </w:r>
      <w:r w:rsidRPr="005379B4">
        <w:t>Dan</w:t>
      </w:r>
      <w:r w:rsidRPr="002617A2">
        <w:t xml:space="preserve"> </w:t>
      </w:r>
      <w:r w:rsidRPr="005379B4">
        <w:t>Wang</w:t>
      </w:r>
      <w:r w:rsidRPr="002617A2">
        <w:t xml:space="preserve"> &amp; </w:t>
      </w:r>
      <w:r w:rsidRPr="005379B4">
        <w:t>Feng</w:t>
      </w:r>
      <w:r w:rsidRPr="002617A2">
        <w:t xml:space="preserve"> </w:t>
      </w:r>
      <w:r w:rsidRPr="005379B4">
        <w:t>Li</w:t>
      </w:r>
      <w:r w:rsidRPr="002617A2">
        <w:t xml:space="preserve">. </w:t>
      </w:r>
      <w:r w:rsidRPr="005379B4">
        <w:t xml:space="preserve">(2024). </w:t>
      </w:r>
      <w:r w:rsidRPr="005379B4">
        <w:rPr>
          <w:i/>
          <w:iCs/>
        </w:rPr>
        <w:t>Lessons learned from West Nile virus infection: Vaccinations in equines and their implications for One Health approaches.</w:t>
      </w:r>
      <w:r w:rsidRPr="005379B4">
        <w:t xml:space="preserve"> </w:t>
      </w:r>
      <w:r w:rsidRPr="005379B4">
        <w:rPr>
          <w:i/>
          <w:iCs/>
        </w:rPr>
        <w:t>Viruses</w:t>
      </w:r>
      <w:r w:rsidRPr="005379B4">
        <w:t>, 16(5).</w:t>
      </w:r>
    </w:p>
    <w:p w14:paraId="01555893" w14:textId="77777777" w:rsidR="005379B4" w:rsidRPr="005379B4" w:rsidRDefault="005379B4" w:rsidP="005379B4">
      <w:pPr>
        <w:jc w:val="both"/>
      </w:pPr>
      <w:r w:rsidRPr="005379B4">
        <w:t xml:space="preserve">Angenvoort, J., Brault, A. C., Bowen, R. A. &amp; Groschup, M. H. (2013). </w:t>
      </w:r>
      <w:r w:rsidRPr="005379B4">
        <w:rPr>
          <w:i/>
          <w:iCs/>
        </w:rPr>
        <w:t>West Nile viral infection of equids.</w:t>
      </w:r>
      <w:r w:rsidRPr="005379B4">
        <w:t xml:space="preserve"> </w:t>
      </w:r>
      <w:r w:rsidRPr="005379B4">
        <w:rPr>
          <w:i/>
          <w:iCs/>
        </w:rPr>
        <w:t>Veterinary Microbiology</w:t>
      </w:r>
      <w:r w:rsidRPr="005379B4">
        <w:t>, 167(1–2), 168–180.</w:t>
      </w:r>
    </w:p>
    <w:p w14:paraId="4233B1C1" w14:textId="77777777" w:rsidR="005379B4" w:rsidRPr="005379B4" w:rsidRDefault="005379B4" w:rsidP="005379B4">
      <w:pPr>
        <w:jc w:val="both"/>
      </w:pPr>
      <w:r w:rsidRPr="005379B4">
        <w:t xml:space="preserve">Beck, C., Lowenski, S., Durand, B., Bahuon, C., Zientara, S. &amp; Lecollinet, S. (2017). </w:t>
      </w:r>
      <w:r w:rsidRPr="005379B4">
        <w:rPr>
          <w:i/>
          <w:iCs/>
        </w:rPr>
        <w:t>Improved reliability of serological tools for the diagnosis of West Nile fever in horses within Europe.</w:t>
      </w:r>
      <w:r w:rsidRPr="005379B4">
        <w:t xml:space="preserve"> </w:t>
      </w:r>
      <w:r w:rsidRPr="005379B4">
        <w:rPr>
          <w:i/>
          <w:iCs/>
        </w:rPr>
        <w:t>PLOS Neglected Tropical Diseases</w:t>
      </w:r>
      <w:r w:rsidRPr="005379B4">
        <w:t>.</w:t>
      </w:r>
    </w:p>
    <w:p w14:paraId="5437155A" w14:textId="77777777" w:rsidR="005379B4" w:rsidRPr="005379B4" w:rsidRDefault="005379B4" w:rsidP="005379B4">
      <w:pPr>
        <w:jc w:val="both"/>
      </w:pPr>
      <w:r w:rsidRPr="005379B4">
        <w:t xml:space="preserve">Castillo-Olivares, J. &amp; Wood, J. (2004). </w:t>
      </w:r>
      <w:r w:rsidRPr="005379B4">
        <w:rPr>
          <w:i/>
          <w:iCs/>
        </w:rPr>
        <w:t>West Nile virus infection of horses.</w:t>
      </w:r>
      <w:r w:rsidRPr="005379B4">
        <w:t xml:space="preserve"> </w:t>
      </w:r>
      <w:r w:rsidRPr="005379B4">
        <w:rPr>
          <w:i/>
          <w:iCs/>
        </w:rPr>
        <w:t>Veterinary Research</w:t>
      </w:r>
      <w:r w:rsidRPr="005379B4">
        <w:t>, 35, 467–483.</w:t>
      </w:r>
    </w:p>
    <w:p w14:paraId="603AF3A3" w14:textId="77777777" w:rsidR="005379B4" w:rsidRPr="005379B4" w:rsidRDefault="005379B4" w:rsidP="005379B4">
      <w:pPr>
        <w:jc w:val="both"/>
      </w:pPr>
      <w:r w:rsidRPr="005379B4">
        <w:t xml:space="preserve">Cavalleri, J.-M. V., Korbacska-Kutasi, O., Leblond, A., Paillot, R., Pusterla, N., Steinmann, E. &amp; Tomlinson, J. (2022). </w:t>
      </w:r>
      <w:r w:rsidRPr="005379B4">
        <w:rPr>
          <w:i/>
          <w:iCs/>
        </w:rPr>
        <w:t>European College of Equine Internal Medicine consensus statement on equine Flaviviridae infections in Europe.</w:t>
      </w:r>
      <w:r w:rsidRPr="005379B4">
        <w:t xml:space="preserve"> </w:t>
      </w:r>
      <w:r w:rsidRPr="005379B4">
        <w:rPr>
          <w:i/>
          <w:iCs/>
        </w:rPr>
        <w:t>Journal of Veterinary Internal Medicine</w:t>
      </w:r>
      <w:r w:rsidRPr="005379B4">
        <w:t>, 36(6), 1858–1871.</w:t>
      </w:r>
    </w:p>
    <w:p w14:paraId="50A19B2A" w14:textId="77777777" w:rsidR="005379B4" w:rsidRPr="005379B4" w:rsidRDefault="005379B4" w:rsidP="005379B4">
      <w:pPr>
        <w:jc w:val="both"/>
      </w:pPr>
      <w:r w:rsidRPr="005379B4">
        <w:lastRenderedPageBreak/>
        <w:t xml:space="preserve">Chaintoutis, S. C., Diakakis, N., Polizopoulou, Z. S. &amp; Dovas, C. I. (2025). </w:t>
      </w:r>
      <w:r w:rsidRPr="005379B4">
        <w:rPr>
          <w:i/>
          <w:iCs/>
        </w:rPr>
        <w:t>Serum protein electrophoretic profile changes in West Nile virus-naturally infected horses</w:t>
      </w:r>
      <w:r w:rsidRPr="005379B4">
        <w:t xml:space="preserve">. </w:t>
      </w:r>
      <w:r w:rsidRPr="005379B4">
        <w:rPr>
          <w:i/>
          <w:iCs/>
        </w:rPr>
        <w:t>Journal of Equine Veterinary Science</w:t>
      </w:r>
      <w:r w:rsidRPr="005379B4">
        <w:t>, 144.</w:t>
      </w:r>
    </w:p>
    <w:p w14:paraId="62CA8A20" w14:textId="77777777" w:rsidR="005379B4" w:rsidRPr="005379B4" w:rsidRDefault="005379B4" w:rsidP="005379B4">
      <w:pPr>
        <w:jc w:val="both"/>
      </w:pPr>
      <w:r w:rsidRPr="005379B4">
        <w:t>Chaintoutis, S. C., Gewehr, S., Mourelatos, S. &amp; Dovas, C. I. (2016).</w:t>
      </w:r>
      <w:r w:rsidRPr="005379B4">
        <w:rPr>
          <w:i/>
          <w:iCs/>
        </w:rPr>
        <w:t xml:space="preserve"> Serological monitoring of backyard chickens in Central Macedonia-Greece can detect low transmission of West Nile virus in the absence of human neuroinvasive disease cases. Acta Tropica</w:t>
      </w:r>
      <w:r w:rsidRPr="005379B4">
        <w:t>, 163.</w:t>
      </w:r>
    </w:p>
    <w:p w14:paraId="0F21CEBC" w14:textId="77777777" w:rsidR="005379B4" w:rsidRPr="005379B4" w:rsidRDefault="005379B4" w:rsidP="005379B4">
      <w:pPr>
        <w:jc w:val="both"/>
      </w:pPr>
      <w:r w:rsidRPr="005379B4">
        <w:t xml:space="preserve">Chaintoutis, S. C., Papa, A., Pervanidou, D. &amp; Dovas, C. I. (2019). </w:t>
      </w:r>
      <w:r w:rsidRPr="005379B4">
        <w:rPr>
          <w:i/>
          <w:iCs/>
        </w:rPr>
        <w:t>Evolutionary dynamics of lineage 2 West Nile virus in Europe, 2004–2018: Phylogeny, selection pressure and phylogeography</w:t>
      </w:r>
      <w:r w:rsidRPr="005379B4">
        <w:t xml:space="preserve">. </w:t>
      </w:r>
      <w:r w:rsidRPr="005379B4">
        <w:rPr>
          <w:i/>
          <w:iCs/>
        </w:rPr>
        <w:t>Molecular Phylogenetics and Evolution</w:t>
      </w:r>
      <w:r w:rsidRPr="005379B4">
        <w:t>, 141.</w:t>
      </w:r>
    </w:p>
    <w:p w14:paraId="1F04C55C" w14:textId="77777777" w:rsidR="005379B4" w:rsidRPr="005379B4" w:rsidRDefault="005379B4" w:rsidP="005379B4">
      <w:pPr>
        <w:jc w:val="both"/>
      </w:pPr>
      <w:r w:rsidRPr="005379B4">
        <w:t>European Centre for Disease Prevention and Control (ECDC) &amp; European Food Safety Authority (EFSA). (2025).</w:t>
      </w:r>
      <w:r w:rsidRPr="005379B4">
        <w:rPr>
          <w:i/>
          <w:iCs/>
        </w:rPr>
        <w:t xml:space="preserve"> Surveillance of West Nile virus infections in humans and animals in Europe, monthly report – data submitted up to 3 December 2025.</w:t>
      </w:r>
    </w:p>
    <w:p w14:paraId="151423B4" w14:textId="77777777" w:rsidR="005379B4" w:rsidRPr="005379B4" w:rsidRDefault="005379B4" w:rsidP="005379B4">
      <w:pPr>
        <w:jc w:val="both"/>
      </w:pPr>
      <w:r w:rsidRPr="005379B4">
        <w:t xml:space="preserve">Ibrahim Abbas, Luigi Sedda, Fahad Ahmed, Hira Muqaddas, Alberto Alberti &amp; Antonio Varcasia. (2025). </w:t>
      </w:r>
      <w:r w:rsidRPr="005379B4">
        <w:rPr>
          <w:i/>
          <w:iCs/>
        </w:rPr>
        <w:t>Epidemiology and surveillance of West Nile virus in the Mediterranean Basin during 2010–2023: A systematic review</w:t>
      </w:r>
      <w:r w:rsidRPr="005379B4">
        <w:t xml:space="preserve">. </w:t>
      </w:r>
      <w:r w:rsidRPr="005379B4">
        <w:rPr>
          <w:i/>
          <w:iCs/>
        </w:rPr>
        <w:t>Current Research in Parasitology &amp; Vector-Borne Diseases</w:t>
      </w:r>
      <w:r w:rsidRPr="005379B4">
        <w:t>, 7.</w:t>
      </w:r>
    </w:p>
    <w:p w14:paraId="40AA7C98" w14:textId="77777777" w:rsidR="005379B4" w:rsidRPr="005379B4" w:rsidRDefault="005379B4" w:rsidP="005379B4">
      <w:pPr>
        <w:jc w:val="both"/>
      </w:pPr>
      <w:r w:rsidRPr="005379B4">
        <w:t xml:space="preserve">Porter, M. B., Long, M. T., Getman, L. M., Giguère, S., MacKay, R. J., Lester, G. D., Alleman, A. R., Wamsley, H. L., Franklin, R. P., Jacks, S., Buergelt, C. D. &amp; Detrisac, C. J. (2001). </w:t>
      </w:r>
      <w:r w:rsidRPr="005379B4">
        <w:rPr>
          <w:i/>
          <w:iCs/>
        </w:rPr>
        <w:t>West Nile virus encephalomyelitis in horses: 46 cases</w:t>
      </w:r>
      <w:r w:rsidRPr="005379B4">
        <w:t xml:space="preserve">. </w:t>
      </w:r>
      <w:r w:rsidRPr="005379B4">
        <w:rPr>
          <w:i/>
          <w:iCs/>
        </w:rPr>
        <w:t>Journal of the American Veterinary Medical Association (JAVMA)</w:t>
      </w:r>
      <w:r w:rsidRPr="005379B4">
        <w:t>, 222(9).</w:t>
      </w:r>
    </w:p>
    <w:p w14:paraId="677AA2A4" w14:textId="77777777" w:rsidR="005379B4" w:rsidRPr="005379B4" w:rsidRDefault="005379B4" w:rsidP="005379B4">
      <w:pPr>
        <w:jc w:val="both"/>
      </w:pPr>
      <w:r w:rsidRPr="005379B4">
        <w:t xml:space="preserve">Pappa, S., Chaintoutis, S. C., Dovas, C. I. &amp; Papa, A. (2021). </w:t>
      </w:r>
      <w:r w:rsidRPr="005379B4">
        <w:rPr>
          <w:i/>
          <w:iCs/>
        </w:rPr>
        <w:t>PCR-based next-generation West Nile virus sequencing protocols.</w:t>
      </w:r>
      <w:r w:rsidRPr="005379B4">
        <w:t xml:space="preserve"> </w:t>
      </w:r>
      <w:r w:rsidRPr="005379B4">
        <w:rPr>
          <w:i/>
          <w:iCs/>
        </w:rPr>
        <w:t>Molecular and Cellular Probes</w:t>
      </w:r>
      <w:r w:rsidRPr="005379B4">
        <w:t>, 60.</w:t>
      </w:r>
    </w:p>
    <w:p w14:paraId="66BE5C18" w14:textId="77777777" w:rsidR="005379B4" w:rsidRPr="005379B4" w:rsidRDefault="005379B4" w:rsidP="005379B4">
      <w:pPr>
        <w:jc w:val="both"/>
      </w:pPr>
      <w:r w:rsidRPr="005379B4">
        <w:t xml:space="preserve">Samuel, M. A. &amp; Diamond, M. S. (2006). </w:t>
      </w:r>
      <w:r w:rsidRPr="005379B4">
        <w:rPr>
          <w:i/>
          <w:iCs/>
        </w:rPr>
        <w:t>Pathogenesis of West Nile virus infection: A balance between virulence, innate and adaptive immunity, and viral evasion. Journal of Virology</w:t>
      </w:r>
      <w:r w:rsidRPr="005379B4">
        <w:t>, 80, 9349–9360.</w:t>
      </w:r>
    </w:p>
    <w:p w14:paraId="2FE001DA" w14:textId="77777777" w:rsidR="005379B4" w:rsidRPr="005379B4" w:rsidRDefault="005379B4" w:rsidP="005379B4">
      <w:pPr>
        <w:jc w:val="both"/>
      </w:pPr>
      <w:r w:rsidRPr="005379B4">
        <w:t xml:space="preserve">Tolnai, C., O’Sullivan, C., Lorincz, M., Karvouni, M., Ttenk, M., Marosi, A., Forgách, P., Paszerbovics, B., Wagenhoffer, Z. &amp; Kutasi, O. (2025). </w:t>
      </w:r>
      <w:r w:rsidRPr="005379B4">
        <w:rPr>
          <w:i/>
          <w:iCs/>
        </w:rPr>
        <w:t>Cellular immune response in horses after West Nile neuroinvasive disease</w:t>
      </w:r>
      <w:r w:rsidRPr="005379B4">
        <w:t xml:space="preserve">. </w:t>
      </w:r>
      <w:r w:rsidRPr="005379B4">
        <w:rPr>
          <w:i/>
          <w:iCs/>
        </w:rPr>
        <w:t>Animals</w:t>
      </w:r>
      <w:r w:rsidRPr="005379B4">
        <w:t>, 15(16).</w:t>
      </w:r>
    </w:p>
    <w:p w14:paraId="3FB3C8B5" w14:textId="77777777" w:rsidR="005379B4" w:rsidRPr="005379B4" w:rsidRDefault="005379B4" w:rsidP="005379B4">
      <w:pPr>
        <w:jc w:val="both"/>
      </w:pPr>
      <w:r w:rsidRPr="005379B4">
        <w:t xml:space="preserve">World Organisation for Animal Health. (2018). West Nile fever (Chapter 3.1.25). </w:t>
      </w:r>
      <w:r w:rsidRPr="005379B4">
        <w:rPr>
          <w:i/>
          <w:iCs/>
        </w:rPr>
        <w:t>In Manual of Diagnostic Tests and Vaccines for Terrestrial Animals (Terrestrial Manual)</w:t>
      </w:r>
      <w:r w:rsidRPr="005379B4">
        <w:t>.</w:t>
      </w:r>
    </w:p>
    <w:p w14:paraId="6F27B0A7" w14:textId="55B6D6EE" w:rsidR="005379B4" w:rsidRDefault="005379B4" w:rsidP="005379B4">
      <w:pPr>
        <w:jc w:val="both"/>
      </w:pPr>
      <w:r w:rsidRPr="005379B4">
        <w:br/>
      </w:r>
      <w:r w:rsidRPr="005379B4">
        <w:br/>
      </w:r>
      <w:r w:rsidRPr="005379B4">
        <w:br/>
      </w:r>
      <w:r w:rsidRPr="005379B4">
        <w:br/>
      </w:r>
      <w:r w:rsidRPr="005379B4">
        <w:br/>
      </w:r>
      <w:r w:rsidRPr="005379B4">
        <w:br/>
      </w:r>
      <w:r w:rsidRPr="005379B4">
        <w:br/>
      </w:r>
      <w:r w:rsidRPr="005379B4">
        <w:br/>
      </w:r>
      <w:r w:rsidRPr="005379B4">
        <w:br/>
      </w:r>
      <w:r w:rsidRPr="005379B4">
        <w:br/>
      </w:r>
    </w:p>
    <w:p w14:paraId="253D8EB8" w14:textId="77777777" w:rsidR="005379B4" w:rsidRPr="005379B4" w:rsidRDefault="005379B4" w:rsidP="005379B4">
      <w:pPr>
        <w:jc w:val="both"/>
      </w:pPr>
    </w:p>
    <w:p w14:paraId="60B0DBE5" w14:textId="77777777" w:rsidR="005379B4" w:rsidRPr="005379B4" w:rsidRDefault="005379B4" w:rsidP="005379B4">
      <w:pPr>
        <w:jc w:val="both"/>
      </w:pPr>
      <w:r w:rsidRPr="005379B4">
        <w:rPr>
          <w:b/>
          <w:bCs/>
        </w:rPr>
        <w:lastRenderedPageBreak/>
        <w:t>Zoonotic Diseases in Equids and their Prevention</w:t>
      </w:r>
    </w:p>
    <w:p w14:paraId="7BF0C950" w14:textId="77777777" w:rsidR="005379B4" w:rsidRPr="005379B4" w:rsidRDefault="005379B4" w:rsidP="005379B4">
      <w:pPr>
        <w:jc w:val="both"/>
      </w:pPr>
      <w:r w:rsidRPr="005379B4">
        <w:t>Gkigki Maria</w:t>
      </w:r>
      <w:r w:rsidRPr="005379B4">
        <w:rPr>
          <w:vertAlign w:val="superscript"/>
        </w:rPr>
        <w:t>1</w:t>
      </w:r>
      <w:r w:rsidRPr="005379B4">
        <w:t>, Theodoridis Stelios- Konstantinos</w:t>
      </w:r>
      <w:r w:rsidRPr="005379B4">
        <w:rPr>
          <w:vertAlign w:val="superscript"/>
        </w:rPr>
        <w:t>1</w:t>
      </w:r>
      <w:r w:rsidRPr="005379B4">
        <w:t>, Papageorgiou Konstantinos</w:t>
      </w:r>
      <w:r w:rsidRPr="005379B4">
        <w:rPr>
          <w:vertAlign w:val="superscript"/>
        </w:rPr>
        <w:t>2</w:t>
      </w:r>
    </w:p>
    <w:p w14:paraId="5F67FC32" w14:textId="77777777" w:rsidR="005379B4" w:rsidRPr="005379B4" w:rsidRDefault="005379B4">
      <w:pPr>
        <w:numPr>
          <w:ilvl w:val="0"/>
          <w:numId w:val="98"/>
        </w:numPr>
        <w:jc w:val="both"/>
      </w:pPr>
      <w:r w:rsidRPr="005379B4">
        <w:t>Undergraduate student, Department of Veterinary Medicine, School of Health Sciences, Aristotle University of Thessaloniki </w:t>
      </w:r>
    </w:p>
    <w:p w14:paraId="3342E700" w14:textId="77777777" w:rsidR="005379B4" w:rsidRPr="005379B4" w:rsidRDefault="005379B4">
      <w:pPr>
        <w:numPr>
          <w:ilvl w:val="0"/>
          <w:numId w:val="98"/>
        </w:numPr>
        <w:jc w:val="both"/>
      </w:pPr>
      <w:r w:rsidRPr="005379B4">
        <w:t>Assistant Professor, Microbiology and Infectious Diseases Laboratory, Department of Veterinary Medicine, School of Health Sciences, Aristotle University of Thessaloniki</w:t>
      </w:r>
    </w:p>
    <w:p w14:paraId="28A4C6DD" w14:textId="77777777" w:rsidR="005379B4" w:rsidRPr="005379B4" w:rsidRDefault="005379B4" w:rsidP="005379B4">
      <w:pPr>
        <w:jc w:val="both"/>
      </w:pPr>
    </w:p>
    <w:p w14:paraId="546DDA49" w14:textId="77777777" w:rsidR="005379B4" w:rsidRPr="005379B4" w:rsidRDefault="005379B4" w:rsidP="005379B4">
      <w:pPr>
        <w:jc w:val="both"/>
      </w:pPr>
      <w:r w:rsidRPr="005379B4">
        <w:rPr>
          <w:b/>
          <w:bCs/>
        </w:rPr>
        <w:t>Abstract</w:t>
      </w:r>
    </w:p>
    <w:p w14:paraId="155BFFBC" w14:textId="77777777" w:rsidR="005379B4" w:rsidRPr="005379B4" w:rsidRDefault="005379B4" w:rsidP="005379B4">
      <w:pPr>
        <w:jc w:val="both"/>
      </w:pPr>
      <w:r w:rsidRPr="005379B4">
        <w:t>Zoonoses are serious diseases for the public health and the veterinary practice, while the role of the veterinarian in their prevention and control is important. Although equids do not represent a primary reservoir of pathogens, they can, nevertheless, be associated with the transmission of important infectious agents to humans. </w:t>
      </w:r>
    </w:p>
    <w:p w14:paraId="056E8147" w14:textId="77777777" w:rsidR="005379B4" w:rsidRPr="005379B4" w:rsidRDefault="005379B4" w:rsidP="005379B4">
      <w:pPr>
        <w:jc w:val="both"/>
      </w:pPr>
      <w:r w:rsidRPr="005379B4">
        <w:t>The aim of the present study is to highlight the most important equine diseases of public health significance on a global scale, with emphasis on those that are of special importance for Greece, such as the disease caused by the West Nile virus. Additionally, the main biosafety measures required to reduce the risk of transmission of such pathogens are presented.</w:t>
      </w:r>
    </w:p>
    <w:p w14:paraId="7B623A2F" w14:textId="77777777" w:rsidR="005379B4" w:rsidRPr="005379B4" w:rsidRDefault="005379B4" w:rsidP="005379B4">
      <w:pPr>
        <w:jc w:val="both"/>
      </w:pPr>
      <w:r w:rsidRPr="005379B4">
        <w:t>Conclusively, despite the rare emergence, the systematic underdiagnosis and the low research interest of equine zoonoses, they are of great importance for the public health. Therefore, their control through surveillance and essential biosafety measures is necessary.</w:t>
      </w:r>
    </w:p>
    <w:p w14:paraId="025F2287" w14:textId="77777777" w:rsidR="005379B4" w:rsidRPr="005379B4" w:rsidRDefault="005379B4" w:rsidP="005379B4">
      <w:pPr>
        <w:jc w:val="both"/>
      </w:pPr>
    </w:p>
    <w:p w14:paraId="16BC357D" w14:textId="77777777" w:rsidR="005379B4" w:rsidRPr="005379B4" w:rsidRDefault="005379B4" w:rsidP="005379B4">
      <w:pPr>
        <w:jc w:val="both"/>
      </w:pPr>
      <w:r w:rsidRPr="005379B4">
        <w:rPr>
          <w:b/>
          <w:bCs/>
        </w:rPr>
        <w:t>Bibliography</w:t>
      </w:r>
    </w:p>
    <w:p w14:paraId="7B91B512" w14:textId="4598F56C" w:rsidR="005379B4" w:rsidRPr="005379B4" w:rsidRDefault="005379B4" w:rsidP="005379B4">
      <w:pPr>
        <w:jc w:val="both"/>
      </w:pPr>
      <w:r w:rsidRPr="005379B4">
        <w:t xml:space="preserve">Arshad, A., Reif, A. H., Cavalleri J.-M. V., &amp;amp; Desvars-Larrive A. (2025). </w:t>
      </w:r>
      <w:r w:rsidRPr="005379B4">
        <w:rPr>
          <w:i/>
          <w:iCs/>
        </w:rPr>
        <w:t>Zoonotic pathogens in equids in Central Europe: a systematic review.</w:t>
      </w:r>
      <w:r w:rsidRPr="005379B4">
        <w:t xml:space="preserve"> Springer Nature Link, 21, 451. </w:t>
      </w:r>
    </w:p>
    <w:p w14:paraId="67345310" w14:textId="180BFC24" w:rsidR="005379B4" w:rsidRPr="005379B4" w:rsidRDefault="005379B4" w:rsidP="005379B4">
      <w:pPr>
        <w:jc w:val="both"/>
      </w:pPr>
      <w:r w:rsidRPr="005379B4">
        <w:t xml:space="preserve">Burgess, B. A. (2026). </w:t>
      </w:r>
      <w:r w:rsidRPr="005379B4">
        <w:rPr>
          <w:i/>
          <w:iCs/>
        </w:rPr>
        <w:t xml:space="preserve">Infectious Disease and Biosecurity. Emergency Triage of the Horse </w:t>
      </w:r>
      <w:r w:rsidRPr="005379B4">
        <w:t>(373-387). John Wiley &amp;amp; Sons, Inc.</w:t>
      </w:r>
    </w:p>
    <w:p w14:paraId="4ACD362C" w14:textId="1ED4A4A2" w:rsidR="005379B4" w:rsidRPr="005379B4" w:rsidRDefault="005379B4" w:rsidP="005379B4">
      <w:pPr>
        <w:jc w:val="both"/>
      </w:pPr>
      <w:r w:rsidRPr="005379B4">
        <w:t xml:space="preserve">Carminati M. (2023). </w:t>
      </w:r>
      <w:r w:rsidRPr="005379B4">
        <w:rPr>
          <w:i/>
          <w:iCs/>
        </w:rPr>
        <w:t xml:space="preserve">Surveillance plan proposal for early detection of zoonotic pathogens in Equidae </w:t>
      </w:r>
      <w:r w:rsidRPr="005379B4">
        <w:t>(horses, donkeys). EFSA Supporting Publications, 20(2), EN-7854.</w:t>
      </w:r>
    </w:p>
    <w:p w14:paraId="3DA42554" w14:textId="77777777" w:rsidR="005379B4" w:rsidRPr="005379B4" w:rsidRDefault="005379B4" w:rsidP="005379B4">
      <w:pPr>
        <w:jc w:val="both"/>
      </w:pPr>
      <w:r w:rsidRPr="005379B4">
        <w:t>Cendejas, P. M., &amp;amp; Goodman, A. G. (2024).</w:t>
      </w:r>
      <w:r w:rsidRPr="005379B4">
        <w:rPr>
          <w:i/>
          <w:iCs/>
        </w:rPr>
        <w:t xml:space="preserve"> Vaccination and control methods of West Nile virus infection in equids and humans. </w:t>
      </w:r>
      <w:r w:rsidRPr="005379B4">
        <w:t>Vaccines, 12(5), 485.</w:t>
      </w:r>
    </w:p>
    <w:p w14:paraId="5D38DE35" w14:textId="77777777" w:rsidR="005379B4" w:rsidRPr="005379B4" w:rsidRDefault="005379B4" w:rsidP="005379B4">
      <w:pPr>
        <w:jc w:val="both"/>
      </w:pPr>
      <w:r w:rsidRPr="005379B4">
        <w:t xml:space="preserve">Colville, J. L., &amp;amp; Berryhill D. L. (2007). </w:t>
      </w:r>
      <w:r w:rsidRPr="005379B4">
        <w:rPr>
          <w:i/>
          <w:iCs/>
        </w:rPr>
        <w:t xml:space="preserve">Handbook of zoonoses: Identification and prevention. </w:t>
      </w:r>
      <w:r w:rsidRPr="005379B4">
        <w:t>Mosby Elsevier.</w:t>
      </w:r>
    </w:p>
    <w:p w14:paraId="69B17729" w14:textId="77777777" w:rsidR="005379B4" w:rsidRPr="005379B4" w:rsidRDefault="005379B4" w:rsidP="005379B4">
      <w:pPr>
        <w:jc w:val="both"/>
      </w:pPr>
      <w:r w:rsidRPr="005379B4">
        <w:t xml:space="preserve">Corrin, T., Ackford, R., Mascarenhas, M., Greig, J., &amp;amp; Waddell, L. A. (2021). </w:t>
      </w:r>
      <w:r w:rsidRPr="005379B4">
        <w:rPr>
          <w:i/>
          <w:iCs/>
        </w:rPr>
        <w:t>Eastern equine encephalitis virus: a scoping review of the global evidence. Vector-Borne and Zoonotic Diseases, 21(5), 305-320. 7. Crew, C.R., Brennan, M.L. &amp;amp; Ireland,  J.L. (2023). Implementation of biosecurity on equestrian premises: a narrative overview</w:t>
      </w:r>
      <w:r w:rsidRPr="005379B4">
        <w:t>. The Veterinary Journal, 292, 105950.  </w:t>
      </w:r>
    </w:p>
    <w:p w14:paraId="58354CEA" w14:textId="77777777" w:rsidR="005379B4" w:rsidRPr="005379B4" w:rsidRDefault="005379B4" w:rsidP="005379B4">
      <w:pPr>
        <w:jc w:val="both"/>
      </w:pPr>
      <w:r w:rsidRPr="005379B4">
        <w:t xml:space="preserve">Díaz, E. A., Arroyo, G., Sáenz, C., Mena, L., &amp;amp; Barragán, V. (2023). </w:t>
      </w:r>
      <w:r w:rsidRPr="005379B4">
        <w:rPr>
          <w:i/>
          <w:iCs/>
        </w:rPr>
        <w:t>Leptospirosis in horses: sentinels for a neglected zoonosis? A systematic review</w:t>
      </w:r>
      <w:r w:rsidRPr="005379B4">
        <w:t>. Veterinary World, 16(10), 2110-2119.</w:t>
      </w:r>
    </w:p>
    <w:p w14:paraId="0FD491DD" w14:textId="77777777" w:rsidR="005379B4" w:rsidRPr="005379B4" w:rsidRDefault="005379B4" w:rsidP="005379B4">
      <w:pPr>
        <w:jc w:val="both"/>
      </w:pPr>
      <w:r w:rsidRPr="005379B4">
        <w:lastRenderedPageBreak/>
        <w:t>Dwyer, R. M. (2015). Equine zoonoses:</w:t>
      </w:r>
      <w:r w:rsidRPr="005379B4">
        <w:rPr>
          <w:i/>
          <w:iCs/>
        </w:rPr>
        <w:t xml:space="preserve"> Consequences of horse-human interactions.In A. Sing (Ed.), Zoonoses: Infections affecting humans and animals: Focus on public health aspects </w:t>
      </w:r>
      <w:r w:rsidRPr="005379B4">
        <w:t>(643-657). Springer.</w:t>
      </w:r>
    </w:p>
    <w:p w14:paraId="68EC917E" w14:textId="77777777" w:rsidR="005379B4" w:rsidRPr="005379B4" w:rsidRDefault="005379B4" w:rsidP="005379B4">
      <w:pPr>
        <w:jc w:val="both"/>
      </w:pPr>
      <w:r w:rsidRPr="005379B4">
        <w:t xml:space="preserve">European Center for Disease Prevention and Control. (2024). </w:t>
      </w:r>
      <w:r w:rsidRPr="005379B4">
        <w:rPr>
          <w:i/>
          <w:iCs/>
        </w:rPr>
        <w:t>Communicable disease threats report,</w:t>
      </w:r>
      <w:r w:rsidRPr="005379B4">
        <w:t xml:space="preserve"> week 5, 2024. 10-11.</w:t>
      </w:r>
    </w:p>
    <w:p w14:paraId="5696702E" w14:textId="77777777" w:rsidR="005379B4" w:rsidRPr="005379B4" w:rsidRDefault="005379B4" w:rsidP="005379B4">
      <w:pPr>
        <w:jc w:val="both"/>
      </w:pPr>
      <w:r w:rsidRPr="005379B4">
        <w:t xml:space="preserve">European Center for Disease Prevention and Control. (2024, February 9). </w:t>
      </w:r>
      <w:r w:rsidRPr="005379B4">
        <w:rPr>
          <w:i/>
          <w:iCs/>
        </w:rPr>
        <w:t>Communicable disease threats report</w:t>
      </w:r>
      <w:r w:rsidRPr="005379B4">
        <w:t>, week 6, 2024,14-15.</w:t>
      </w:r>
    </w:p>
    <w:p w14:paraId="645A73A5" w14:textId="77777777" w:rsidR="005379B4" w:rsidRPr="005379B4" w:rsidRDefault="005379B4" w:rsidP="005379B4">
      <w:pPr>
        <w:jc w:val="both"/>
      </w:pPr>
      <w:r w:rsidRPr="005379B4">
        <w:t>European Center for Disease Prevention and Control. (2019, December 12). S</w:t>
      </w:r>
      <w:r w:rsidRPr="005379B4">
        <w:rPr>
          <w:i/>
          <w:iCs/>
        </w:rPr>
        <w:t>almonella the most common cause of foodborne outbreaks in the European Union.</w:t>
      </w:r>
    </w:p>
    <w:p w14:paraId="7D136019" w14:textId="77777777" w:rsidR="005379B4" w:rsidRPr="005379B4" w:rsidRDefault="005379B4" w:rsidP="005379B4">
      <w:pPr>
        <w:jc w:val="both"/>
      </w:pPr>
      <w:r w:rsidRPr="005379B4">
        <w:t> Haseeb, A., Bashir, M. A., Zain Ul Abedin, M., &amp;amp; Sarfraz, K. U.  (2020). E</w:t>
      </w:r>
      <w:r w:rsidRPr="005379B4">
        <w:rPr>
          <w:i/>
          <w:iCs/>
        </w:rPr>
        <w:t>quine zoonotic diseases: a review</w:t>
      </w:r>
      <w:r w:rsidRPr="005379B4">
        <w:t>. Journal of Global Innovations in Agricultural and Social Sciences, 8(4), 223-226.</w:t>
      </w:r>
    </w:p>
    <w:p w14:paraId="6B5A9325" w14:textId="77777777" w:rsidR="005379B4" w:rsidRPr="005379B4" w:rsidRDefault="005379B4" w:rsidP="005379B4">
      <w:pPr>
        <w:jc w:val="both"/>
      </w:pPr>
      <w:r w:rsidRPr="005379B4">
        <w:t>Khusro, A., Aarti, C., Pliego, A. B., &amp;amp; Cipriano-Salazar, M. (2020).</w:t>
      </w:r>
      <w:r w:rsidRPr="005379B4">
        <w:rPr>
          <w:i/>
          <w:iCs/>
        </w:rPr>
        <w:t xml:space="preserve"> Hendra virus infection in horses: a review on emerging mystery paramyxoviru</w:t>
      </w:r>
      <w:r w:rsidRPr="005379B4">
        <w:t>s. Journal of Equine Veterinary Science, 91, 103149.</w:t>
      </w:r>
    </w:p>
    <w:p w14:paraId="0CCBDA38" w14:textId="77777777" w:rsidR="005379B4" w:rsidRPr="005379B4" w:rsidRDefault="005379B4" w:rsidP="005379B4">
      <w:pPr>
        <w:jc w:val="both"/>
      </w:pPr>
      <w:r w:rsidRPr="005379B4">
        <w:t xml:space="preserve"> Khurana, S. K., Dhama, K., Prasad, M., Karthik, K., &amp;amp; Tiwari, Ρ. (2015). </w:t>
      </w:r>
      <w:r w:rsidRPr="005379B4">
        <w:rPr>
          <w:i/>
          <w:iCs/>
        </w:rPr>
        <w:t>Zoonotic pathogens transmitted from equines: Diagnosis and control.</w:t>
      </w:r>
      <w:r w:rsidRPr="005379B4">
        <w:t xml:space="preserve"> Advances in Animal and Veterinary Sciences, 3(2), 32-53.</w:t>
      </w:r>
    </w:p>
    <w:p w14:paraId="037F5FDA" w14:textId="77777777" w:rsidR="005379B4" w:rsidRPr="005379B4" w:rsidRDefault="005379B4" w:rsidP="005379B4">
      <w:pPr>
        <w:jc w:val="both"/>
      </w:pPr>
      <w:r w:rsidRPr="005379B4">
        <w:t>Koch, R. T., Erazo, D., Folly, A. J.,  Johnson, N., Dellicour, S., Grubaugh, N. D., &amp;amp; Vogels, C. B.F.  (2024). G</w:t>
      </w:r>
      <w:r w:rsidRPr="005379B4">
        <w:rPr>
          <w:i/>
          <w:iCs/>
        </w:rPr>
        <w:t xml:space="preserve">enomic epidemiology of West Nile virus in Europe. </w:t>
      </w:r>
      <w:r w:rsidRPr="005379B4">
        <w:t>One Health,18, 100664. </w:t>
      </w:r>
    </w:p>
    <w:p w14:paraId="488CE8F0" w14:textId="77777777" w:rsidR="005379B4" w:rsidRPr="005379B4" w:rsidRDefault="005379B4" w:rsidP="005379B4">
      <w:pPr>
        <w:jc w:val="both"/>
      </w:pPr>
      <w:r w:rsidRPr="005379B4">
        <w:t>Kumar, B., Manuja, A., Gulati, B. R., Virmani, N., &amp; amp; Tripathi, B. N. (2018).</w:t>
      </w:r>
      <w:r w:rsidRPr="005379B4">
        <w:rPr>
          <w:i/>
          <w:iCs/>
        </w:rPr>
        <w:t xml:space="preserve"> Zoonotic viral diseases of equines and their impact on human and animal health. </w:t>
      </w:r>
      <w:r w:rsidRPr="005379B4">
        <w:t>The Open Virology Journal, 12(Suppl-2, M5), 80-98.</w:t>
      </w:r>
    </w:p>
    <w:p w14:paraId="60D1289C" w14:textId="77777777" w:rsidR="005379B4" w:rsidRPr="005379B4" w:rsidRDefault="005379B4" w:rsidP="005379B4">
      <w:pPr>
        <w:jc w:val="both"/>
      </w:pPr>
      <w:r w:rsidRPr="005379B4">
        <w:t xml:space="preserve">Layton, D. S., Choudhary, A., &amp;amp; Bean A. G.D. (2017). </w:t>
      </w:r>
      <w:r w:rsidRPr="005379B4">
        <w:rPr>
          <w:i/>
          <w:iCs/>
        </w:rPr>
        <w:t>Breaking the chain of zoonoses through biosecurity in livestock</w:t>
      </w:r>
      <w:r w:rsidRPr="005379B4">
        <w:t>. Vaccine, 35(44), 5967-5973.</w:t>
      </w:r>
    </w:p>
    <w:p w14:paraId="530FD850" w14:textId="77777777" w:rsidR="005379B4" w:rsidRPr="005379B4" w:rsidRDefault="005379B4" w:rsidP="005379B4">
      <w:pPr>
        <w:jc w:val="both"/>
      </w:pPr>
      <w:r w:rsidRPr="005379B4">
        <w:t xml:space="preserve">Jack, A., Oladunni, F.S., Gonchigoo, B., Chambers, T.M., &amp;amp; Gray, G. C. (2020). </w:t>
      </w:r>
      <w:r w:rsidRPr="005379B4">
        <w:rPr>
          <w:i/>
          <w:iCs/>
        </w:rPr>
        <w:t>zoonotic diseases from horses: A systematic review.</w:t>
      </w:r>
      <w:r w:rsidRPr="005379B4">
        <w:t xml:space="preserve"> Vector-Borne and Zoonotic Diseases, 20(7), 484-495.</w:t>
      </w:r>
    </w:p>
    <w:p w14:paraId="21EA67A1" w14:textId="77777777" w:rsidR="005379B4" w:rsidRPr="005379B4" w:rsidRDefault="005379B4" w:rsidP="005379B4">
      <w:pPr>
        <w:jc w:val="both"/>
      </w:pPr>
      <w:r w:rsidRPr="005379B4">
        <w:t xml:space="preserve">Schwarz, E. R., &amp;amp; Long M. T.  (2023). </w:t>
      </w:r>
      <w:r w:rsidRPr="005379B4">
        <w:rPr>
          <w:i/>
          <w:iCs/>
        </w:rPr>
        <w:t>Comparison of West Nile virus disease in humans and horses: exploiting similarities for enhancing syndromic surveillance. Viruses,</w:t>
      </w:r>
      <w:r w:rsidRPr="005379B4">
        <w:t xml:space="preserve"> 15(6), 1230.</w:t>
      </w:r>
    </w:p>
    <w:p w14:paraId="38965AEA" w14:textId="77777777" w:rsidR="005379B4" w:rsidRPr="005379B4" w:rsidRDefault="005379B4" w:rsidP="005379B4">
      <w:pPr>
        <w:jc w:val="both"/>
      </w:pPr>
      <w:r w:rsidRPr="005379B4">
        <w:t xml:space="preserve">Sellon, D. C., &amp;amp; Long, M. T. (2013). </w:t>
      </w:r>
      <w:r w:rsidRPr="005379B4">
        <w:rPr>
          <w:i/>
          <w:iCs/>
        </w:rPr>
        <w:t>Equine infectious diseases</w:t>
      </w:r>
      <w:r w:rsidRPr="005379B4">
        <w:t xml:space="preserve"> (2), (383-384). Elsevier Health Sciences. </w:t>
      </w:r>
    </w:p>
    <w:p w14:paraId="7B2A8B29" w14:textId="77777777" w:rsidR="005379B4" w:rsidRPr="005379B4" w:rsidRDefault="005379B4" w:rsidP="005379B4">
      <w:pPr>
        <w:jc w:val="both"/>
      </w:pPr>
      <w:r w:rsidRPr="005379B4">
        <w:t xml:space="preserve">Αρσένος, Γ. Ι. (2014). </w:t>
      </w:r>
      <w:r w:rsidRPr="005379B4">
        <w:rPr>
          <w:i/>
          <w:iCs/>
        </w:rPr>
        <w:t>Ιπποτροφία</w:t>
      </w:r>
      <w:r w:rsidRPr="005379B4">
        <w:t>. Θεσσαλονίκη: Εκδόσεις Τζιόλα</w:t>
      </w:r>
    </w:p>
    <w:p w14:paraId="2A29A107" w14:textId="77777777" w:rsidR="005379B4" w:rsidRPr="005379B4" w:rsidRDefault="005379B4" w:rsidP="005379B4">
      <w:pPr>
        <w:jc w:val="both"/>
      </w:pPr>
      <w:r w:rsidRPr="005379B4">
        <w:t xml:space="preserve">Παπαδογιαννάκης, Ε.Ι. (2009). </w:t>
      </w:r>
      <w:r w:rsidRPr="005379B4">
        <w:rPr>
          <w:i/>
          <w:iCs/>
        </w:rPr>
        <w:t>Ζωοανθρωπονόσοι: Νοσήματα μεταδιδόμενα από τα ζώα στον άνθρωπο και αντίστροφ</w:t>
      </w:r>
      <w:r w:rsidRPr="005379B4">
        <w:t>α (zoonoses). Mendor editions S.A.</w:t>
      </w:r>
    </w:p>
    <w:p w14:paraId="0947DA89" w14:textId="77777777" w:rsidR="005379B4" w:rsidRDefault="005379B4" w:rsidP="005379B4">
      <w:pPr>
        <w:jc w:val="both"/>
        <w:rPr>
          <w:b/>
          <w:bCs/>
        </w:rPr>
      </w:pPr>
      <w:r w:rsidRPr="005379B4">
        <w:br/>
      </w:r>
      <w:r w:rsidRPr="005379B4">
        <w:br/>
      </w:r>
      <w:r w:rsidRPr="005379B4">
        <w:br/>
      </w:r>
      <w:r w:rsidRPr="005379B4">
        <w:br/>
      </w:r>
      <w:r w:rsidRPr="005379B4">
        <w:br/>
      </w:r>
      <w:r w:rsidRPr="005379B4">
        <w:rPr>
          <w:b/>
          <w:bCs/>
        </w:rPr>
        <w:lastRenderedPageBreak/>
        <w:t>Clinical Approach to a Mass with Suspected Malignant Etiology in a Dog (Suspected Hemangiosarcoma)</w:t>
      </w:r>
    </w:p>
    <w:p w14:paraId="2859C636" w14:textId="716B165D" w:rsidR="005379B4" w:rsidRPr="005379B4" w:rsidRDefault="005379B4" w:rsidP="005379B4">
      <w:pPr>
        <w:jc w:val="both"/>
        <w:rPr>
          <w:b/>
          <w:bCs/>
        </w:rPr>
      </w:pPr>
      <w:r>
        <w:t>Christodoulou</w:t>
      </w:r>
      <w:r w:rsidRPr="005379B4">
        <w:t xml:space="preserve"> Grigoria Anna¹, Chatzis Emmanouil², Mparmpagianni Mariana³</w:t>
      </w:r>
    </w:p>
    <w:p w14:paraId="1715CB87" w14:textId="77777777" w:rsidR="005379B4" w:rsidRPr="005379B4" w:rsidRDefault="005379B4">
      <w:pPr>
        <w:numPr>
          <w:ilvl w:val="0"/>
          <w:numId w:val="99"/>
        </w:numPr>
        <w:jc w:val="both"/>
      </w:pPr>
      <w:r w:rsidRPr="005379B4">
        <w:t>Undergraduate Student, Department of Veterinary Medicine, School of Health Sciences, University of Thessaly</w:t>
      </w:r>
    </w:p>
    <w:p w14:paraId="3A2DBF94" w14:textId="77777777" w:rsidR="005379B4" w:rsidRPr="005379B4" w:rsidRDefault="005379B4">
      <w:pPr>
        <w:numPr>
          <w:ilvl w:val="0"/>
          <w:numId w:val="99"/>
        </w:numPr>
        <w:jc w:val="both"/>
      </w:pPr>
      <w:r w:rsidRPr="005379B4">
        <w:t> Postdoctoral Instructor, Department of Veterinary Medicine, School of Health Sciences, University of Thessaly</w:t>
      </w:r>
    </w:p>
    <w:p w14:paraId="081B59D3" w14:textId="77777777" w:rsidR="005379B4" w:rsidRPr="005379B4" w:rsidRDefault="005379B4">
      <w:pPr>
        <w:numPr>
          <w:ilvl w:val="0"/>
          <w:numId w:val="99"/>
        </w:numPr>
        <w:jc w:val="both"/>
      </w:pPr>
      <w:r w:rsidRPr="005379B4">
        <w:t>Associate Professor, Department of Veterinary Medicine, School of Health Sciences, University of Thessaly</w:t>
      </w:r>
    </w:p>
    <w:p w14:paraId="1C51AAF4" w14:textId="77777777" w:rsidR="005379B4" w:rsidRPr="005379B4" w:rsidRDefault="005379B4" w:rsidP="005379B4">
      <w:pPr>
        <w:jc w:val="both"/>
      </w:pPr>
    </w:p>
    <w:p w14:paraId="04180812" w14:textId="77777777" w:rsidR="005379B4" w:rsidRPr="005379B4" w:rsidRDefault="005379B4" w:rsidP="005379B4">
      <w:pPr>
        <w:jc w:val="both"/>
      </w:pPr>
      <w:r w:rsidRPr="005379B4">
        <w:rPr>
          <w:b/>
          <w:bCs/>
        </w:rPr>
        <w:t>Abstract</w:t>
      </w:r>
    </w:p>
    <w:p w14:paraId="28FA3B36" w14:textId="77777777" w:rsidR="005379B4" w:rsidRPr="005379B4" w:rsidRDefault="005379B4" w:rsidP="005379B4">
      <w:pPr>
        <w:jc w:val="both"/>
      </w:pPr>
      <w:r w:rsidRPr="005379B4">
        <w:t>The present clinical case concerns hemangiosarcoma, one of the most frequently occurring malignant neoplasms in the dog. Specifically, the case concerns an elderly dog that was brought to the clinic after a mass was observed on the skin in the area next to the sternum by the owner. A sample was obtained from the mass for cytological examination (FNA), and neoplastic cells with features of malignancy were found in the smear, a finding that made it necessary to perform hematological and biochemical examinations. The results showed elevated liver enzymes, while at the same time, clinical examination revealed abdominal pain and enlargement of an undefined structure intra-abdominally upon palpation. Based on the above findings, it was deemed necessary to perform an abdominal ultrasound in order to evaluate the liver as well as the other intra-abdominal organs. On ultrasound, nodular lesions were found within the hepatic parenchyma, while the spleen had a clearly demarcated circular structure with features suggestive of a strong suspicion of malignant neoplasia and, in this case, hemangiosarcoma, as it constitutes 80% of malignancy cases in this organ. The indicated therapeutic approach, which includes surgical removal of the spleen and, adjunctively, biopsy sampling and chemotherapy, was recommended; however, the owner refused to proceed with further veterinary interventions and left.</w:t>
      </w:r>
    </w:p>
    <w:p w14:paraId="22BE4196" w14:textId="77777777" w:rsidR="005379B4" w:rsidRPr="005379B4" w:rsidRDefault="005379B4" w:rsidP="005379B4">
      <w:pPr>
        <w:jc w:val="both"/>
      </w:pPr>
    </w:p>
    <w:p w14:paraId="77E6EF74" w14:textId="77777777" w:rsidR="005379B4" w:rsidRPr="005379B4" w:rsidRDefault="005379B4" w:rsidP="005379B4">
      <w:pPr>
        <w:jc w:val="both"/>
      </w:pPr>
      <w:r w:rsidRPr="005379B4">
        <w:rPr>
          <w:b/>
          <w:bCs/>
        </w:rPr>
        <w:t>Bibliography</w:t>
      </w:r>
    </w:p>
    <w:p w14:paraId="6CDE726B" w14:textId="3445DB08" w:rsidR="005379B4" w:rsidRPr="005379B4" w:rsidRDefault="005379B4" w:rsidP="005379B4">
      <w:pPr>
        <w:jc w:val="both"/>
      </w:pPr>
      <w:r w:rsidRPr="005379B4">
        <w:t xml:space="preserve">Monnet Éric (2023). </w:t>
      </w:r>
      <w:r w:rsidRPr="005379B4">
        <w:rPr>
          <w:i/>
          <w:iCs/>
        </w:rPr>
        <w:t>Small Animal Soft Tissue Surgery. Wiley-Blackwell. Chapter: Hemangiosarcoma – Surgical Management</w:t>
      </w:r>
      <w:r w:rsidRPr="005379B4">
        <w:t>. </w:t>
      </w:r>
    </w:p>
    <w:p w14:paraId="04ACC9B5" w14:textId="76F09573" w:rsidR="005379B4" w:rsidRPr="005379B4" w:rsidRDefault="005379B4" w:rsidP="005379B4">
      <w:pPr>
        <w:jc w:val="both"/>
      </w:pPr>
      <w:r w:rsidRPr="005379B4">
        <w:t xml:space="preserve">Richard W. Nelson, C. Guillermo Couto (2020). </w:t>
      </w:r>
      <w:r w:rsidRPr="005379B4">
        <w:rPr>
          <w:i/>
          <w:iCs/>
        </w:rPr>
        <w:t>Small Animal Internal Medicine. Elsevier.Chapter: Hemangiosarcoma. </w:t>
      </w:r>
    </w:p>
    <w:p w14:paraId="7893776A" w14:textId="77777777" w:rsidR="005379B4" w:rsidRDefault="005379B4" w:rsidP="005379B4">
      <w:pPr>
        <w:jc w:val="both"/>
      </w:pPr>
      <w:r w:rsidRPr="005379B4">
        <w:t>Rick L. Cowell, Ronald D. Tyler (2020)</w:t>
      </w:r>
      <w:r w:rsidRPr="005379B4">
        <w:rPr>
          <w:i/>
          <w:iCs/>
        </w:rPr>
        <w:t>. Cowell and Tyler's Diagnostic Cytology and Hematology of the Dog and Cat</w:t>
      </w:r>
      <w:r w:rsidRPr="005379B4">
        <w:t>. Elsevier.</w:t>
      </w:r>
    </w:p>
    <w:p w14:paraId="0880E62C" w14:textId="77777777" w:rsidR="005379B4" w:rsidRDefault="005379B4" w:rsidP="005379B4">
      <w:pPr>
        <w:jc w:val="both"/>
      </w:pPr>
      <w:r w:rsidRPr="005379B4">
        <w:br/>
      </w:r>
      <w:r w:rsidRPr="005379B4">
        <w:br/>
      </w:r>
    </w:p>
    <w:p w14:paraId="3FDAEC04" w14:textId="3D1923D8" w:rsidR="005379B4" w:rsidRDefault="005379B4" w:rsidP="005379B4">
      <w:pPr>
        <w:jc w:val="both"/>
        <w:rPr>
          <w:b/>
          <w:bCs/>
        </w:rPr>
      </w:pPr>
      <w:r w:rsidRPr="005379B4">
        <w:br/>
      </w:r>
    </w:p>
    <w:p w14:paraId="1B666768" w14:textId="77777777" w:rsidR="005379B4" w:rsidRDefault="005379B4" w:rsidP="005379B4">
      <w:pPr>
        <w:jc w:val="both"/>
        <w:rPr>
          <w:b/>
          <w:bCs/>
        </w:rPr>
      </w:pPr>
      <w:r w:rsidRPr="005379B4">
        <w:rPr>
          <w:b/>
          <w:bCs/>
        </w:rPr>
        <w:lastRenderedPageBreak/>
        <w:t>Chronic Lymphocytic Leukemia in Dogs</w:t>
      </w:r>
    </w:p>
    <w:p w14:paraId="39A6BBDB" w14:textId="4299D42D" w:rsidR="005379B4" w:rsidRPr="005379B4" w:rsidRDefault="005379B4" w:rsidP="005379B4">
      <w:pPr>
        <w:jc w:val="both"/>
        <w:rPr>
          <w:b/>
          <w:bCs/>
        </w:rPr>
      </w:pPr>
      <w:r w:rsidRPr="005379B4">
        <w:t>Mesiakaris Foivos¹, Bagias Christos</w:t>
      </w:r>
      <w:r w:rsidRPr="005379B4">
        <w:rPr>
          <w:vertAlign w:val="superscript"/>
        </w:rPr>
        <w:t>1</w:t>
      </w:r>
      <w:r w:rsidRPr="005379B4">
        <w:t xml:space="preserve">, Mylonakis Matthaios </w:t>
      </w:r>
      <w:r w:rsidRPr="005379B4">
        <w:rPr>
          <w:vertAlign w:val="superscript"/>
        </w:rPr>
        <w:t>2</w:t>
      </w:r>
      <w:r w:rsidRPr="005379B4">
        <w:t xml:space="preserve">, Dervisis Nikos </w:t>
      </w:r>
      <w:r w:rsidRPr="005379B4">
        <w:rPr>
          <w:vertAlign w:val="superscript"/>
        </w:rPr>
        <w:t>3</w:t>
      </w:r>
    </w:p>
    <w:p w14:paraId="4C818C3C" w14:textId="77777777" w:rsidR="005379B4" w:rsidRPr="005379B4" w:rsidRDefault="005379B4">
      <w:pPr>
        <w:numPr>
          <w:ilvl w:val="0"/>
          <w:numId w:val="100"/>
        </w:numPr>
        <w:jc w:val="both"/>
      </w:pPr>
      <w:r w:rsidRPr="005379B4">
        <w:t>Undergraduate Student, Department of Veterinary Medicine, School of Health Sciences, Aristotle University of Thessaloniki</w:t>
      </w:r>
    </w:p>
    <w:p w14:paraId="20EDC52C" w14:textId="77777777" w:rsidR="005379B4" w:rsidRPr="005379B4" w:rsidRDefault="005379B4">
      <w:pPr>
        <w:numPr>
          <w:ilvl w:val="0"/>
          <w:numId w:val="100"/>
        </w:numPr>
        <w:jc w:val="both"/>
      </w:pPr>
      <w:r w:rsidRPr="005379B4">
        <w:t>DVM, PhD, Professor of Department of Veterinary Medicine, School of Health Sciences, Aristotle University of Thessaloniki</w:t>
      </w:r>
    </w:p>
    <w:p w14:paraId="5CB1E79F" w14:textId="77777777" w:rsidR="005379B4" w:rsidRDefault="005379B4">
      <w:pPr>
        <w:numPr>
          <w:ilvl w:val="0"/>
          <w:numId w:val="100"/>
        </w:numPr>
        <w:jc w:val="both"/>
      </w:pPr>
      <w:r w:rsidRPr="005379B4">
        <w:t>Associate Professor of Oncology, College of Veterinary Medicine, Institute for Cancer Research, Purdue University, Indiana, USA; Scientific Director of the Oncology Department, Cura Animalis Vet Clinic</w:t>
      </w:r>
    </w:p>
    <w:p w14:paraId="6302041D" w14:textId="77777777" w:rsidR="005379B4" w:rsidRPr="005379B4" w:rsidRDefault="005379B4" w:rsidP="005379B4">
      <w:pPr>
        <w:ind w:left="720"/>
        <w:jc w:val="both"/>
      </w:pPr>
    </w:p>
    <w:p w14:paraId="300FB945" w14:textId="77777777" w:rsidR="005379B4" w:rsidRPr="005379B4" w:rsidRDefault="005379B4" w:rsidP="005379B4">
      <w:pPr>
        <w:jc w:val="both"/>
      </w:pPr>
      <w:r w:rsidRPr="005379B4">
        <w:rPr>
          <w:b/>
          <w:bCs/>
        </w:rPr>
        <w:t>Abstract</w:t>
      </w:r>
      <w:r w:rsidRPr="005379B4">
        <w:br/>
        <w:t>This study analyzes the pathological condition of chronic lymphocytic leukemia in dogs (CLL), as it is one of the most common types of cancer in this species. </w:t>
      </w:r>
    </w:p>
    <w:p w14:paraId="6643653B" w14:textId="77777777" w:rsidR="005379B4" w:rsidRPr="005379B4" w:rsidRDefault="005379B4" w:rsidP="005379B4">
      <w:pPr>
        <w:jc w:val="both"/>
      </w:pPr>
      <w:r w:rsidRPr="005379B4">
        <w:t>Through this work, the pathognomonic nature of the disease as a neoplastic disorder of mature lymphocytes will be clarified, and its slow progression compared to other hematologic malignancies will be examined. Additionally, its management through long-term monitoring (follow-ups) will be discussed, as both monitoring and disease staging determine the criteria for initiating treatment as well as the available therapeutic options. Finally, two real clinical cases from veterinary practice will be presented, highlighting the different courses of the disease and the importance of an individualized approach in patient management.</w:t>
      </w:r>
    </w:p>
    <w:p w14:paraId="428F681E" w14:textId="77777777" w:rsidR="005379B4" w:rsidRPr="005379B4" w:rsidRDefault="005379B4" w:rsidP="005379B4">
      <w:pPr>
        <w:jc w:val="both"/>
      </w:pPr>
    </w:p>
    <w:p w14:paraId="129A1F04" w14:textId="77777777" w:rsidR="005379B4" w:rsidRPr="005379B4" w:rsidRDefault="005379B4" w:rsidP="005379B4">
      <w:pPr>
        <w:jc w:val="both"/>
      </w:pPr>
      <w:r w:rsidRPr="005379B4">
        <w:rPr>
          <w:b/>
          <w:bCs/>
        </w:rPr>
        <w:t>Bibliography</w:t>
      </w:r>
    </w:p>
    <w:p w14:paraId="3DA4A74F" w14:textId="77777777" w:rsidR="005379B4" w:rsidRPr="005379B4" w:rsidRDefault="005379B4" w:rsidP="005379B4">
      <w:pPr>
        <w:jc w:val="both"/>
      </w:pPr>
      <w:r w:rsidRPr="005379B4">
        <w:t xml:space="preserve">Marconato, L., Gelain, M. E., &amp; Comazzi, S. (2012). </w:t>
      </w:r>
      <w:r w:rsidRPr="005379B4">
        <w:rPr>
          <w:i/>
          <w:iCs/>
        </w:rPr>
        <w:t>The dog as a possible animal model for human non-Hodgkin lymphoma: A review</w:t>
      </w:r>
      <w:r w:rsidRPr="005379B4">
        <w:t>. </w:t>
      </w:r>
      <w:r w:rsidRPr="005379B4">
        <w:rPr>
          <w:i/>
          <w:iCs/>
        </w:rPr>
        <w:t>Hematological Oncology, 30</w:t>
      </w:r>
      <w:r w:rsidRPr="005379B4">
        <w:t>(1), 1–9. </w:t>
      </w:r>
    </w:p>
    <w:p w14:paraId="70B346C8" w14:textId="77777777" w:rsidR="005379B4" w:rsidRPr="005379B4" w:rsidRDefault="005379B4" w:rsidP="005379B4">
      <w:pPr>
        <w:jc w:val="both"/>
      </w:pPr>
      <w:r w:rsidRPr="005379B4">
        <w:t xml:space="preserve">Ponce, F., Marchal, T., Magnol, J. P., Turinelli, V., Ledieu, D., Bonnefont, C., Pastor, M., Delignette, M. L., &amp; Fournel-Fleury, C. (2010). </w:t>
      </w:r>
      <w:r w:rsidRPr="005379B4">
        <w:rPr>
          <w:i/>
          <w:iCs/>
        </w:rPr>
        <w:t>A morphological study of 608 cases of canine malignant lymphoma in France with a focus on comparative similarities between canine and human lymphoma morphology.</w:t>
      </w:r>
      <w:r w:rsidRPr="005379B4">
        <w:t> </w:t>
      </w:r>
      <w:r w:rsidRPr="005379B4">
        <w:rPr>
          <w:i/>
          <w:iCs/>
        </w:rPr>
        <w:t>Veterinary Pathology, 47</w:t>
      </w:r>
      <w:r w:rsidRPr="005379B4">
        <w:t>(3), 414–433.</w:t>
      </w:r>
    </w:p>
    <w:p w14:paraId="6901BA96" w14:textId="1E1D047E" w:rsidR="005379B4" w:rsidRPr="005379B4" w:rsidRDefault="005379B4" w:rsidP="005379B4">
      <w:pPr>
        <w:jc w:val="both"/>
      </w:pPr>
      <w:r w:rsidRPr="005379B4">
        <w:t xml:space="preserve">Rout, E. D., Avery, A. C., &amp; Avery, P. R. (2021). </w:t>
      </w:r>
      <w:r w:rsidRPr="005379B4">
        <w:rPr>
          <w:i/>
          <w:iCs/>
        </w:rPr>
        <w:t>Clinical outcome and prognostic factors in dogs with B-cell chronic lymphocytic leukemia.</w:t>
      </w:r>
      <w:r w:rsidRPr="005379B4">
        <w:t> </w:t>
      </w:r>
      <w:r w:rsidRPr="005379B4">
        <w:rPr>
          <w:i/>
          <w:iCs/>
        </w:rPr>
        <w:t>Journal of Veterinary Internal Medicine, 35</w:t>
      </w:r>
      <w:r w:rsidRPr="005379B4">
        <w:t>(3), 1418–1428. </w:t>
      </w:r>
    </w:p>
    <w:p w14:paraId="3513F10B" w14:textId="5A421610" w:rsidR="005379B4" w:rsidRPr="005379B4" w:rsidRDefault="005379B4" w:rsidP="005379B4">
      <w:pPr>
        <w:jc w:val="both"/>
      </w:pPr>
      <w:r w:rsidRPr="005379B4">
        <w:t xml:space="preserve">Vail, D. M., Pinkerton, M. E., &amp; Young, K. M. (2019). </w:t>
      </w:r>
      <w:r w:rsidRPr="005379B4">
        <w:rPr>
          <w:i/>
          <w:iCs/>
        </w:rPr>
        <w:t>Hematopoietic tumors. In S. J. Withrow, D. M. Vail, &amp; R. L. Page</w:t>
      </w:r>
      <w:r w:rsidRPr="005379B4">
        <w:t xml:space="preserve"> (Eds.), </w:t>
      </w:r>
      <w:r w:rsidRPr="005379B4">
        <w:rPr>
          <w:i/>
          <w:iCs/>
        </w:rPr>
        <w:t>Withrow and MacEwen's Small Animal Clinical Oncology</w:t>
      </w:r>
      <w:r w:rsidRPr="005379B4">
        <w:t> (6th ed., pp. 688–772). Elsevier.</w:t>
      </w:r>
    </w:p>
    <w:p w14:paraId="5912F6E2" w14:textId="77777777" w:rsidR="005379B4" w:rsidRPr="005379B4" w:rsidRDefault="005379B4" w:rsidP="005379B4">
      <w:pPr>
        <w:jc w:val="both"/>
      </w:pPr>
      <w:r w:rsidRPr="005379B4">
        <w:t xml:space="preserve">Workman, H. C., &amp; Vernau, W. (2003). </w:t>
      </w:r>
      <w:r w:rsidRPr="005379B4">
        <w:rPr>
          <w:i/>
          <w:iCs/>
        </w:rPr>
        <w:t>Chronic lymphocytic leukemia in dogs and cats: The veterinary perspective</w:t>
      </w:r>
      <w:r w:rsidRPr="005379B4">
        <w:t>. </w:t>
      </w:r>
      <w:r w:rsidRPr="005379B4">
        <w:rPr>
          <w:i/>
          <w:iCs/>
        </w:rPr>
        <w:t>Journal of Veterinary Internal Medicine, 17</w:t>
      </w:r>
      <w:r w:rsidRPr="005379B4">
        <w:t>(3), 294–305.</w:t>
      </w:r>
    </w:p>
    <w:p w14:paraId="444ACB6D" w14:textId="7DCD4A22" w:rsidR="005379B4" w:rsidRDefault="005379B4" w:rsidP="005379B4">
      <w:pPr>
        <w:jc w:val="both"/>
      </w:pPr>
      <w:r w:rsidRPr="005379B4">
        <w:br/>
      </w:r>
      <w:r w:rsidRPr="005379B4">
        <w:br/>
      </w:r>
    </w:p>
    <w:p w14:paraId="2C216AD1" w14:textId="77777777" w:rsidR="005379B4" w:rsidRPr="005379B4" w:rsidRDefault="005379B4" w:rsidP="005379B4">
      <w:pPr>
        <w:jc w:val="both"/>
      </w:pPr>
    </w:p>
    <w:p w14:paraId="0A0EDCCE" w14:textId="190BA3CD" w:rsidR="005379B4" w:rsidRPr="005379B4" w:rsidRDefault="005379B4" w:rsidP="005379B4">
      <w:pPr>
        <w:jc w:val="both"/>
      </w:pPr>
      <w:r w:rsidRPr="005379B4">
        <w:rPr>
          <w:b/>
          <w:bCs/>
        </w:rPr>
        <w:lastRenderedPageBreak/>
        <w:t>Guidelines for the Diagnostic Approach to Feline Infectious Peritonitis (FIP)</w:t>
      </w:r>
    </w:p>
    <w:p w14:paraId="7739928A" w14:textId="77777777" w:rsidR="005379B4" w:rsidRPr="005379B4" w:rsidRDefault="005379B4" w:rsidP="005379B4">
      <w:pPr>
        <w:jc w:val="both"/>
      </w:pPr>
      <w:r w:rsidRPr="005379B4">
        <w:t>Paschali Styliani</w:t>
      </w:r>
      <w:r w:rsidRPr="005379B4">
        <w:rPr>
          <w:vertAlign w:val="superscript"/>
        </w:rPr>
        <w:t>1</w:t>
      </w:r>
      <w:r w:rsidRPr="005379B4">
        <w:t>, Lefa Konstantina</w:t>
      </w:r>
      <w:r w:rsidRPr="005379B4">
        <w:rPr>
          <w:vertAlign w:val="superscript"/>
        </w:rPr>
        <w:t>1</w:t>
      </w:r>
      <w:r w:rsidRPr="005379B4">
        <w:t>, Mylonakis Matthaios</w:t>
      </w:r>
      <w:r w:rsidRPr="005379B4">
        <w:rPr>
          <w:vertAlign w:val="superscript"/>
        </w:rPr>
        <w:t>2</w:t>
      </w:r>
    </w:p>
    <w:p w14:paraId="76B7B1D0" w14:textId="77777777" w:rsidR="005379B4" w:rsidRPr="005379B4" w:rsidRDefault="005379B4">
      <w:pPr>
        <w:numPr>
          <w:ilvl w:val="0"/>
          <w:numId w:val="101"/>
        </w:numPr>
        <w:jc w:val="both"/>
      </w:pPr>
      <w:r w:rsidRPr="005379B4">
        <w:t>Undergraduate students, Department of Veterinary Medicine, School of Health Sciences, Aristotle University of Thessaloniki </w:t>
      </w:r>
    </w:p>
    <w:p w14:paraId="002D782B" w14:textId="77777777" w:rsidR="005379B4" w:rsidRPr="005379B4" w:rsidRDefault="005379B4">
      <w:pPr>
        <w:numPr>
          <w:ilvl w:val="0"/>
          <w:numId w:val="101"/>
        </w:numPr>
        <w:jc w:val="both"/>
      </w:pPr>
      <w:r w:rsidRPr="005379B4">
        <w:t>Professor of Companion Animal Clinical Pathology, Department of Veterinary Medicine, School of Health Sciences, Aristotle University of Thessaloniki</w:t>
      </w:r>
    </w:p>
    <w:p w14:paraId="6B67C9FB" w14:textId="77777777" w:rsidR="005379B4" w:rsidRPr="005379B4" w:rsidRDefault="005379B4" w:rsidP="005379B4">
      <w:pPr>
        <w:jc w:val="both"/>
      </w:pPr>
    </w:p>
    <w:p w14:paraId="07BCA384" w14:textId="77777777" w:rsidR="005379B4" w:rsidRPr="005379B4" w:rsidRDefault="005379B4" w:rsidP="005379B4">
      <w:pPr>
        <w:jc w:val="both"/>
      </w:pPr>
      <w:r w:rsidRPr="005379B4">
        <w:rPr>
          <w:b/>
          <w:bCs/>
        </w:rPr>
        <w:t>Abstract</w:t>
      </w:r>
    </w:p>
    <w:p w14:paraId="6AD9AE15" w14:textId="77777777" w:rsidR="005379B4" w:rsidRPr="005379B4" w:rsidRDefault="005379B4" w:rsidP="005379B4">
      <w:pPr>
        <w:jc w:val="both"/>
      </w:pPr>
      <w:r w:rsidRPr="005379B4">
        <w:t>This paper discusses selected guidelines from the European Advisory Board on Cat Diseases (ABCD) and the American Association of Feline Practitioners (AAFP) regarding the diagnostic approach and management of Feline Infectious Peritonitis (FIP). FIP is caused by the Feline Coronavirus (FCoV), which primarily infects the feline intestinal epithelium. While FCoV infection does not necessarily lead to clinical symptoms, a percentage of infected cats may eventually develop FIP. The primary symptoms include fever and weight loss; many affected cats also present with peritoneal and pleural effusions, ocular lesions, and neurological signs. The diagnostic process remains a challenge for clinical veterinarians due to the lack of a definitive laboratory test, combined with the difficulty of differential diagnosis from other conditions (such as septic peritonitis). Due to the virus's frequent mutations, prevention is considered to have limited effectiveness; thus, emphasis is placed on maintaining good hygiene, reducing stressors, and supporting the animal's immune system.</w:t>
      </w:r>
    </w:p>
    <w:p w14:paraId="3BF83F22" w14:textId="77777777" w:rsidR="005379B4" w:rsidRPr="005379B4" w:rsidRDefault="005379B4" w:rsidP="005379B4">
      <w:pPr>
        <w:jc w:val="both"/>
      </w:pPr>
    </w:p>
    <w:p w14:paraId="3D9ADD95" w14:textId="77777777" w:rsidR="005379B4" w:rsidRPr="005379B4" w:rsidRDefault="005379B4" w:rsidP="005379B4">
      <w:pPr>
        <w:jc w:val="both"/>
      </w:pPr>
      <w:r w:rsidRPr="005379B4">
        <w:rPr>
          <w:b/>
          <w:bCs/>
        </w:rPr>
        <w:t>Bibliography</w:t>
      </w:r>
    </w:p>
    <w:p w14:paraId="4728711A" w14:textId="6E97BB13" w:rsidR="005379B4" w:rsidRPr="005379B4" w:rsidRDefault="005379B4" w:rsidP="005379B4">
      <w:pPr>
        <w:jc w:val="both"/>
      </w:pPr>
      <w:r w:rsidRPr="005379B4">
        <w:t xml:space="preserve">Ansari Mood, M. (2025). </w:t>
      </w:r>
      <w:r w:rsidRPr="005379B4">
        <w:rPr>
          <w:i/>
          <w:iCs/>
        </w:rPr>
        <w:t>Analysis of risk factors, clinical data, treatment outcomes for cats with feline infectious peritonitis using GS-441524 (2020–2024)</w:t>
      </w:r>
      <w:r w:rsidRPr="005379B4">
        <w:t>. Scientific Reports, 16(1), 1037.</w:t>
      </w:r>
    </w:p>
    <w:p w14:paraId="74842BE6" w14:textId="4DF0AC4E" w:rsidR="005379B4" w:rsidRPr="005379B4" w:rsidRDefault="005379B4" w:rsidP="005379B4">
      <w:pPr>
        <w:jc w:val="both"/>
      </w:pPr>
      <w:r w:rsidRPr="005379B4">
        <w:t xml:space="preserve">Gokalsing, E., Ferrolho, J., Gibson, M. S., Vilhena, H., &amp; Anastácio, S. (2025). </w:t>
      </w:r>
      <w:r w:rsidRPr="005379B4">
        <w:rPr>
          <w:i/>
          <w:iCs/>
        </w:rPr>
        <w:t>Efficacy of GS-441524 for feline infectious peritonitis: A systematic review</w:t>
      </w:r>
      <w:r w:rsidRPr="005379B4">
        <w:t xml:space="preserve"> (2018–2024). </w:t>
      </w:r>
      <w:r w:rsidRPr="005379B4">
        <w:rPr>
          <w:i/>
          <w:iCs/>
        </w:rPr>
        <w:t>Pathogens</w:t>
      </w:r>
      <w:r w:rsidRPr="005379B4">
        <w:t xml:space="preserve">, </w:t>
      </w:r>
      <w:r w:rsidRPr="005379B4">
        <w:rPr>
          <w:i/>
          <w:iCs/>
        </w:rPr>
        <w:t>14</w:t>
      </w:r>
      <w:r w:rsidRPr="005379B4">
        <w:t>(7), 717. </w:t>
      </w:r>
    </w:p>
    <w:p w14:paraId="27FF0B9C" w14:textId="250F1576" w:rsidR="005379B4" w:rsidRPr="005379B4" w:rsidRDefault="005379B4" w:rsidP="005379B4">
      <w:pPr>
        <w:jc w:val="both"/>
      </w:pPr>
      <w:r w:rsidRPr="005379B4">
        <w:t>Moyadee, W., Sunpongsri, S., Choowongkomon, K., Roytrakul, S., Rattanasrisomporn, A., Tansakul, N., &amp; Rattanasrisomporn, J. (2024). F</w:t>
      </w:r>
      <w:r w:rsidRPr="005379B4">
        <w:rPr>
          <w:i/>
          <w:iCs/>
        </w:rPr>
        <w:t>eline infectious peritonitis: A comprehensive evaluation of clinical manifestations, laboratory diagnosis, and therapeutic approaches</w:t>
      </w:r>
      <w:r w:rsidRPr="005379B4">
        <w:t xml:space="preserve">. </w:t>
      </w:r>
      <w:r w:rsidRPr="005379B4">
        <w:rPr>
          <w:i/>
          <w:iCs/>
        </w:rPr>
        <w:t>Journal of Advanced Veterinary and Animal Research</w:t>
      </w:r>
      <w:r w:rsidRPr="005379B4">
        <w:t xml:space="preserve">, </w:t>
      </w:r>
      <w:r w:rsidRPr="005379B4">
        <w:rPr>
          <w:i/>
          <w:iCs/>
        </w:rPr>
        <w:t>11</w:t>
      </w:r>
      <w:r w:rsidRPr="005379B4">
        <w:t>(1), 19-26.</w:t>
      </w:r>
    </w:p>
    <w:p w14:paraId="3CA66665" w14:textId="4EB723A3" w:rsidR="005379B4" w:rsidRPr="005379B4" w:rsidRDefault="005379B4" w:rsidP="005379B4">
      <w:pPr>
        <w:jc w:val="both"/>
      </w:pPr>
      <w:r w:rsidRPr="005379B4">
        <w:t xml:space="preserve">Tasker, S., Addie, D. D., Egberink, H., Hofmann-Lehmann, R., Hosie, M. J., Truyen, U., Belák, S., Boucraut-Baralon, C., Frymus, T., Lloret, A., Marsilio, F., Pennisi, M. G., Thiry, E., Möstl, K., &amp; Hartmann, K. (2023). </w:t>
      </w:r>
      <w:r w:rsidRPr="005379B4">
        <w:rPr>
          <w:i/>
          <w:iCs/>
        </w:rPr>
        <w:t>Feline Infectious Peritonitis: European Advisory Board on Cat Diseases Guidelines.</w:t>
      </w:r>
      <w:r w:rsidRPr="005379B4">
        <w:t xml:space="preserve"> </w:t>
      </w:r>
      <w:r w:rsidRPr="005379B4">
        <w:rPr>
          <w:i/>
          <w:iCs/>
        </w:rPr>
        <w:t>Viruses</w:t>
      </w:r>
      <w:r w:rsidRPr="005379B4">
        <w:t xml:space="preserve">, </w:t>
      </w:r>
      <w:r w:rsidRPr="005379B4">
        <w:rPr>
          <w:i/>
          <w:iCs/>
        </w:rPr>
        <w:t>15</w:t>
      </w:r>
      <w:r w:rsidRPr="005379B4">
        <w:t>(9), 1847. </w:t>
      </w:r>
    </w:p>
    <w:p w14:paraId="2DC493C9" w14:textId="62DF00E6" w:rsidR="005379B4" w:rsidRPr="005379B4" w:rsidRDefault="005379B4" w:rsidP="005379B4">
      <w:pPr>
        <w:jc w:val="both"/>
      </w:pPr>
      <w:r w:rsidRPr="005379B4">
        <w:t xml:space="preserve">Taylor, S. S., Coggins, S., Barker, E. N., Gunn-Moore, D., Jeevaratnam, K., Norris, J. M., Hughes, D., Stacey, E., MacFarlane, L., O'Brien, C., Korman, R., McLauchlan, G., Torres, X. S., Taylor, A., Bongers, J., Castro, L. E., Foreman, M., McMurrough, J., Thomas, B., ... Tasker, S. (2023). </w:t>
      </w:r>
      <w:r w:rsidRPr="005379B4">
        <w:rPr>
          <w:i/>
          <w:iCs/>
        </w:rPr>
        <w:t>Retrospective study and outcome of 307 cats with feline infectious peritonitis treated with legally sourced veterinary compounded preparations of remdesivir and GS-441524</w:t>
      </w:r>
      <w:r w:rsidRPr="005379B4">
        <w:t xml:space="preserve"> (2020–2022). </w:t>
      </w:r>
      <w:r w:rsidRPr="005379B4">
        <w:rPr>
          <w:i/>
          <w:iCs/>
        </w:rPr>
        <w:t>Journal of Feline Medicine and Surgery</w:t>
      </w:r>
      <w:r w:rsidRPr="005379B4">
        <w:t xml:space="preserve">, </w:t>
      </w:r>
      <w:r w:rsidRPr="005379B4">
        <w:rPr>
          <w:i/>
          <w:iCs/>
        </w:rPr>
        <w:t>25</w:t>
      </w:r>
      <w:r w:rsidRPr="005379B4">
        <w:t>(9), 1-26. </w:t>
      </w:r>
    </w:p>
    <w:p w14:paraId="16F9D249" w14:textId="20326BD8" w:rsidR="005379B4" w:rsidRPr="005379B4" w:rsidRDefault="005379B4" w:rsidP="005379B4">
      <w:pPr>
        <w:jc w:val="both"/>
      </w:pPr>
      <w:r w:rsidRPr="005379B4">
        <w:lastRenderedPageBreak/>
        <w:t xml:space="preserve">Thayer, V., Gogolski, S., Felten, S., Hartmann, K., Kennedy, M., &amp; Olah, G. A. (2022). </w:t>
      </w:r>
      <w:r w:rsidRPr="005379B4">
        <w:rPr>
          <w:i/>
          <w:iCs/>
        </w:rPr>
        <w:t>2022 AAFP/EveryCat feline infectious peritonitis diagnosis guidelines</w:t>
      </w:r>
      <w:r w:rsidRPr="005379B4">
        <w:t>. Journal of Feline Medicine and Surgery, 24(9), 905–93</w:t>
      </w:r>
    </w:p>
    <w:p w14:paraId="0905096C" w14:textId="77777777" w:rsidR="005379B4" w:rsidRDefault="005379B4" w:rsidP="005379B4">
      <w:pPr>
        <w:jc w:val="both"/>
      </w:pPr>
      <w:r w:rsidRPr="005379B4">
        <w:t xml:space="preserve">Tasker, S. (2018). </w:t>
      </w:r>
      <w:r w:rsidRPr="005379B4">
        <w:rPr>
          <w:i/>
          <w:iCs/>
        </w:rPr>
        <w:t>Diagnosis of feline infectious peritonitis: Update on evidence supporting available tests. Journal of Feline Medicine and Surgery</w:t>
      </w:r>
      <w:r w:rsidRPr="005379B4">
        <w:t xml:space="preserve">, </w:t>
      </w:r>
      <w:r w:rsidRPr="005379B4">
        <w:rPr>
          <w:i/>
          <w:iCs/>
        </w:rPr>
        <w:t>20</w:t>
      </w:r>
      <w:r w:rsidRPr="005379B4">
        <w:t>(3), 228–243.</w:t>
      </w:r>
    </w:p>
    <w:p w14:paraId="05E10995" w14:textId="77777777" w:rsidR="005379B4" w:rsidRDefault="005379B4" w:rsidP="005379B4">
      <w:pPr>
        <w:jc w:val="both"/>
      </w:pPr>
    </w:p>
    <w:p w14:paraId="23115E6A" w14:textId="77777777" w:rsidR="005379B4" w:rsidRDefault="005379B4" w:rsidP="005379B4">
      <w:pPr>
        <w:jc w:val="both"/>
      </w:pPr>
    </w:p>
    <w:p w14:paraId="2FF501A2" w14:textId="77777777" w:rsidR="005379B4" w:rsidRDefault="005379B4" w:rsidP="005379B4">
      <w:pPr>
        <w:jc w:val="both"/>
      </w:pPr>
    </w:p>
    <w:p w14:paraId="4198CB52" w14:textId="77777777" w:rsidR="005379B4" w:rsidRDefault="005379B4" w:rsidP="005379B4">
      <w:pPr>
        <w:jc w:val="both"/>
      </w:pPr>
    </w:p>
    <w:p w14:paraId="6FE7E7D5" w14:textId="77777777" w:rsidR="005379B4" w:rsidRDefault="005379B4" w:rsidP="005379B4">
      <w:pPr>
        <w:jc w:val="both"/>
      </w:pPr>
    </w:p>
    <w:p w14:paraId="10D3656E" w14:textId="77777777" w:rsidR="005379B4" w:rsidRDefault="005379B4" w:rsidP="005379B4">
      <w:pPr>
        <w:jc w:val="both"/>
      </w:pPr>
    </w:p>
    <w:p w14:paraId="6EE07BF7" w14:textId="77777777" w:rsidR="005379B4" w:rsidRDefault="005379B4" w:rsidP="005379B4">
      <w:pPr>
        <w:jc w:val="both"/>
      </w:pPr>
    </w:p>
    <w:p w14:paraId="7564BD6F" w14:textId="77777777" w:rsidR="005379B4" w:rsidRDefault="005379B4" w:rsidP="005379B4">
      <w:pPr>
        <w:jc w:val="both"/>
      </w:pPr>
    </w:p>
    <w:p w14:paraId="69EB67DA" w14:textId="77777777" w:rsidR="005379B4" w:rsidRDefault="005379B4" w:rsidP="005379B4">
      <w:pPr>
        <w:jc w:val="both"/>
      </w:pPr>
    </w:p>
    <w:p w14:paraId="1013B74F" w14:textId="77777777" w:rsidR="005379B4" w:rsidRDefault="005379B4" w:rsidP="005379B4">
      <w:pPr>
        <w:jc w:val="both"/>
      </w:pPr>
    </w:p>
    <w:p w14:paraId="4CF2CDD3" w14:textId="77777777" w:rsidR="005379B4" w:rsidRDefault="005379B4" w:rsidP="005379B4">
      <w:pPr>
        <w:jc w:val="both"/>
      </w:pPr>
    </w:p>
    <w:p w14:paraId="30E87968" w14:textId="77777777" w:rsidR="005379B4" w:rsidRDefault="005379B4" w:rsidP="005379B4">
      <w:pPr>
        <w:jc w:val="both"/>
      </w:pPr>
    </w:p>
    <w:p w14:paraId="7A33EBED" w14:textId="77777777" w:rsidR="005379B4" w:rsidRDefault="005379B4" w:rsidP="005379B4">
      <w:pPr>
        <w:jc w:val="both"/>
      </w:pPr>
    </w:p>
    <w:p w14:paraId="47D59DDC" w14:textId="77777777" w:rsidR="005379B4" w:rsidRDefault="005379B4" w:rsidP="005379B4">
      <w:pPr>
        <w:jc w:val="both"/>
      </w:pPr>
    </w:p>
    <w:p w14:paraId="072B545E" w14:textId="77777777" w:rsidR="005379B4" w:rsidRDefault="005379B4" w:rsidP="005379B4">
      <w:pPr>
        <w:jc w:val="both"/>
      </w:pPr>
    </w:p>
    <w:p w14:paraId="3903962F" w14:textId="77777777" w:rsidR="005379B4" w:rsidRDefault="005379B4" w:rsidP="005379B4">
      <w:pPr>
        <w:jc w:val="both"/>
      </w:pPr>
    </w:p>
    <w:p w14:paraId="37F326A3" w14:textId="77777777" w:rsidR="005379B4" w:rsidRDefault="005379B4" w:rsidP="005379B4">
      <w:pPr>
        <w:jc w:val="both"/>
      </w:pPr>
    </w:p>
    <w:p w14:paraId="4C98DA8F" w14:textId="77777777" w:rsidR="005379B4" w:rsidRDefault="005379B4" w:rsidP="005379B4">
      <w:pPr>
        <w:jc w:val="both"/>
      </w:pPr>
    </w:p>
    <w:p w14:paraId="2E663FD8" w14:textId="77777777" w:rsidR="005379B4" w:rsidRDefault="005379B4" w:rsidP="005379B4">
      <w:pPr>
        <w:jc w:val="both"/>
      </w:pPr>
    </w:p>
    <w:p w14:paraId="19507D86" w14:textId="77777777" w:rsidR="005379B4" w:rsidRDefault="005379B4" w:rsidP="005379B4">
      <w:pPr>
        <w:jc w:val="both"/>
      </w:pPr>
    </w:p>
    <w:p w14:paraId="670C1053" w14:textId="77777777" w:rsidR="005379B4" w:rsidRDefault="005379B4" w:rsidP="005379B4">
      <w:pPr>
        <w:jc w:val="both"/>
      </w:pPr>
    </w:p>
    <w:p w14:paraId="789A27BD" w14:textId="77777777" w:rsidR="005379B4" w:rsidRDefault="005379B4" w:rsidP="005379B4">
      <w:pPr>
        <w:jc w:val="both"/>
      </w:pPr>
    </w:p>
    <w:p w14:paraId="32EB87B9" w14:textId="77777777" w:rsidR="005379B4" w:rsidRDefault="005379B4" w:rsidP="005379B4">
      <w:pPr>
        <w:jc w:val="both"/>
      </w:pPr>
    </w:p>
    <w:p w14:paraId="1247C5CA" w14:textId="77777777" w:rsidR="005379B4" w:rsidRDefault="005379B4" w:rsidP="005379B4">
      <w:pPr>
        <w:jc w:val="both"/>
      </w:pPr>
    </w:p>
    <w:p w14:paraId="2C89ECEA" w14:textId="77777777" w:rsidR="005379B4" w:rsidRDefault="005379B4" w:rsidP="005379B4">
      <w:pPr>
        <w:jc w:val="both"/>
      </w:pPr>
    </w:p>
    <w:p w14:paraId="757EDF88" w14:textId="77777777" w:rsidR="005379B4" w:rsidRDefault="005379B4" w:rsidP="005379B4">
      <w:pPr>
        <w:jc w:val="both"/>
      </w:pPr>
    </w:p>
    <w:p w14:paraId="33B18B76" w14:textId="77777777" w:rsidR="005379B4" w:rsidRPr="005379B4" w:rsidRDefault="005379B4" w:rsidP="005379B4">
      <w:pPr>
        <w:jc w:val="both"/>
      </w:pPr>
    </w:p>
    <w:p w14:paraId="214731FA" w14:textId="77777777" w:rsidR="005379B4" w:rsidRPr="005379B4" w:rsidRDefault="005379B4" w:rsidP="005379B4">
      <w:pPr>
        <w:jc w:val="both"/>
      </w:pPr>
      <w:r w:rsidRPr="005379B4">
        <w:rPr>
          <w:b/>
          <w:bCs/>
        </w:rPr>
        <w:lastRenderedPageBreak/>
        <w:t>Canine Leishmaniosis: Clinical Signs, Diagnostic Challenges and Treatment Options</w:t>
      </w:r>
    </w:p>
    <w:p w14:paraId="43551112" w14:textId="77777777" w:rsidR="005379B4" w:rsidRPr="005379B4" w:rsidRDefault="005379B4" w:rsidP="005379B4">
      <w:pPr>
        <w:jc w:val="both"/>
      </w:pPr>
      <w:r w:rsidRPr="005379B4">
        <w:t>Pilioura Eleni</w:t>
      </w:r>
      <w:r w:rsidRPr="005379B4">
        <w:rPr>
          <w:vertAlign w:val="superscript"/>
        </w:rPr>
        <w:t>1</w:t>
      </w:r>
      <w:r w:rsidRPr="005379B4">
        <w:t>, Mpairamoglou Stathis</w:t>
      </w:r>
      <w:r w:rsidRPr="005379B4">
        <w:rPr>
          <w:vertAlign w:val="superscript"/>
        </w:rPr>
        <w:t>2</w:t>
      </w:r>
    </w:p>
    <w:p w14:paraId="317CC3CB" w14:textId="77777777" w:rsidR="005379B4" w:rsidRPr="005379B4" w:rsidRDefault="005379B4">
      <w:pPr>
        <w:numPr>
          <w:ilvl w:val="0"/>
          <w:numId w:val="102"/>
        </w:numPr>
        <w:jc w:val="both"/>
      </w:pPr>
      <w:r w:rsidRPr="005379B4">
        <w:rPr>
          <w:vertAlign w:val="superscript"/>
        </w:rPr>
        <w:t> </w:t>
      </w:r>
      <w:r w:rsidRPr="005379B4">
        <w:t>Undergraduate student, Veterinary Medicine Department, School of Health Sciences, Aristotle University of Thessaloniki </w:t>
      </w:r>
    </w:p>
    <w:p w14:paraId="1A701DF0" w14:textId="77777777" w:rsidR="005379B4" w:rsidRPr="005379B4" w:rsidRDefault="005379B4">
      <w:pPr>
        <w:numPr>
          <w:ilvl w:val="0"/>
          <w:numId w:val="102"/>
        </w:numPr>
        <w:jc w:val="both"/>
      </w:pPr>
      <w:r w:rsidRPr="005379B4">
        <w:t>DVM, GPCert (SAM), Resident of European College of Veterinary Dermatology (ECVD)</w:t>
      </w:r>
    </w:p>
    <w:p w14:paraId="5A3935D6" w14:textId="77777777" w:rsidR="005379B4" w:rsidRPr="005379B4" w:rsidRDefault="005379B4" w:rsidP="005379B4">
      <w:pPr>
        <w:jc w:val="both"/>
      </w:pPr>
    </w:p>
    <w:p w14:paraId="5FD32EAD" w14:textId="77777777" w:rsidR="005379B4" w:rsidRPr="005379B4" w:rsidRDefault="005379B4" w:rsidP="005379B4">
      <w:pPr>
        <w:jc w:val="both"/>
      </w:pPr>
      <w:r w:rsidRPr="005379B4">
        <w:rPr>
          <w:b/>
          <w:bCs/>
        </w:rPr>
        <w:t>Abstract</w:t>
      </w:r>
    </w:p>
    <w:p w14:paraId="43B29E2E" w14:textId="77777777" w:rsidR="005379B4" w:rsidRPr="005379B4" w:rsidRDefault="005379B4" w:rsidP="005379B4">
      <w:pPr>
        <w:jc w:val="both"/>
      </w:pPr>
      <w:r w:rsidRPr="005379B4">
        <w:t xml:space="preserve">Leishmaniosis is an important protozoal zoonotic disease caused by </w:t>
      </w:r>
      <w:r w:rsidRPr="005379B4">
        <w:rPr>
          <w:i/>
          <w:iCs/>
        </w:rPr>
        <w:t>Leishmania spp. (Leishmania infantum),</w:t>
      </w:r>
      <w:r w:rsidRPr="005379B4">
        <w:t xml:space="preserve"> transmitted by the bite of infected </w:t>
      </w:r>
      <w:r w:rsidRPr="005379B4">
        <w:rPr>
          <w:i/>
          <w:iCs/>
        </w:rPr>
        <w:t>Phlebotomus</w:t>
      </w:r>
      <w:r w:rsidRPr="005379B4">
        <w:t> spp. sandflies. In dogs, leishmaniosis often presents with non-specific clinical signs, including cutaneous lesions, as well as systemic involvement affecting the renal, respiratory, gastrointestinal, and central nervous system, among others. This wide range of clinical symptoms can lead to misdiagnosis. The complication of this disease and the wide spectrum of clinical manifestations, from infection to severe illness, render management of leishmaniosis in dogs, particularly for veterinarians in an endemic country like ours, an everyday challenge. The current presentation aims to make other students aware of the clinical manifestations, the proper diagnostic procedure, and the treatment options according to the stage of the disease, based on specific guidelines.</w:t>
      </w:r>
    </w:p>
    <w:p w14:paraId="366B23CD" w14:textId="77777777" w:rsidR="005379B4" w:rsidRPr="005379B4" w:rsidRDefault="005379B4" w:rsidP="005379B4">
      <w:pPr>
        <w:jc w:val="both"/>
      </w:pPr>
    </w:p>
    <w:p w14:paraId="47494830" w14:textId="77777777" w:rsidR="005379B4" w:rsidRPr="005379B4" w:rsidRDefault="005379B4" w:rsidP="005379B4">
      <w:pPr>
        <w:jc w:val="both"/>
      </w:pPr>
      <w:r w:rsidRPr="005379B4">
        <w:rPr>
          <w:b/>
          <w:bCs/>
        </w:rPr>
        <w:t>Bibliography</w:t>
      </w:r>
    </w:p>
    <w:p w14:paraId="616335AC" w14:textId="77777777" w:rsidR="005379B4" w:rsidRPr="005379B4" w:rsidRDefault="005379B4" w:rsidP="005379B4">
      <w:pPr>
        <w:jc w:val="both"/>
      </w:pPr>
      <w:r w:rsidRPr="005379B4">
        <w:t xml:space="preserve">De Freitas, J. C., et al. (2012). </w:t>
      </w:r>
      <w:r w:rsidRPr="005379B4">
        <w:rPr>
          <w:i/>
          <w:iCs/>
        </w:rPr>
        <w:t>Profile of anti-Leishmania antibodies related to clinical picture in canine visceral leishmaniasis</w:t>
      </w:r>
      <w:r w:rsidRPr="005379B4">
        <w:t xml:space="preserve">. </w:t>
      </w:r>
      <w:r w:rsidRPr="005379B4">
        <w:rPr>
          <w:i/>
          <w:iCs/>
        </w:rPr>
        <w:t>Research in Veterinary Science</w:t>
      </w:r>
      <w:r w:rsidRPr="005379B4">
        <w:t>, 93(2), 705–709.</w:t>
      </w:r>
    </w:p>
    <w:p w14:paraId="360EF854" w14:textId="77777777" w:rsidR="005379B4" w:rsidRPr="005379B4" w:rsidRDefault="005379B4" w:rsidP="005379B4">
      <w:pPr>
        <w:jc w:val="both"/>
      </w:pPr>
      <w:r w:rsidRPr="005379B4">
        <w:t xml:space="preserve">Maia, C. &amp; Campino, L. (2018). </w:t>
      </w:r>
      <w:r w:rsidRPr="005379B4">
        <w:rPr>
          <w:i/>
          <w:iCs/>
        </w:rPr>
        <w:t>Biomarkers associated with Leishmania infantum exposure, infection, and disease in dogs.</w:t>
      </w:r>
      <w:r w:rsidRPr="005379B4">
        <w:t xml:space="preserve"> </w:t>
      </w:r>
      <w:r w:rsidRPr="005379B4">
        <w:rPr>
          <w:i/>
          <w:iCs/>
        </w:rPr>
        <w:t>Frontiers in Cellular and Infection Microbiology</w:t>
      </w:r>
      <w:r w:rsidRPr="005379B4">
        <w:t>, 8, 302.</w:t>
      </w:r>
    </w:p>
    <w:p w14:paraId="7759771E" w14:textId="77777777" w:rsidR="005379B4" w:rsidRPr="005379B4" w:rsidRDefault="005379B4" w:rsidP="005379B4">
      <w:pPr>
        <w:jc w:val="both"/>
      </w:pPr>
      <w:r w:rsidRPr="005379B4">
        <w:t xml:space="preserve">Miró, G., Segarra, S., Cerón, J. J., Ferrer, L., Solano-Gallego, L., Montell, L., et al. (2024). </w:t>
      </w:r>
      <w:r w:rsidRPr="005379B4">
        <w:rPr>
          <w:i/>
          <w:iCs/>
        </w:rPr>
        <w:t>New immunomodulatory treatment protocol for canine leishmaniosis reduces parasitemia and proteinuria</w:t>
      </w:r>
      <w:r w:rsidRPr="005379B4">
        <w:t xml:space="preserve">. </w:t>
      </w:r>
      <w:r w:rsidRPr="005379B4">
        <w:rPr>
          <w:i/>
          <w:iCs/>
        </w:rPr>
        <w:t>PLoS Neglected Tropical Diseases</w:t>
      </w:r>
      <w:r w:rsidRPr="005379B4">
        <w:t>, 18(12), e0012712.</w:t>
      </w:r>
    </w:p>
    <w:p w14:paraId="3E3BBA7A" w14:textId="77777777" w:rsidR="005379B4" w:rsidRPr="005379B4" w:rsidRDefault="005379B4" w:rsidP="005379B4">
      <w:pPr>
        <w:jc w:val="both"/>
      </w:pPr>
      <w:r w:rsidRPr="005379B4">
        <w:t xml:space="preserve">Noli, C. &amp; Saridomichelakis, M. N. (2014). </w:t>
      </w:r>
      <w:r w:rsidRPr="005379B4">
        <w:rPr>
          <w:i/>
          <w:iCs/>
        </w:rPr>
        <w:t>An update on the diagnosis and treatment of canine leishmaniosis caused by Leishmania infantum</w:t>
      </w:r>
      <w:r w:rsidRPr="005379B4">
        <w:t xml:space="preserve"> (syn. </w:t>
      </w:r>
      <w:r w:rsidRPr="005379B4">
        <w:rPr>
          <w:i/>
          <w:iCs/>
        </w:rPr>
        <w:t>L. chagasi</w:t>
      </w:r>
      <w:r w:rsidRPr="005379B4">
        <w:t xml:space="preserve">). </w:t>
      </w:r>
      <w:r w:rsidRPr="005379B4">
        <w:rPr>
          <w:i/>
          <w:iCs/>
        </w:rPr>
        <w:t>The Veterinary Journal</w:t>
      </w:r>
      <w:r w:rsidRPr="005379B4">
        <w:t>.</w:t>
      </w:r>
    </w:p>
    <w:p w14:paraId="146DA879" w14:textId="77777777" w:rsidR="005379B4" w:rsidRPr="005379B4" w:rsidRDefault="005379B4" w:rsidP="005379B4">
      <w:pPr>
        <w:jc w:val="both"/>
      </w:pPr>
      <w:r w:rsidRPr="005379B4">
        <w:t xml:space="preserve">Pennisi, M. G. (2014). </w:t>
      </w:r>
      <w:r w:rsidRPr="005379B4">
        <w:rPr>
          <w:i/>
          <w:iCs/>
        </w:rPr>
        <w:t>Leishmaniosis of companion animals in Europe: An update</w:t>
      </w:r>
      <w:r w:rsidRPr="005379B4">
        <w:t xml:space="preserve">. </w:t>
      </w:r>
      <w:r w:rsidRPr="005379B4">
        <w:rPr>
          <w:i/>
          <w:iCs/>
        </w:rPr>
        <w:t>Veterinary Parasitology</w:t>
      </w:r>
      <w:r w:rsidRPr="005379B4">
        <w:t>.</w:t>
      </w:r>
    </w:p>
    <w:p w14:paraId="4DE4EEBE" w14:textId="77777777" w:rsidR="005379B4" w:rsidRPr="005379B4" w:rsidRDefault="005379B4" w:rsidP="005379B4">
      <w:pPr>
        <w:jc w:val="both"/>
      </w:pPr>
      <w:r w:rsidRPr="005379B4">
        <w:t xml:space="preserve">Pennisi, M. G., et al. (2015). </w:t>
      </w:r>
      <w:r w:rsidRPr="005379B4">
        <w:rPr>
          <w:i/>
          <w:iCs/>
        </w:rPr>
        <w:t>Update on canine leishmaniosis and recommendations on diagnosis and clinical management. Parasites &amp; Vectors</w:t>
      </w:r>
      <w:r w:rsidRPr="005379B4">
        <w:t>, 8, 302.</w:t>
      </w:r>
    </w:p>
    <w:p w14:paraId="62A7BF1F" w14:textId="77777777" w:rsidR="005379B4" w:rsidRPr="005379B4" w:rsidRDefault="005379B4" w:rsidP="005379B4">
      <w:pPr>
        <w:jc w:val="both"/>
      </w:pPr>
      <w:r w:rsidRPr="005379B4">
        <w:t xml:space="preserve">Saridomichelakis, M. N. (2009). </w:t>
      </w:r>
      <w:r w:rsidRPr="005379B4">
        <w:rPr>
          <w:i/>
          <w:iCs/>
        </w:rPr>
        <w:t>Advances in the pathogenesis of canine leishmaniosis: Epidemiologic and diagnostic implications</w:t>
      </w:r>
      <w:r w:rsidRPr="005379B4">
        <w:t xml:space="preserve">. </w:t>
      </w:r>
      <w:r w:rsidRPr="005379B4">
        <w:rPr>
          <w:i/>
          <w:iCs/>
        </w:rPr>
        <w:t>Veterinary Dermatology</w:t>
      </w:r>
      <w:r w:rsidRPr="005379B4">
        <w:t>, 20(5–6), 471–489.</w:t>
      </w:r>
    </w:p>
    <w:p w14:paraId="585BE8C5" w14:textId="77777777" w:rsidR="005379B4" w:rsidRPr="005379B4" w:rsidRDefault="005379B4" w:rsidP="005379B4">
      <w:pPr>
        <w:jc w:val="both"/>
      </w:pPr>
      <w:r w:rsidRPr="005379B4">
        <w:t>Saridomichelakis, M. N., Baneth, G., Colombo, S., Dantas-Torres, F., Ferrer, L., Fondati, A., Miró, G., Ordeix, L., Otranto, D. &amp; Noli, C. (2025).</w:t>
      </w:r>
      <w:r w:rsidRPr="005379B4">
        <w:rPr>
          <w:i/>
          <w:iCs/>
        </w:rPr>
        <w:t xml:space="preserve"> World Association for Veterinary Dermatology consensus statement for diagnosis, and evidence-based clinical practice guidelines for treatment and prevention of canine leishmaniosis</w:t>
      </w:r>
      <w:r w:rsidRPr="005379B4">
        <w:t xml:space="preserve">. </w:t>
      </w:r>
      <w:r w:rsidRPr="005379B4">
        <w:rPr>
          <w:i/>
          <w:iCs/>
        </w:rPr>
        <w:t>Veterinary Dermatology</w:t>
      </w:r>
      <w:r w:rsidRPr="005379B4">
        <w:t>, 36(6), 723–787.</w:t>
      </w:r>
    </w:p>
    <w:p w14:paraId="58FDA59B" w14:textId="77777777" w:rsidR="005379B4" w:rsidRPr="005379B4" w:rsidRDefault="005379B4" w:rsidP="005379B4">
      <w:pPr>
        <w:jc w:val="both"/>
      </w:pPr>
      <w:r w:rsidRPr="005379B4">
        <w:lastRenderedPageBreak/>
        <w:t xml:space="preserve">Solano-Gallego, L., et al. (2011). </w:t>
      </w:r>
      <w:r w:rsidRPr="005379B4">
        <w:rPr>
          <w:i/>
          <w:iCs/>
        </w:rPr>
        <w:t>LeishVet guidelines for the practical management of canine leishmaniosis.</w:t>
      </w:r>
      <w:r w:rsidRPr="005379B4">
        <w:t xml:space="preserve"> </w:t>
      </w:r>
      <w:r w:rsidRPr="005379B4">
        <w:rPr>
          <w:i/>
          <w:iCs/>
        </w:rPr>
        <w:t>Parasites &amp; Vectors</w:t>
      </w:r>
      <w:r w:rsidRPr="005379B4">
        <w:t>, 4, 86.</w:t>
      </w:r>
    </w:p>
    <w:p w14:paraId="15C7158F" w14:textId="77777777" w:rsidR="005379B4" w:rsidRPr="005379B4" w:rsidRDefault="005379B4" w:rsidP="005379B4">
      <w:pPr>
        <w:jc w:val="both"/>
      </w:pPr>
      <w:r w:rsidRPr="005379B4">
        <w:rPr>
          <w:i/>
          <w:iCs/>
        </w:rPr>
        <w:t>Tierärztliche Praxis Kleintiere Heimtiere</w:t>
      </w:r>
      <w:r w:rsidRPr="005379B4">
        <w:t xml:space="preserve">. (2018). </w:t>
      </w:r>
      <w:r w:rsidRPr="005379B4">
        <w:rPr>
          <w:i/>
          <w:iCs/>
        </w:rPr>
        <w:t xml:space="preserve">Tierärztliche Praxis Ausgabe K: Kleintiere/Heimtiere, </w:t>
      </w:r>
      <w:r w:rsidRPr="005379B4">
        <w:t>46(5), 315–322.</w:t>
      </w:r>
    </w:p>
    <w:p w14:paraId="1192D828" w14:textId="77777777" w:rsidR="005379B4" w:rsidRDefault="005379B4" w:rsidP="005379B4">
      <w:pPr>
        <w:jc w:val="both"/>
      </w:pPr>
      <w:r w:rsidRPr="005379B4">
        <w:br/>
      </w:r>
      <w:r w:rsidRPr="005379B4">
        <w:br/>
      </w:r>
      <w:r w:rsidRPr="005379B4">
        <w:br/>
      </w:r>
      <w:r w:rsidRPr="005379B4">
        <w:br/>
      </w:r>
    </w:p>
    <w:p w14:paraId="42F0DC34" w14:textId="77777777" w:rsidR="00ED180A" w:rsidRDefault="00ED180A" w:rsidP="005379B4">
      <w:pPr>
        <w:jc w:val="both"/>
      </w:pPr>
    </w:p>
    <w:p w14:paraId="0567002E" w14:textId="77777777" w:rsidR="00ED180A" w:rsidRDefault="00ED180A" w:rsidP="005379B4">
      <w:pPr>
        <w:jc w:val="both"/>
      </w:pPr>
    </w:p>
    <w:p w14:paraId="24EBA0BB" w14:textId="77777777" w:rsidR="00ED180A" w:rsidRDefault="00ED180A" w:rsidP="005379B4">
      <w:pPr>
        <w:jc w:val="both"/>
      </w:pPr>
    </w:p>
    <w:p w14:paraId="56EB9DE7" w14:textId="77777777" w:rsidR="00ED180A" w:rsidRDefault="00ED180A" w:rsidP="005379B4">
      <w:pPr>
        <w:jc w:val="both"/>
      </w:pPr>
    </w:p>
    <w:p w14:paraId="5B6F6A5B" w14:textId="77777777" w:rsidR="00ED180A" w:rsidRDefault="00ED180A" w:rsidP="005379B4">
      <w:pPr>
        <w:jc w:val="both"/>
      </w:pPr>
    </w:p>
    <w:p w14:paraId="04C745A9" w14:textId="77777777" w:rsidR="00ED180A" w:rsidRDefault="00ED180A" w:rsidP="005379B4">
      <w:pPr>
        <w:jc w:val="both"/>
      </w:pPr>
    </w:p>
    <w:p w14:paraId="76821518" w14:textId="77777777" w:rsidR="00ED180A" w:rsidRDefault="00ED180A" w:rsidP="005379B4">
      <w:pPr>
        <w:jc w:val="both"/>
      </w:pPr>
    </w:p>
    <w:p w14:paraId="2684EED4" w14:textId="77777777" w:rsidR="00ED180A" w:rsidRDefault="00ED180A" w:rsidP="005379B4">
      <w:pPr>
        <w:jc w:val="both"/>
      </w:pPr>
    </w:p>
    <w:p w14:paraId="0C92F6C1" w14:textId="77777777" w:rsidR="00ED180A" w:rsidRDefault="00ED180A" w:rsidP="005379B4">
      <w:pPr>
        <w:jc w:val="both"/>
      </w:pPr>
    </w:p>
    <w:p w14:paraId="0F2B238C" w14:textId="77777777" w:rsidR="00ED180A" w:rsidRDefault="00ED180A" w:rsidP="005379B4">
      <w:pPr>
        <w:jc w:val="both"/>
      </w:pPr>
    </w:p>
    <w:p w14:paraId="5899BAFA" w14:textId="77777777" w:rsidR="00ED180A" w:rsidRDefault="00ED180A" w:rsidP="005379B4">
      <w:pPr>
        <w:jc w:val="both"/>
      </w:pPr>
    </w:p>
    <w:p w14:paraId="4B2F6999" w14:textId="77777777" w:rsidR="00ED180A" w:rsidRDefault="00ED180A" w:rsidP="005379B4">
      <w:pPr>
        <w:jc w:val="both"/>
      </w:pPr>
    </w:p>
    <w:p w14:paraId="274AB290" w14:textId="77777777" w:rsidR="00ED180A" w:rsidRDefault="00ED180A" w:rsidP="005379B4">
      <w:pPr>
        <w:jc w:val="both"/>
      </w:pPr>
    </w:p>
    <w:p w14:paraId="5C8309AC" w14:textId="77777777" w:rsidR="00ED180A" w:rsidRDefault="00ED180A" w:rsidP="005379B4">
      <w:pPr>
        <w:jc w:val="both"/>
      </w:pPr>
    </w:p>
    <w:p w14:paraId="4BDB6DA7" w14:textId="77777777" w:rsidR="00ED180A" w:rsidRDefault="00ED180A" w:rsidP="005379B4">
      <w:pPr>
        <w:jc w:val="both"/>
      </w:pPr>
    </w:p>
    <w:p w14:paraId="771E1654" w14:textId="77777777" w:rsidR="00ED180A" w:rsidRDefault="00ED180A" w:rsidP="005379B4">
      <w:pPr>
        <w:jc w:val="both"/>
      </w:pPr>
    </w:p>
    <w:p w14:paraId="665BAB2D" w14:textId="77777777" w:rsidR="00ED180A" w:rsidRDefault="00ED180A" w:rsidP="005379B4">
      <w:pPr>
        <w:jc w:val="both"/>
      </w:pPr>
    </w:p>
    <w:p w14:paraId="7BCF0907" w14:textId="77777777" w:rsidR="00ED180A" w:rsidRDefault="00ED180A" w:rsidP="005379B4">
      <w:pPr>
        <w:jc w:val="both"/>
      </w:pPr>
    </w:p>
    <w:p w14:paraId="483F6097" w14:textId="77777777" w:rsidR="00ED180A" w:rsidRDefault="00ED180A" w:rsidP="005379B4">
      <w:pPr>
        <w:jc w:val="both"/>
      </w:pPr>
    </w:p>
    <w:p w14:paraId="5CE36631" w14:textId="77777777" w:rsidR="00ED180A" w:rsidRDefault="00ED180A" w:rsidP="005379B4">
      <w:pPr>
        <w:jc w:val="both"/>
      </w:pPr>
    </w:p>
    <w:p w14:paraId="5C6C1ECF" w14:textId="77777777" w:rsidR="00ED180A" w:rsidRDefault="00ED180A" w:rsidP="005379B4">
      <w:pPr>
        <w:jc w:val="both"/>
      </w:pPr>
    </w:p>
    <w:p w14:paraId="42F9789B" w14:textId="77777777" w:rsidR="00ED180A" w:rsidRDefault="00ED180A" w:rsidP="005379B4">
      <w:pPr>
        <w:jc w:val="both"/>
      </w:pPr>
    </w:p>
    <w:p w14:paraId="1D386401" w14:textId="77777777" w:rsidR="00ED180A" w:rsidRDefault="00ED180A" w:rsidP="005379B4">
      <w:pPr>
        <w:jc w:val="both"/>
      </w:pPr>
    </w:p>
    <w:p w14:paraId="0A78311F" w14:textId="77777777" w:rsidR="00ED180A" w:rsidRPr="005379B4" w:rsidRDefault="00ED180A" w:rsidP="005379B4">
      <w:pPr>
        <w:jc w:val="both"/>
      </w:pPr>
    </w:p>
    <w:p w14:paraId="497B3BC4" w14:textId="77777777" w:rsidR="005379B4" w:rsidRPr="005379B4" w:rsidRDefault="005379B4" w:rsidP="005379B4">
      <w:pPr>
        <w:jc w:val="both"/>
      </w:pPr>
      <w:r w:rsidRPr="005379B4">
        <w:rPr>
          <w:b/>
          <w:bCs/>
        </w:rPr>
        <w:lastRenderedPageBreak/>
        <w:t>A Cat-and-Mouse Game: The Staggering Discovery of Rustrela Virus</w:t>
      </w:r>
    </w:p>
    <w:p w14:paraId="17B0A1C0" w14:textId="77777777" w:rsidR="005379B4" w:rsidRPr="005379B4" w:rsidRDefault="005379B4" w:rsidP="005379B4">
      <w:pPr>
        <w:jc w:val="both"/>
      </w:pPr>
      <w:r w:rsidRPr="005379B4">
        <w:t>Vlachou-Portari Emmanouela</w:t>
      </w:r>
      <w:r w:rsidRPr="005379B4">
        <w:rPr>
          <w:vertAlign w:val="superscript"/>
        </w:rPr>
        <w:t>1</w:t>
      </w:r>
      <w:r w:rsidRPr="005379B4">
        <w:t>, Valiakos George</w:t>
      </w:r>
      <w:r w:rsidRPr="005379B4">
        <w:rPr>
          <w:vertAlign w:val="superscript"/>
        </w:rPr>
        <w:t>2</w:t>
      </w:r>
    </w:p>
    <w:p w14:paraId="6E3A0A87" w14:textId="77777777" w:rsidR="005379B4" w:rsidRPr="005379B4" w:rsidRDefault="005379B4">
      <w:pPr>
        <w:numPr>
          <w:ilvl w:val="0"/>
          <w:numId w:val="103"/>
        </w:numPr>
        <w:jc w:val="both"/>
      </w:pPr>
      <w:r w:rsidRPr="005379B4">
        <w:t>Undergraduate student, School of Veterinary Medicine, University of Thessaly</w:t>
      </w:r>
    </w:p>
    <w:p w14:paraId="43B2DDB2" w14:textId="77777777" w:rsidR="005379B4" w:rsidRPr="005379B4" w:rsidRDefault="005379B4">
      <w:pPr>
        <w:numPr>
          <w:ilvl w:val="0"/>
          <w:numId w:val="103"/>
        </w:numPr>
        <w:jc w:val="both"/>
      </w:pPr>
      <w:r w:rsidRPr="005379B4">
        <w:t>Associate Professor, Laboratory of Parasitology and Microbiology, School of Veterinary Medicine, University of Thessaly</w:t>
      </w:r>
    </w:p>
    <w:p w14:paraId="3FEFCADC" w14:textId="77777777" w:rsidR="005379B4" w:rsidRPr="005379B4" w:rsidRDefault="005379B4" w:rsidP="005379B4">
      <w:pPr>
        <w:jc w:val="both"/>
      </w:pPr>
    </w:p>
    <w:p w14:paraId="6D46218D" w14:textId="77777777" w:rsidR="005379B4" w:rsidRPr="005379B4" w:rsidRDefault="005379B4" w:rsidP="005379B4">
      <w:pPr>
        <w:jc w:val="both"/>
      </w:pPr>
      <w:r w:rsidRPr="005379B4">
        <w:rPr>
          <w:b/>
          <w:bCs/>
        </w:rPr>
        <w:t>Abstract</w:t>
      </w:r>
    </w:p>
    <w:p w14:paraId="36D0A4A0" w14:textId="0FBF49EC" w:rsidR="005379B4" w:rsidRDefault="005379B4" w:rsidP="005379B4">
      <w:pPr>
        <w:jc w:val="both"/>
      </w:pPr>
      <w:r w:rsidRPr="005379B4">
        <w:t xml:space="preserve">Feline Staggering Disease (FSD) was first described in 1974 in Sweden, when cats began presenting with sudden-onset neurological signs, including ataxia and an inability to retract their claws. Histopathological examination of the brain and spinal cord revealed a lymphohistiocytic, non-suppurative meningoencephalomyelitis in all affected animals (Kronevi et al., 1974). However, the etiology of this condition remained unelucidated. In the 1990s, a viral cause was proposed (Lundgren, 1992) and FSD was subsequently attributed to Borna disease virus 1 (BoDV-1)(Lundgren &amp; Ludwig, 1993; Lundgren et al., 1995), a member of the </w:t>
      </w:r>
      <w:r w:rsidRPr="005379B4">
        <w:rPr>
          <w:i/>
          <w:iCs/>
        </w:rPr>
        <w:t>Bornaviridae</w:t>
      </w:r>
      <w:r w:rsidRPr="005379B4">
        <w:t xml:space="preserve"> family with known neurotropism and a vast host range(Rubbenstroth et al., 2021; Vollmuth et al., 2025). Nevertheless, clinical association did not equate to causation; definitive molecular and immunohistopathological confirmation supporting BoDV-1 as the etiological agent was lacking. A 2023 retrospective study challenged the aforementioned hypothesis, identifying </w:t>
      </w:r>
      <w:r w:rsidRPr="005379B4">
        <w:rPr>
          <w:i/>
          <w:iCs/>
        </w:rPr>
        <w:t xml:space="preserve">Rubivirus strelense </w:t>
      </w:r>
      <w:r w:rsidRPr="005379B4">
        <w:t xml:space="preserve">(Rustrela virus), a recently described member of the </w:t>
      </w:r>
      <w:r w:rsidRPr="005379B4">
        <w:rPr>
          <w:i/>
          <w:iCs/>
        </w:rPr>
        <w:t>Matonaviridae</w:t>
      </w:r>
      <w:r w:rsidRPr="005379B4">
        <w:t xml:space="preserve"> family as the likely causative agent(Bennett et al., 2020; Matiasek et al., 2023; Thilén et al., 2024). The characteristics, suspected transmission and potential zoonotic implications of Rustrela virus will be presented and perspectives regarding its prevention and treatment will be discussed using a comparative virology approach.</w:t>
      </w:r>
    </w:p>
    <w:p w14:paraId="2D626D8E" w14:textId="77777777" w:rsidR="00ED180A" w:rsidRPr="005379B4" w:rsidRDefault="00ED180A" w:rsidP="005379B4">
      <w:pPr>
        <w:jc w:val="both"/>
      </w:pPr>
    </w:p>
    <w:p w14:paraId="7D485501" w14:textId="77777777" w:rsidR="005379B4" w:rsidRPr="005379B4" w:rsidRDefault="005379B4" w:rsidP="005379B4">
      <w:pPr>
        <w:jc w:val="both"/>
      </w:pPr>
      <w:r w:rsidRPr="005379B4">
        <w:rPr>
          <w:b/>
          <w:bCs/>
        </w:rPr>
        <w:t>Bibliography</w:t>
      </w:r>
    </w:p>
    <w:p w14:paraId="1121E28C" w14:textId="3411AB84" w:rsidR="005379B4" w:rsidRPr="005379B4" w:rsidRDefault="005379B4" w:rsidP="005379B4">
      <w:pPr>
        <w:jc w:val="both"/>
      </w:pPr>
      <w:r w:rsidRPr="005379B4">
        <w:t xml:space="preserve">Bennett, A. J., Paskey, A. C., Ebinger, A., Pfaff, F., Priemer, G., Höper, D., Breithaupt, A., Heuser, E., Ulrich, R. G., Kuhn, J. H., Bishop-Lilly, K. A., Beer, M., &amp; Goldberg, T. L. (2020). </w:t>
      </w:r>
      <w:r w:rsidRPr="005379B4">
        <w:rPr>
          <w:i/>
          <w:iCs/>
        </w:rPr>
        <w:t>Relatives of rubella virus in diverse mammals. Nature</w:t>
      </w:r>
      <w:r w:rsidRPr="005379B4">
        <w:t xml:space="preserve">, </w:t>
      </w:r>
      <w:r w:rsidRPr="005379B4">
        <w:rPr>
          <w:i/>
          <w:iCs/>
        </w:rPr>
        <w:t>586</w:t>
      </w:r>
      <w:r w:rsidRPr="005379B4">
        <w:t>(7829), 424–428.</w:t>
      </w:r>
      <w:hyperlink r:id="rId133" w:history="1">
        <w:r w:rsidRPr="005379B4">
          <w:rPr>
            <w:rStyle w:val="-"/>
          </w:rPr>
          <w:t> </w:t>
        </w:r>
      </w:hyperlink>
    </w:p>
    <w:p w14:paraId="0DF721E3" w14:textId="24EDB302" w:rsidR="005379B4" w:rsidRPr="005379B4" w:rsidRDefault="005379B4" w:rsidP="005379B4">
      <w:pPr>
        <w:jc w:val="both"/>
      </w:pPr>
      <w:r w:rsidRPr="005379B4">
        <w:t>Kronevi, T., Nordstrom, M., Moreno, W., &amp; Nilsson, P. O. (1974).</w:t>
      </w:r>
      <w:r w:rsidRPr="005379B4">
        <w:rPr>
          <w:i/>
          <w:iCs/>
        </w:rPr>
        <w:t xml:space="preserve"> Feline ataxia due to nonsuppurative meningoencephalomyelitis of unknown aetiology.</w:t>
      </w:r>
      <w:r w:rsidRPr="005379B4">
        <w:t xml:space="preserve"> </w:t>
      </w:r>
      <w:r w:rsidRPr="005379B4">
        <w:rPr>
          <w:i/>
          <w:iCs/>
        </w:rPr>
        <w:t>Nordisk Veterinaermedicin</w:t>
      </w:r>
      <w:r w:rsidRPr="005379B4">
        <w:t xml:space="preserve">, </w:t>
      </w:r>
      <w:r w:rsidRPr="005379B4">
        <w:rPr>
          <w:i/>
          <w:iCs/>
        </w:rPr>
        <w:t>26</w:t>
      </w:r>
      <w:r w:rsidRPr="005379B4">
        <w:t>(12), 720–725.</w:t>
      </w:r>
    </w:p>
    <w:p w14:paraId="76CFCFA8" w14:textId="4DF91537" w:rsidR="005379B4" w:rsidRPr="005379B4" w:rsidRDefault="005379B4" w:rsidP="005379B4">
      <w:pPr>
        <w:jc w:val="both"/>
      </w:pPr>
      <w:r w:rsidRPr="005379B4">
        <w:t xml:space="preserve">Lundgren, A. L., &amp; Ludwig, H. (1993). </w:t>
      </w:r>
      <w:r w:rsidRPr="005379B4">
        <w:rPr>
          <w:i/>
          <w:iCs/>
        </w:rPr>
        <w:t>Clinically diseased cats with non-suppurative meningoencephalomyelitis have Borna disease virus-specific antibodies.</w:t>
      </w:r>
      <w:r w:rsidRPr="005379B4">
        <w:t xml:space="preserve"> </w:t>
      </w:r>
      <w:r w:rsidRPr="005379B4">
        <w:rPr>
          <w:i/>
          <w:iCs/>
        </w:rPr>
        <w:t>Acta Veterinaria Scandinavica</w:t>
      </w:r>
      <w:r w:rsidRPr="005379B4">
        <w:t xml:space="preserve">, </w:t>
      </w:r>
      <w:r w:rsidRPr="005379B4">
        <w:rPr>
          <w:i/>
          <w:iCs/>
        </w:rPr>
        <w:t>34</w:t>
      </w:r>
      <w:r w:rsidRPr="005379B4">
        <w:t>(1), 101–103. </w:t>
      </w:r>
    </w:p>
    <w:p w14:paraId="45713411" w14:textId="67AFAF60" w:rsidR="005379B4" w:rsidRPr="005379B4" w:rsidRDefault="005379B4" w:rsidP="005379B4">
      <w:pPr>
        <w:jc w:val="both"/>
      </w:pPr>
      <w:r w:rsidRPr="005379B4">
        <w:t xml:space="preserve">Lundgren, A.-L. (1992). </w:t>
      </w:r>
      <w:r w:rsidRPr="005379B4">
        <w:rPr>
          <w:i/>
          <w:iCs/>
        </w:rPr>
        <w:t>Feline non-suppurative meningoencephalomyelitis. A clinical and pathological study</w:t>
      </w:r>
      <w:r w:rsidRPr="005379B4">
        <w:t xml:space="preserve">. </w:t>
      </w:r>
      <w:r w:rsidRPr="005379B4">
        <w:rPr>
          <w:i/>
          <w:iCs/>
        </w:rPr>
        <w:t>Journal of Comparative Pathology</w:t>
      </w:r>
      <w:r w:rsidRPr="005379B4">
        <w:t xml:space="preserve">, </w:t>
      </w:r>
      <w:r w:rsidRPr="005379B4">
        <w:rPr>
          <w:i/>
          <w:iCs/>
        </w:rPr>
        <w:t>107</w:t>
      </w:r>
      <w:r w:rsidRPr="005379B4">
        <w:t>(4), 411–425.</w:t>
      </w:r>
      <w:hyperlink r:id="rId134" w:history="1">
        <w:r w:rsidRPr="005379B4">
          <w:rPr>
            <w:rStyle w:val="-"/>
          </w:rPr>
          <w:t> </w:t>
        </w:r>
      </w:hyperlink>
    </w:p>
    <w:p w14:paraId="204B5364" w14:textId="59E7F241" w:rsidR="005379B4" w:rsidRPr="005379B4" w:rsidRDefault="005379B4" w:rsidP="005379B4">
      <w:pPr>
        <w:jc w:val="both"/>
      </w:pPr>
      <w:r w:rsidRPr="005379B4">
        <w:t xml:space="preserve">Lundgren, A.-L., Lindberg, R., Ludwig, H., &amp; Gosztonyi, G. (1995). Immunoreactivity of the central nervous system in cats with a Borna disease-like meningoencephalomyelitis (staggering disease). </w:t>
      </w:r>
      <w:r w:rsidRPr="005379B4">
        <w:rPr>
          <w:i/>
          <w:iCs/>
        </w:rPr>
        <w:t>Acta Neuropathologica</w:t>
      </w:r>
      <w:r w:rsidRPr="005379B4">
        <w:t xml:space="preserve">, </w:t>
      </w:r>
      <w:r w:rsidRPr="005379B4">
        <w:rPr>
          <w:i/>
          <w:iCs/>
        </w:rPr>
        <w:t>90</w:t>
      </w:r>
      <w:r w:rsidRPr="005379B4">
        <w:t>(2), 184–193.</w:t>
      </w:r>
      <w:hyperlink r:id="rId135" w:history="1">
        <w:r w:rsidRPr="005379B4">
          <w:rPr>
            <w:rStyle w:val="-"/>
          </w:rPr>
          <w:t> </w:t>
        </w:r>
      </w:hyperlink>
    </w:p>
    <w:p w14:paraId="78232607" w14:textId="32459589" w:rsidR="005379B4" w:rsidRPr="005379B4" w:rsidRDefault="005379B4" w:rsidP="005379B4">
      <w:pPr>
        <w:jc w:val="both"/>
      </w:pPr>
      <w:r w:rsidRPr="005379B4">
        <w:lastRenderedPageBreak/>
        <w:t>Lundgren, A.-L., Zimmermann, W., Bode, L., Czech, G., Gosztonyi, G., Lindberg, R., &amp; Ludwig, H. (1995). S</w:t>
      </w:r>
      <w:r w:rsidRPr="005379B4">
        <w:rPr>
          <w:i/>
          <w:iCs/>
        </w:rPr>
        <w:t>taggering disease in cats: Isolation and characterization of the feline Borna disease virus.</w:t>
      </w:r>
      <w:r w:rsidRPr="005379B4">
        <w:t xml:space="preserve"> </w:t>
      </w:r>
      <w:r w:rsidRPr="005379B4">
        <w:rPr>
          <w:i/>
          <w:iCs/>
        </w:rPr>
        <w:t>Journal of General Virology</w:t>
      </w:r>
      <w:r w:rsidRPr="005379B4">
        <w:t xml:space="preserve">, </w:t>
      </w:r>
      <w:r w:rsidRPr="005379B4">
        <w:rPr>
          <w:i/>
          <w:iCs/>
        </w:rPr>
        <w:t>76</w:t>
      </w:r>
      <w:r w:rsidRPr="005379B4">
        <w:t>(9), 2215–2222. </w:t>
      </w:r>
    </w:p>
    <w:p w14:paraId="220C6D3E" w14:textId="32866E27" w:rsidR="005379B4" w:rsidRPr="005379B4" w:rsidRDefault="005379B4" w:rsidP="005379B4">
      <w:pPr>
        <w:jc w:val="both"/>
      </w:pPr>
      <w:r w:rsidRPr="005379B4">
        <w:t xml:space="preserve">Matiasek, K., Pfaff, F., Weissenböck, H., Wylezich, C., Kolodziejek, J., Tengstrand, S., Ecke, F., Nippert, S., Starcky, P., Litz, B., Nessler, J., Wohlsein, P., Baumbach, C., Mundhenk, L., Aebischer, A., Reiche, S., Weidinger, P., Olofsson, K. M., Rohdin, C.,  Rubbenstroth, D. (2023). </w:t>
      </w:r>
      <w:r w:rsidRPr="005379B4">
        <w:rPr>
          <w:i/>
          <w:iCs/>
        </w:rPr>
        <w:t>Mystery of fatal ‘staggering disease’ unravelled: Novel rustrela virus causes severe meningoencephalomyelitis in domestic cats. Nature Communications</w:t>
      </w:r>
      <w:r w:rsidRPr="005379B4">
        <w:t xml:space="preserve">, </w:t>
      </w:r>
      <w:r w:rsidRPr="005379B4">
        <w:rPr>
          <w:i/>
          <w:iCs/>
        </w:rPr>
        <w:t>14</w:t>
      </w:r>
      <w:r w:rsidRPr="005379B4">
        <w:t>(1), 624. </w:t>
      </w:r>
    </w:p>
    <w:p w14:paraId="727F9B15" w14:textId="6A3CAFA6" w:rsidR="005379B4" w:rsidRPr="005379B4" w:rsidRDefault="005379B4" w:rsidP="005379B4">
      <w:pPr>
        <w:jc w:val="both"/>
      </w:pPr>
      <w:r w:rsidRPr="005379B4">
        <w:t>Rubbenstroth, D., Briese, T., Dürrwald, R., Horie (</w:t>
      </w:r>
      <w:r w:rsidRPr="005379B4">
        <w:rPr>
          <w:rFonts w:ascii="MS Gothic" w:eastAsia="MS Gothic" w:hAnsi="MS Gothic" w:cs="MS Gothic" w:hint="eastAsia"/>
        </w:rPr>
        <w:t>堀江真行</w:t>
      </w:r>
      <w:r w:rsidRPr="005379B4">
        <w:t>), M., Hyndman, T. H., Kuhn, J. H., Nowotny, N., Payne, S., Stenglein, M. D., Tomonaga (</w:t>
      </w:r>
      <w:r w:rsidRPr="005379B4">
        <w:rPr>
          <w:rFonts w:ascii="MS Gothic" w:eastAsia="MS Gothic" w:hAnsi="MS Gothic" w:cs="MS Gothic" w:hint="eastAsia"/>
        </w:rPr>
        <w:t>朝長啓造</w:t>
      </w:r>
      <w:r w:rsidRPr="005379B4">
        <w:t>), K., &amp; ICTV Report Consortium. (2021).</w:t>
      </w:r>
      <w:r w:rsidRPr="005379B4">
        <w:rPr>
          <w:i/>
          <w:iCs/>
        </w:rPr>
        <w:t xml:space="preserve"> ICTV Virus Taxonomy Profile: Bornaviridae</w:t>
      </w:r>
      <w:r w:rsidRPr="005379B4">
        <w:t xml:space="preserve">. </w:t>
      </w:r>
      <w:r w:rsidRPr="005379B4">
        <w:rPr>
          <w:i/>
          <w:iCs/>
        </w:rPr>
        <w:t>Journal of General Virology</w:t>
      </w:r>
      <w:r w:rsidRPr="005379B4">
        <w:t xml:space="preserve">, </w:t>
      </w:r>
      <w:r w:rsidRPr="005379B4">
        <w:rPr>
          <w:i/>
          <w:iCs/>
        </w:rPr>
        <w:t>102</w:t>
      </w:r>
      <w:r w:rsidRPr="005379B4">
        <w:t>(7).</w:t>
      </w:r>
    </w:p>
    <w:p w14:paraId="1295CA41" w14:textId="352B5935" w:rsidR="005379B4" w:rsidRPr="005379B4" w:rsidRDefault="005379B4" w:rsidP="005379B4">
      <w:pPr>
        <w:jc w:val="both"/>
      </w:pPr>
      <w:r w:rsidRPr="005379B4">
        <w:t xml:space="preserve">Thilén, E., Rubbenstroth, D., Tengstrand, S., Pfaff, F., Wensman, J. J., &amp; Ley, C. (2024). </w:t>
      </w:r>
      <w:r w:rsidRPr="005379B4">
        <w:rPr>
          <w:i/>
          <w:iCs/>
        </w:rPr>
        <w:t>Evidence of rustrela virus-associated feline staggering disease in Sweden since the 1970s. Acta Veterinaria Scandinavica</w:t>
      </w:r>
      <w:r w:rsidRPr="005379B4">
        <w:t xml:space="preserve">, </w:t>
      </w:r>
      <w:r w:rsidRPr="005379B4">
        <w:rPr>
          <w:i/>
          <w:iCs/>
        </w:rPr>
        <w:t>66</w:t>
      </w:r>
      <w:r w:rsidRPr="005379B4">
        <w:t>(1), 59. </w:t>
      </w:r>
    </w:p>
    <w:p w14:paraId="177CDFC1" w14:textId="77777777" w:rsidR="005379B4" w:rsidRPr="005379B4" w:rsidRDefault="005379B4" w:rsidP="005379B4">
      <w:pPr>
        <w:jc w:val="both"/>
      </w:pPr>
      <w:r w:rsidRPr="005379B4">
        <w:t xml:space="preserve">Vollmuth, Y., Jungbäck, N., Grochowski, P., Mögele, T., Stark, L., Zarrabi, N. S., Schlegel, J., Schaller, T., Märkl, B., Matiasek, K., &amp; Liesche-Starnecker, F. (2025). </w:t>
      </w:r>
      <w:r w:rsidRPr="005379B4">
        <w:rPr>
          <w:i/>
          <w:iCs/>
        </w:rPr>
        <w:t>Mapping Bornavirus encephalitis—A comparative study of viral spread and immune response in human and animal dead-end hosts.</w:t>
      </w:r>
      <w:r w:rsidRPr="005379B4">
        <w:t xml:space="preserve"> </w:t>
      </w:r>
      <w:r w:rsidRPr="005379B4">
        <w:rPr>
          <w:i/>
          <w:iCs/>
        </w:rPr>
        <w:t>PLOS Pathogens</w:t>
      </w:r>
      <w:r w:rsidRPr="005379B4">
        <w:t xml:space="preserve">, </w:t>
      </w:r>
      <w:r w:rsidRPr="005379B4">
        <w:rPr>
          <w:i/>
          <w:iCs/>
        </w:rPr>
        <w:t>21</w:t>
      </w:r>
      <w:r w:rsidRPr="005379B4">
        <w:t>(8), e1013400.</w:t>
      </w:r>
      <w:hyperlink r:id="rId136" w:history="1">
        <w:r w:rsidRPr="005379B4">
          <w:rPr>
            <w:rStyle w:val="-"/>
          </w:rPr>
          <w:t> </w:t>
        </w:r>
      </w:hyperlink>
    </w:p>
    <w:p w14:paraId="2CA0B52C" w14:textId="77777777" w:rsidR="005379B4" w:rsidRPr="005379B4" w:rsidRDefault="005379B4" w:rsidP="005379B4">
      <w:pPr>
        <w:jc w:val="both"/>
      </w:pPr>
      <w:r w:rsidRPr="005379B4">
        <w:rPr>
          <w:b/>
          <w:bCs/>
        </w:rPr>
        <w:t> </w:t>
      </w:r>
    </w:p>
    <w:p w14:paraId="111C4DBD" w14:textId="77777777" w:rsidR="002B3C6E" w:rsidRDefault="005379B4" w:rsidP="005379B4">
      <w:pPr>
        <w:jc w:val="both"/>
      </w:pPr>
      <w:r w:rsidRPr="005379B4">
        <w:br/>
      </w:r>
      <w:r w:rsidRPr="005379B4">
        <w:br/>
      </w:r>
    </w:p>
    <w:p w14:paraId="5A418D1B" w14:textId="77777777" w:rsidR="002B3C6E" w:rsidRDefault="002B3C6E">
      <w:r>
        <w:br w:type="page"/>
      </w:r>
    </w:p>
    <w:p w14:paraId="418A91FA" w14:textId="6E2AD608" w:rsidR="002B3C6E" w:rsidRPr="002B3C6E" w:rsidRDefault="002B3C6E" w:rsidP="002B3C6E">
      <w:pPr>
        <w:jc w:val="both"/>
      </w:pPr>
      <w:r w:rsidRPr="002B3C6E">
        <w:rPr>
          <w:b/>
          <w:bCs/>
        </w:rPr>
        <w:lastRenderedPageBreak/>
        <w:t>The Welfare Gene and the Role of the Veterinarian in a Changing World</w:t>
      </w:r>
    </w:p>
    <w:p w14:paraId="7C0EFB42" w14:textId="77777777" w:rsidR="002B3C6E" w:rsidRPr="002B3C6E" w:rsidRDefault="002B3C6E" w:rsidP="002B3C6E">
      <w:pPr>
        <w:jc w:val="both"/>
      </w:pPr>
      <w:r w:rsidRPr="002B3C6E">
        <w:t>Mastoras N. Petros</w:t>
      </w:r>
      <w:r w:rsidRPr="002B3C6E">
        <w:rPr>
          <w:vertAlign w:val="superscript"/>
        </w:rPr>
        <w:t>1</w:t>
      </w:r>
      <w:r w:rsidRPr="002B3C6E">
        <w:t>, Valergakis E. Georgios</w:t>
      </w:r>
      <w:r w:rsidRPr="002B3C6E">
        <w:rPr>
          <w:vertAlign w:val="superscript"/>
        </w:rPr>
        <w:t>2</w:t>
      </w:r>
    </w:p>
    <w:p w14:paraId="65CA1234" w14:textId="77777777" w:rsidR="002B3C6E" w:rsidRPr="002B3C6E" w:rsidRDefault="002B3C6E">
      <w:pPr>
        <w:numPr>
          <w:ilvl w:val="0"/>
          <w:numId w:val="104"/>
        </w:numPr>
        <w:jc w:val="both"/>
      </w:pPr>
      <w:r w:rsidRPr="002B3C6E">
        <w:t>Undergraduate Student, Department of Veterinary Medicine, School of Health Sciences, Aristotle University of Thessaloniki</w:t>
      </w:r>
    </w:p>
    <w:p w14:paraId="14293F38" w14:textId="77777777" w:rsidR="002B3C6E" w:rsidRPr="002B3C6E" w:rsidRDefault="002B3C6E">
      <w:pPr>
        <w:numPr>
          <w:ilvl w:val="0"/>
          <w:numId w:val="104"/>
        </w:numPr>
        <w:jc w:val="both"/>
      </w:pPr>
      <w:r w:rsidRPr="002B3C6E">
        <w:t>Professor, Laboratory of Animal Production &amp; Environmental Protection, Department of Veterinary Medicine, School of Health Sciences, Aristotle University of Thessaloniki</w:t>
      </w:r>
    </w:p>
    <w:p w14:paraId="0D6AF128" w14:textId="77777777" w:rsidR="002B3C6E" w:rsidRPr="002B3C6E" w:rsidRDefault="002B3C6E" w:rsidP="002B3C6E">
      <w:pPr>
        <w:jc w:val="both"/>
      </w:pPr>
    </w:p>
    <w:p w14:paraId="5AB24CA5" w14:textId="77777777" w:rsidR="002B3C6E" w:rsidRPr="002B3C6E" w:rsidRDefault="002B3C6E" w:rsidP="002B3C6E">
      <w:pPr>
        <w:jc w:val="both"/>
      </w:pPr>
      <w:r w:rsidRPr="002B3C6E">
        <w:rPr>
          <w:b/>
          <w:bCs/>
        </w:rPr>
        <w:t>Abstract</w:t>
      </w:r>
    </w:p>
    <w:p w14:paraId="053329DD" w14:textId="77777777" w:rsidR="002B3C6E" w:rsidRPr="002B3C6E" w:rsidRDefault="002B3C6E" w:rsidP="002B3C6E">
      <w:pPr>
        <w:jc w:val="both"/>
      </w:pPr>
      <w:r w:rsidRPr="002B3C6E">
        <w:t>Consumer demands, the need to increase productivity, and the need to ensure animal welfare, are leading to the development of technologies aimed at reducing the incidence of pathological conditions and increasing the longevity of production animals, and consequently at reducing production costs. The purpose of this bibliographic research is to present and highlight new genetic methods for disease prevention and the preservation of the health and welfare of dairy cows and calves. The collection of a large number of phenotype observations in recent years, combined with the analysis of the animals’ genomes, the discovery of genetic loci associated with traits of low heritability, such as immune response and resistance to diseases like mastitis, displaced abomasum, hypocalcemia, metritis, lameness, etc., enabling the selection of animals from a very young age through genomic testing. The creation of composite selection indices, such as the Dairy Wellness Profit $ (DWP$), which combines productivity, fertility, and longevity with the above traits, offers excellent prospects for improving the health and welfare indices of dairy cows and calves, while simultaneously enhancing the economic efficiency of livestock production.</w:t>
      </w:r>
    </w:p>
    <w:p w14:paraId="16D9C78C" w14:textId="77777777" w:rsidR="002B3C6E" w:rsidRPr="002B3C6E" w:rsidRDefault="002B3C6E" w:rsidP="002B3C6E">
      <w:pPr>
        <w:jc w:val="both"/>
      </w:pPr>
    </w:p>
    <w:p w14:paraId="3BC90B8B" w14:textId="77777777" w:rsidR="002B3C6E" w:rsidRPr="002B3C6E" w:rsidRDefault="002B3C6E" w:rsidP="002B3C6E">
      <w:pPr>
        <w:jc w:val="both"/>
      </w:pPr>
      <w:r w:rsidRPr="002B3C6E">
        <w:rPr>
          <w:b/>
          <w:bCs/>
        </w:rPr>
        <w:t>Bibliography</w:t>
      </w:r>
    </w:p>
    <w:p w14:paraId="08B552D5" w14:textId="6DD259DD" w:rsidR="002B3C6E" w:rsidRPr="002B3C6E" w:rsidRDefault="002B3C6E" w:rsidP="002B3C6E">
      <w:pPr>
        <w:jc w:val="both"/>
      </w:pPr>
      <w:r w:rsidRPr="002B3C6E">
        <w:t xml:space="preserve">Calus M.P.L., Berry D.P., Banos G., Y. de Haas &amp; Veerkamp R.F. (2013). </w:t>
      </w:r>
      <w:r w:rsidRPr="002B3C6E">
        <w:rPr>
          <w:i/>
          <w:iCs/>
        </w:rPr>
        <w:t>Genomic selection: the option for new robustness traits?</w:t>
      </w:r>
      <w:r w:rsidRPr="002B3C6E">
        <w:t xml:space="preserve"> Advances in Animal Biosciences pp 618–625.</w:t>
      </w:r>
    </w:p>
    <w:p w14:paraId="7C25E692" w14:textId="39CE6481" w:rsidR="002B3C6E" w:rsidRPr="002B3C6E" w:rsidRDefault="002B3C6E" w:rsidP="002B3C6E">
      <w:pPr>
        <w:jc w:val="both"/>
      </w:pPr>
      <w:r w:rsidRPr="002B3C6E">
        <w:t xml:space="preserve">De Haas, Y., Veerkamp, R. F., &amp; Ducro, B. J. (2011). </w:t>
      </w:r>
      <w:r w:rsidRPr="002B3C6E">
        <w:rPr>
          <w:i/>
          <w:iCs/>
        </w:rPr>
        <w:t>Genetic parameters of pathogen-specific mastitis resistance and the role of immune response.</w:t>
      </w:r>
      <w:r w:rsidRPr="002B3C6E">
        <w:t xml:space="preserve"> Journal of Dairy Science. </w:t>
      </w:r>
    </w:p>
    <w:p w14:paraId="3369A741" w14:textId="3DF284F3" w:rsidR="002B3C6E" w:rsidRPr="002B3C6E" w:rsidRDefault="002B3C6E" w:rsidP="002B3C6E">
      <w:pPr>
        <w:jc w:val="both"/>
      </w:pPr>
      <w:r w:rsidRPr="002B3C6E">
        <w:t xml:space="preserve">Denholm S., McNeilly T., Banos G., Coffey M., Russell G., Bagnall A., Mitchell M. &amp; Wall E. (2017). </w:t>
      </w:r>
      <w:r w:rsidRPr="002B3C6E">
        <w:rPr>
          <w:i/>
          <w:iCs/>
        </w:rPr>
        <w:t>Estimating genetic and phenotypic parameters of cellular immune-associated traits in dairy cows.</w:t>
      </w:r>
      <w:r w:rsidRPr="002B3C6E">
        <w:t xml:space="preserve"> American Dairy Science Association.</w:t>
      </w:r>
    </w:p>
    <w:p w14:paraId="412AAE46" w14:textId="1BE3412F" w:rsidR="002B3C6E" w:rsidRPr="002B3C6E" w:rsidRDefault="002B3C6E" w:rsidP="002B3C6E">
      <w:pPr>
        <w:jc w:val="both"/>
      </w:pPr>
      <w:r w:rsidRPr="002B3C6E">
        <w:t xml:space="preserve">Fessenden B., Weigel D., Osterstock J., Galligan D. &amp; Fernando Di Croce (2020). </w:t>
      </w:r>
      <w:r w:rsidRPr="002B3C6E">
        <w:rPr>
          <w:i/>
          <w:iCs/>
        </w:rPr>
        <w:t>Validation of genomic predictions for a lifetime merit selection index for the US dairy industry.</w:t>
      </w:r>
      <w:r w:rsidRPr="002B3C6E">
        <w:t xml:space="preserve"> American Dairy Science Association.</w:t>
      </w:r>
    </w:p>
    <w:p w14:paraId="682F64D7" w14:textId="784878EB" w:rsidR="002B3C6E" w:rsidRPr="002B3C6E" w:rsidRDefault="002B3C6E" w:rsidP="002B3C6E">
      <w:pPr>
        <w:jc w:val="both"/>
      </w:pPr>
      <w:r w:rsidRPr="002B3C6E">
        <w:t xml:space="preserve">Fessenden, B., Weigel, K. A., &amp; Shook, G. E. (2020). </w:t>
      </w:r>
      <w:r w:rsidRPr="002B3C6E">
        <w:rPr>
          <w:i/>
          <w:iCs/>
        </w:rPr>
        <w:t>Genetic selection for improved dairy cow health and profitability using the Dairy Wellness Profit Index (DWP$).</w:t>
      </w:r>
      <w:r w:rsidRPr="002B3C6E">
        <w:t xml:space="preserve"> Journal of Dairy Science.</w:t>
      </w:r>
    </w:p>
    <w:p w14:paraId="14616116" w14:textId="0F53CF34" w:rsidR="002B3C6E" w:rsidRPr="002B3C6E" w:rsidRDefault="002B3C6E" w:rsidP="002B3C6E">
      <w:pPr>
        <w:jc w:val="both"/>
      </w:pPr>
      <w:r w:rsidRPr="002B3C6E">
        <w:t xml:space="preserve">Gonzalez-Peña D., Vukasinovic N., Brooker J.J., Przybyla C.A. &amp; DeNise S.K. (2019). </w:t>
      </w:r>
      <w:r w:rsidRPr="002B3C6E">
        <w:rPr>
          <w:i/>
          <w:iCs/>
        </w:rPr>
        <w:t>Genomic evaluation for calf wellness traits in Holstein cattle.</w:t>
      </w:r>
      <w:r w:rsidRPr="002B3C6E">
        <w:t xml:space="preserve"> American Dairy Science Association. </w:t>
      </w:r>
    </w:p>
    <w:p w14:paraId="12E92422" w14:textId="1D40ACE0" w:rsidR="002B3C6E" w:rsidRPr="002B3C6E" w:rsidRDefault="002B3C6E" w:rsidP="002B3C6E">
      <w:pPr>
        <w:jc w:val="both"/>
      </w:pPr>
      <w:r w:rsidRPr="002B3C6E">
        <w:lastRenderedPageBreak/>
        <w:t xml:space="preserve">Grala T.M., Kuhn-Sherlock B., Crookenden M.A., Walker G.C., Roche J.R., Price M.D., Burke C.R. &amp; Meier S. (2022). </w:t>
      </w:r>
      <w:r w:rsidRPr="002B3C6E">
        <w:rPr>
          <w:i/>
          <w:iCs/>
        </w:rPr>
        <w:t>Adaptive immune response ranking is associated with reproductive phenotypes in grazing dairy cows divergent in genetic merit for fertility traits.</w:t>
      </w:r>
      <w:r w:rsidRPr="002B3C6E">
        <w:t xml:space="preserve"> American Dairy Science Association, New Zealand. </w:t>
      </w:r>
    </w:p>
    <w:p w14:paraId="697D98A7" w14:textId="5534BC94" w:rsidR="002B3C6E" w:rsidRPr="002B3C6E" w:rsidRDefault="002B3C6E" w:rsidP="002B3C6E">
      <w:pPr>
        <w:jc w:val="both"/>
      </w:pPr>
      <w:r w:rsidRPr="002B3C6E">
        <w:t xml:space="preserve">Heringstad, B., Egger-Danner, C., Charfeddine, N., Pryce, J. E., Stock, K. F., Kofler J. &amp; Cole, J. B. (2018). </w:t>
      </w:r>
      <w:r w:rsidRPr="002B3C6E">
        <w:rPr>
          <w:i/>
          <w:iCs/>
        </w:rPr>
        <w:t>Invited review: Genetics and claw health in dairy cattle.</w:t>
      </w:r>
      <w:r w:rsidRPr="002B3C6E">
        <w:t xml:space="preserve"> Journal of Dairy Science.</w:t>
      </w:r>
    </w:p>
    <w:p w14:paraId="0CB4BC5E" w14:textId="6333643D" w:rsidR="002B3C6E" w:rsidRPr="002B3C6E" w:rsidRDefault="002B3C6E" w:rsidP="002B3C6E">
      <w:pPr>
        <w:jc w:val="both"/>
      </w:pPr>
      <w:r w:rsidRPr="002B3C6E">
        <w:t xml:space="preserve">König S. &amp; May K. (2018). </w:t>
      </w:r>
      <w:r w:rsidRPr="002B3C6E">
        <w:rPr>
          <w:i/>
          <w:iCs/>
        </w:rPr>
        <w:t>Invited review: Phenotyping strategies and quantitative-genetic background of resistance, tolerance and resilience associated traits in dairy cattle.</w:t>
      </w:r>
      <w:r w:rsidRPr="002B3C6E">
        <w:t xml:space="preserve"> The Animal Consortium pp 897-908.</w:t>
      </w:r>
    </w:p>
    <w:p w14:paraId="19D3F386" w14:textId="45995645" w:rsidR="002B3C6E" w:rsidRPr="002B3C6E" w:rsidRDefault="002B3C6E" w:rsidP="002B3C6E">
      <w:pPr>
        <w:jc w:val="both"/>
      </w:pPr>
      <w:r w:rsidRPr="002B3C6E">
        <w:t xml:space="preserve">Parker Gaddis, K. L., Megonigal, J. H., Clay, J. S., &amp; Wolfe, C. W. (2018). </w:t>
      </w:r>
      <w:r w:rsidRPr="002B3C6E">
        <w:rPr>
          <w:i/>
          <w:iCs/>
        </w:rPr>
        <w:t>Genome-wide association study for ketosis, mastitis, and other health traits in US Holstein cattle.</w:t>
      </w:r>
      <w:r w:rsidRPr="002B3C6E">
        <w:t xml:space="preserve"> Journal of Dairy Science.</w:t>
      </w:r>
    </w:p>
    <w:p w14:paraId="65C95D2E" w14:textId="268F744D" w:rsidR="002B3C6E" w:rsidRPr="002B3C6E" w:rsidRDefault="002B3C6E" w:rsidP="002B3C6E">
      <w:pPr>
        <w:jc w:val="both"/>
      </w:pPr>
      <w:r w:rsidRPr="002B3C6E">
        <w:t xml:space="preserve">Thompson-Crispi Κ.Α., Hine Β., Quinton Μ., Miglior F. &amp;Mallard B.A. (2012). </w:t>
      </w:r>
      <w:r w:rsidRPr="002B3C6E">
        <w:rPr>
          <w:i/>
          <w:iCs/>
        </w:rPr>
        <w:t>Short communication: Association of disease incidence and adaptive immune response in Holstein dairy cows.</w:t>
      </w:r>
      <w:r w:rsidRPr="002B3C6E">
        <w:t xml:space="preserve"> American Dairy Science Association.</w:t>
      </w:r>
    </w:p>
    <w:p w14:paraId="599AE2FE" w14:textId="686D82A4" w:rsidR="002B3C6E" w:rsidRPr="002B3C6E" w:rsidRDefault="002B3C6E" w:rsidP="002B3C6E">
      <w:pPr>
        <w:jc w:val="both"/>
      </w:pPr>
      <w:r w:rsidRPr="002B3C6E">
        <w:t xml:space="preserve">Thompson-Crispi Κ.Α., Miglior F. &amp;Mallard B.A. (2013). </w:t>
      </w:r>
      <w:r w:rsidRPr="002B3C6E">
        <w:rPr>
          <w:i/>
          <w:iCs/>
        </w:rPr>
        <w:t>Genetic parameters for natural antibodies and associations with specific antibody and mastitis in Canadian Holsteins.</w:t>
      </w:r>
      <w:r w:rsidRPr="002B3C6E">
        <w:t xml:space="preserve"> American Dairy Science Association.</w:t>
      </w:r>
    </w:p>
    <w:p w14:paraId="607BF345" w14:textId="5C4E34BB" w:rsidR="002B3C6E" w:rsidRPr="002B3C6E" w:rsidRDefault="002B3C6E" w:rsidP="002B3C6E">
      <w:pPr>
        <w:jc w:val="both"/>
      </w:pPr>
      <w:r w:rsidRPr="002B3C6E">
        <w:t xml:space="preserve">Thompson-Crispi Κ.Α., Sewalem A., Miglior F. &amp;Mallard B.A. (2012). </w:t>
      </w:r>
      <w:r w:rsidRPr="002B3C6E">
        <w:rPr>
          <w:i/>
          <w:iCs/>
        </w:rPr>
        <w:t>Genetic parameters of adaptive immune response traits in Canadian Holsteins.</w:t>
      </w:r>
      <w:r w:rsidRPr="002B3C6E">
        <w:t xml:space="preserve"> American Dairy Science Association</w:t>
      </w:r>
    </w:p>
    <w:p w14:paraId="0E308459" w14:textId="77777777" w:rsidR="002B3C6E" w:rsidRPr="002B3C6E" w:rsidRDefault="002B3C6E" w:rsidP="002B3C6E">
      <w:pPr>
        <w:jc w:val="both"/>
      </w:pPr>
      <w:r w:rsidRPr="002B3C6E">
        <w:t xml:space="preserve">VanRaden, P. M., Tooker, M. E., O’Connell, J. R., Cole, J. B., &amp; Bickhart, D. M. (2017). </w:t>
      </w:r>
      <w:r w:rsidRPr="002B3C6E">
        <w:rPr>
          <w:i/>
          <w:iCs/>
        </w:rPr>
        <w:t>Selecting for economically important traits in dairy cattle using genomic predictions.</w:t>
      </w:r>
      <w:r w:rsidRPr="002B3C6E">
        <w:t xml:space="preserve"> Journal of Dairy Science.</w:t>
      </w:r>
    </w:p>
    <w:p w14:paraId="4229A3E1" w14:textId="3F49C4AC" w:rsidR="002B3C6E" w:rsidRPr="002B3C6E" w:rsidRDefault="002B3C6E" w:rsidP="002B3C6E">
      <w:pPr>
        <w:jc w:val="both"/>
      </w:pPr>
      <w:r w:rsidRPr="002B3C6E">
        <w:t xml:space="preserve">Zoetis. (2018). </w:t>
      </w:r>
      <w:r w:rsidRPr="002B3C6E">
        <w:rPr>
          <w:i/>
          <w:iCs/>
        </w:rPr>
        <w:t>CLARIFIDE® Plus: Genomic testing for dairy cattle.</w:t>
      </w:r>
      <w:r w:rsidRPr="002B3C6E">
        <w:t xml:space="preserve"> Zoetis Animal Genetics.</w:t>
      </w:r>
    </w:p>
    <w:p w14:paraId="5280D4DD" w14:textId="77777777" w:rsidR="002B3C6E" w:rsidRPr="002B3C6E" w:rsidRDefault="002B3C6E" w:rsidP="002B3C6E">
      <w:pPr>
        <w:jc w:val="both"/>
      </w:pPr>
      <w:r w:rsidRPr="002B3C6E">
        <w:t xml:space="preserve">Zoetis. (2018). </w:t>
      </w:r>
      <w:r w:rsidRPr="002B3C6E">
        <w:rPr>
          <w:i/>
          <w:iCs/>
        </w:rPr>
        <w:t>Dairy Wellness Profit Index (DWP$): Technical overview and economic interpretation.</w:t>
      </w:r>
      <w:r w:rsidRPr="002B3C6E">
        <w:t xml:space="preserve"> Zoetis Animal Genetics.</w:t>
      </w:r>
    </w:p>
    <w:p w14:paraId="3373123B" w14:textId="77777777" w:rsidR="002B3C6E" w:rsidRPr="002B3C6E" w:rsidRDefault="002B3C6E" w:rsidP="002B3C6E">
      <w:pPr>
        <w:jc w:val="both"/>
      </w:pPr>
      <w:r w:rsidRPr="002B3C6E">
        <w:t xml:space="preserve">Zoetis. </w:t>
      </w:r>
      <w:r w:rsidRPr="002B3C6E">
        <w:rPr>
          <w:i/>
          <w:iCs/>
        </w:rPr>
        <w:t>CLARIFIDE® Plus: Wellness traits and genetic predictions for disease risk.</w:t>
      </w:r>
      <w:r w:rsidRPr="002B3C6E">
        <w:t> </w:t>
      </w:r>
    </w:p>
    <w:p w14:paraId="608F2325" w14:textId="77777777" w:rsidR="002B3C6E" w:rsidRDefault="002B3C6E" w:rsidP="002B3C6E">
      <w:pPr>
        <w:jc w:val="both"/>
      </w:pPr>
    </w:p>
    <w:p w14:paraId="164F6807" w14:textId="77777777" w:rsidR="002B3C6E" w:rsidRDefault="002B3C6E" w:rsidP="002B3C6E">
      <w:pPr>
        <w:jc w:val="both"/>
      </w:pPr>
    </w:p>
    <w:p w14:paraId="349BE5C6" w14:textId="77777777" w:rsidR="002B3C6E" w:rsidRDefault="002B3C6E" w:rsidP="002B3C6E">
      <w:pPr>
        <w:jc w:val="both"/>
      </w:pPr>
    </w:p>
    <w:p w14:paraId="0BF1E84F" w14:textId="77777777" w:rsidR="002B3C6E" w:rsidRDefault="002B3C6E" w:rsidP="002B3C6E">
      <w:pPr>
        <w:jc w:val="both"/>
      </w:pPr>
    </w:p>
    <w:p w14:paraId="2A1B09BA" w14:textId="77777777" w:rsidR="002B3C6E" w:rsidRDefault="002B3C6E" w:rsidP="002B3C6E">
      <w:pPr>
        <w:jc w:val="both"/>
      </w:pPr>
    </w:p>
    <w:p w14:paraId="3D17F807" w14:textId="77777777" w:rsidR="002B3C6E" w:rsidRDefault="002B3C6E" w:rsidP="002B3C6E">
      <w:pPr>
        <w:jc w:val="both"/>
      </w:pPr>
    </w:p>
    <w:p w14:paraId="319782E1" w14:textId="77777777" w:rsidR="002B3C6E" w:rsidRDefault="002B3C6E" w:rsidP="002B3C6E">
      <w:pPr>
        <w:jc w:val="both"/>
      </w:pPr>
    </w:p>
    <w:p w14:paraId="29B16A69" w14:textId="77777777" w:rsidR="002B3C6E" w:rsidRDefault="002B3C6E" w:rsidP="002B3C6E">
      <w:pPr>
        <w:jc w:val="both"/>
      </w:pPr>
    </w:p>
    <w:p w14:paraId="7D72508C" w14:textId="77777777" w:rsidR="002B3C6E" w:rsidRDefault="002B3C6E" w:rsidP="002B3C6E">
      <w:pPr>
        <w:jc w:val="both"/>
      </w:pPr>
    </w:p>
    <w:p w14:paraId="149440E9" w14:textId="77777777" w:rsidR="002B3C6E" w:rsidRDefault="002B3C6E" w:rsidP="002B3C6E">
      <w:pPr>
        <w:jc w:val="both"/>
      </w:pPr>
    </w:p>
    <w:p w14:paraId="671C4C94" w14:textId="77777777" w:rsidR="002B3C6E" w:rsidRPr="002B3C6E" w:rsidRDefault="002B3C6E" w:rsidP="002B3C6E">
      <w:pPr>
        <w:jc w:val="both"/>
      </w:pPr>
    </w:p>
    <w:p w14:paraId="6E4427BE" w14:textId="3CE6E1AC" w:rsidR="002B3C6E" w:rsidRPr="002B3C6E" w:rsidRDefault="002B3C6E" w:rsidP="002B3C6E">
      <w:pPr>
        <w:jc w:val="both"/>
      </w:pPr>
      <w:r w:rsidRPr="002B3C6E">
        <w:rPr>
          <w:b/>
          <w:bCs/>
        </w:rPr>
        <w:lastRenderedPageBreak/>
        <w:t>Cow – Calf Separation and Welfare in Dairy Farms</w:t>
      </w:r>
    </w:p>
    <w:p w14:paraId="47B5940B" w14:textId="77777777" w:rsidR="002B3C6E" w:rsidRPr="002B3C6E" w:rsidRDefault="002B3C6E" w:rsidP="002B3C6E">
      <w:pPr>
        <w:jc w:val="both"/>
      </w:pPr>
      <w:r w:rsidRPr="002B3C6E">
        <w:t>Mokas Kyriazis</w:t>
      </w:r>
      <w:r w:rsidRPr="002B3C6E">
        <w:rPr>
          <w:vertAlign w:val="superscript"/>
        </w:rPr>
        <w:t>1</w:t>
      </w:r>
      <w:r w:rsidRPr="002B3C6E">
        <w:t>, Grigoriadou Eleftheria</w:t>
      </w:r>
      <w:r w:rsidRPr="002B3C6E">
        <w:rPr>
          <w:vertAlign w:val="superscript"/>
        </w:rPr>
        <w:t>1</w:t>
      </w:r>
      <w:r w:rsidRPr="002B3C6E">
        <w:t>, Valergakis E. Georgios</w:t>
      </w:r>
      <w:r w:rsidRPr="002B3C6E">
        <w:rPr>
          <w:vertAlign w:val="superscript"/>
        </w:rPr>
        <w:t>2</w:t>
      </w:r>
    </w:p>
    <w:p w14:paraId="1BFD32C1" w14:textId="77777777" w:rsidR="002B3C6E" w:rsidRPr="002B3C6E" w:rsidRDefault="002B3C6E">
      <w:pPr>
        <w:numPr>
          <w:ilvl w:val="0"/>
          <w:numId w:val="105"/>
        </w:numPr>
        <w:jc w:val="both"/>
      </w:pPr>
      <w:r w:rsidRPr="002B3C6E">
        <w:t>Undergraduate student, Department of Veterinary Medicine, School of Health Sciences, Aristotle University of Thessaloniki</w:t>
      </w:r>
    </w:p>
    <w:p w14:paraId="5B90D7E6" w14:textId="77777777" w:rsidR="002B3C6E" w:rsidRPr="002B3C6E" w:rsidRDefault="002B3C6E">
      <w:pPr>
        <w:numPr>
          <w:ilvl w:val="0"/>
          <w:numId w:val="105"/>
        </w:numPr>
        <w:jc w:val="both"/>
      </w:pPr>
      <w:r w:rsidRPr="002B3C6E">
        <w:t>Professor, Laboratory of Animal Production &amp; Environment Protection, Department of Veterinary Medicine, School of Health Sciences, Aristotle University of Thessaloniki</w:t>
      </w:r>
    </w:p>
    <w:p w14:paraId="5EB77ED3" w14:textId="77777777" w:rsidR="002B3C6E" w:rsidRPr="002B3C6E" w:rsidRDefault="002B3C6E" w:rsidP="002B3C6E">
      <w:pPr>
        <w:jc w:val="both"/>
      </w:pPr>
      <w:r w:rsidRPr="002B3C6E">
        <w:rPr>
          <w:b/>
          <w:bCs/>
        </w:rPr>
        <w:t>Abstract</w:t>
      </w:r>
    </w:p>
    <w:p w14:paraId="4089508D" w14:textId="77777777" w:rsidR="002B3C6E" w:rsidRDefault="002B3C6E" w:rsidP="002B3C6E">
      <w:pPr>
        <w:jc w:val="both"/>
      </w:pPr>
      <w:r w:rsidRPr="002B3C6E">
        <w:t>Separating calves from their mothers immediately after birth (within 24 hours) on dairy farms is a common practice. The reduced signs of behavioural disorders, both for the mother and her calf, are cited as an argument for immediate separation. Furthermore, it is recommended to protect the health and welfare of the animals. Nowadays, this practice is unacceptable to a segment of consumers. In order for farms to keep pace with consumer demands for better animal welfare, various standards have been developed that prolong the contact between cow and calf. In this way, their natural bond is expressed. However, the longer their contact lasts, the more difficult their separation becomes, as the animals’ behaviors are more severely disrupted as their bond strengthens. Often, to facilitate their separation, «nose flaps» are placed on the calf, a practice that is not particularly well-accepted by consumers. The ethical and welfare issues surrounding cow-calf separation are multifactorial. For this reason, better consumer awareness and education are needed. The role of the veterinarian in modern times is not only to safeguard the health of the animals but also their welfare. </w:t>
      </w:r>
    </w:p>
    <w:p w14:paraId="56C6BC06" w14:textId="77777777" w:rsidR="002B3C6E" w:rsidRPr="002B3C6E" w:rsidRDefault="002B3C6E" w:rsidP="002B3C6E">
      <w:pPr>
        <w:jc w:val="both"/>
      </w:pPr>
    </w:p>
    <w:p w14:paraId="6EE3FA46" w14:textId="77777777" w:rsidR="002B3C6E" w:rsidRPr="002B3C6E" w:rsidRDefault="002B3C6E" w:rsidP="002B3C6E">
      <w:pPr>
        <w:jc w:val="both"/>
      </w:pPr>
      <w:r w:rsidRPr="002B3C6E">
        <w:rPr>
          <w:b/>
          <w:bCs/>
        </w:rPr>
        <w:t>Bibliography</w:t>
      </w:r>
    </w:p>
    <w:p w14:paraId="565F6514" w14:textId="21281696" w:rsidR="002B3C6E" w:rsidRPr="002B3C6E" w:rsidRDefault="002B3C6E" w:rsidP="002B3C6E">
      <w:pPr>
        <w:jc w:val="both"/>
      </w:pPr>
      <w:r w:rsidRPr="002B3C6E">
        <w:t xml:space="preserve">Alvåsen, K., Haskell, M. J., Ivemeyer, S., Eriksson, H., Bicknell, K., Fall, N., &amp; Ahmed, H. (2024). </w:t>
      </w:r>
      <w:r w:rsidRPr="002B3C6E">
        <w:rPr>
          <w:i/>
          <w:iCs/>
        </w:rPr>
        <w:t>Assessing short-term economic consequences of cow-calf contact systems in dairy production using a stochastic partial budgeting approach.</w:t>
      </w:r>
      <w:r w:rsidRPr="002B3C6E">
        <w:t xml:space="preserve"> Frontiers in Animal Science, 4, Article 1197327. </w:t>
      </w:r>
    </w:p>
    <w:p w14:paraId="62C527E3" w14:textId="19F746B8" w:rsidR="002B3C6E" w:rsidRPr="002B3C6E" w:rsidRDefault="002B3C6E" w:rsidP="002B3C6E">
      <w:pPr>
        <w:jc w:val="both"/>
      </w:pPr>
      <w:r w:rsidRPr="002B3C6E">
        <w:t>Asheim, L. J., Johnsen, J. F., Havrevoll, Ø., Mejdell, C. M., &amp; Grøndahl, A. M. (2016). T</w:t>
      </w:r>
      <w:r w:rsidRPr="002B3C6E">
        <w:rPr>
          <w:i/>
          <w:iCs/>
        </w:rPr>
        <w:t>he economic effects of suckling and milk feeding to calves in dual purpose dairy and beef farming.</w:t>
      </w:r>
      <w:r w:rsidRPr="002B3C6E">
        <w:t xml:space="preserve"> Organic Agriculture, 6, 303–311.</w:t>
      </w:r>
    </w:p>
    <w:p w14:paraId="4098082E" w14:textId="77777777" w:rsidR="002B3C6E" w:rsidRPr="002B3C6E" w:rsidRDefault="002B3C6E" w:rsidP="002B3C6E">
      <w:pPr>
        <w:jc w:val="both"/>
      </w:pPr>
      <w:r w:rsidRPr="002B3C6E">
        <w:t xml:space="preserve">Barth, K. (2020). </w:t>
      </w:r>
      <w:r w:rsidRPr="002B3C6E">
        <w:rPr>
          <w:i/>
          <w:iCs/>
        </w:rPr>
        <w:t>Effects of suckling on milk yield and milk composition of dairy cows in cow–calf contact systems.</w:t>
      </w:r>
      <w:r w:rsidRPr="002B3C6E">
        <w:t xml:space="preserve"> Journal of Dairy Research, 87(S1), 133–137. </w:t>
      </w:r>
    </w:p>
    <w:p w14:paraId="4D243CC1" w14:textId="3E60CC99" w:rsidR="002B3C6E" w:rsidRPr="002B3C6E" w:rsidRDefault="002B3C6E" w:rsidP="002B3C6E">
      <w:pPr>
        <w:jc w:val="both"/>
      </w:pPr>
      <w:r w:rsidRPr="002B3C6E">
        <w:t xml:space="preserve">Beaver, A., Meagher, R. K., von Keyserlingk, M. A. G., &amp; Weary, D. M. (2019). </w:t>
      </w:r>
      <w:r w:rsidRPr="002B3C6E">
        <w:rPr>
          <w:i/>
          <w:iCs/>
        </w:rPr>
        <w:t>Invited review: A systematic review of the effects of early separation on dairy cow and calf health.</w:t>
      </w:r>
      <w:r w:rsidRPr="002B3C6E">
        <w:t xml:space="preserve"> Journal of Dairy Science, 102(7), 5784–5810. </w:t>
      </w:r>
    </w:p>
    <w:p w14:paraId="4585AAD8" w14:textId="2295D590" w:rsidR="002B3C6E" w:rsidRPr="002B3C6E" w:rsidRDefault="002B3C6E" w:rsidP="002B3C6E">
      <w:pPr>
        <w:jc w:val="both"/>
      </w:pPr>
      <w:r w:rsidRPr="002B3C6E">
        <w:t xml:space="preserve">Bertelsen, M., &amp; Vaarst, M. (2023). </w:t>
      </w:r>
      <w:r w:rsidRPr="002B3C6E">
        <w:rPr>
          <w:i/>
          <w:iCs/>
        </w:rPr>
        <w:t xml:space="preserve">Shaping cow-calf contact systems: Farmers’ motivations and considerations behind a range of different cow-calf contact systems. </w:t>
      </w:r>
      <w:r w:rsidRPr="002B3C6E">
        <w:t>Journal of Dairy Science, 106(4), 2855–2868. </w:t>
      </w:r>
    </w:p>
    <w:p w14:paraId="498A258C" w14:textId="692EAFD4" w:rsidR="002B3C6E" w:rsidRPr="002B3C6E" w:rsidRDefault="002B3C6E" w:rsidP="002B3C6E">
      <w:pPr>
        <w:jc w:val="both"/>
      </w:pPr>
      <w:r w:rsidRPr="002B3C6E">
        <w:t xml:space="preserve">Duve, L. R., &amp; Jensen, M. B. (2012). </w:t>
      </w:r>
      <w:r w:rsidRPr="002B3C6E">
        <w:rPr>
          <w:i/>
          <w:iCs/>
        </w:rPr>
        <w:t>Social behavior of young dairy calves housed with limited or full social contact with a peer.</w:t>
      </w:r>
      <w:r w:rsidRPr="002B3C6E">
        <w:t xml:space="preserve"> Journal of Dairy Science, 95(10), 5936–5945. </w:t>
      </w:r>
    </w:p>
    <w:p w14:paraId="549FF3F2" w14:textId="3F1C52E6" w:rsidR="002B3C6E" w:rsidRPr="002B3C6E" w:rsidRDefault="002B3C6E" w:rsidP="002B3C6E">
      <w:pPr>
        <w:jc w:val="both"/>
      </w:pPr>
      <w:r w:rsidRPr="002B3C6E">
        <w:t xml:space="preserve">Eriksson, H., Fall, N., Ivemeyer, S., Knierim, U., Simantke, C., Fuerst-Waltl, B., Winckler, C., Weissensteiner, R., Pomiès, D., Martin, B., Michaud, A., Priolo, A., Caccamo, M., Sakowski, T., </w:t>
      </w:r>
      <w:r w:rsidRPr="002B3C6E">
        <w:lastRenderedPageBreak/>
        <w:t xml:space="preserve">Stachelek, M., Spengler Neff, A., Bieber, A., Schneider, C., &amp; Alvåsen, K. (2022). </w:t>
      </w:r>
      <w:r w:rsidRPr="002B3C6E">
        <w:rPr>
          <w:i/>
          <w:iCs/>
        </w:rPr>
        <w:t>Strategies for keeping dairy cows and calves together – a cross-sectional survey study.</w:t>
      </w:r>
      <w:r w:rsidRPr="002B3C6E">
        <w:t xml:space="preserve"> Animal, 16(10), Article 100645. </w:t>
      </w:r>
    </w:p>
    <w:p w14:paraId="1B043505" w14:textId="3CA51733" w:rsidR="002B3C6E" w:rsidRPr="002B3C6E" w:rsidRDefault="002B3C6E" w:rsidP="002B3C6E">
      <w:pPr>
        <w:jc w:val="both"/>
      </w:pPr>
      <w:r w:rsidRPr="002B3C6E">
        <w:t xml:space="preserve">Flower, F. C., &amp; Weary, D. M. (2001). </w:t>
      </w:r>
      <w:r w:rsidRPr="002B3C6E">
        <w:rPr>
          <w:i/>
          <w:iCs/>
        </w:rPr>
        <w:t>Effects of early separation on the dairy cow and calf: 2. Separation at 1 day and 2 weeks after birth.</w:t>
      </w:r>
      <w:r w:rsidRPr="002B3C6E">
        <w:t xml:space="preserve"> Applied Animal Behaviour Science, 70(4), 275–284. </w:t>
      </w:r>
    </w:p>
    <w:p w14:paraId="0B72CE25" w14:textId="77777777" w:rsidR="002B3C6E" w:rsidRPr="002B3C6E" w:rsidRDefault="002B3C6E" w:rsidP="002B3C6E">
      <w:pPr>
        <w:jc w:val="both"/>
      </w:pPr>
      <w:r w:rsidRPr="002B3C6E">
        <w:t xml:space="preserve">Hopster, H., O’Connell, J. M., &amp; Blokhuis, H. J. (1995). </w:t>
      </w:r>
      <w:r w:rsidRPr="002B3C6E">
        <w:rPr>
          <w:i/>
          <w:iCs/>
        </w:rPr>
        <w:t>Acute effects of cow-calf separation on heart rate, plasma cortisol and behaviour in multiparous dairy cows.</w:t>
      </w:r>
      <w:r w:rsidRPr="002B3C6E">
        <w:t xml:space="preserve"> Applied Animal Behaviour Science, 44(1), 1–8. </w:t>
      </w:r>
    </w:p>
    <w:p w14:paraId="4E5B264D" w14:textId="77777777" w:rsidR="002B3C6E" w:rsidRPr="002B3C6E" w:rsidRDefault="002B3C6E" w:rsidP="002B3C6E">
      <w:pPr>
        <w:jc w:val="both"/>
      </w:pPr>
      <w:r w:rsidRPr="002B3C6E">
        <w:t xml:space="preserve">Jensen, M. B. (2018). </w:t>
      </w:r>
      <w:r w:rsidRPr="002B3C6E">
        <w:rPr>
          <w:i/>
          <w:iCs/>
        </w:rPr>
        <w:t>The role of social behavior in cattle welfare.</w:t>
      </w:r>
      <w:r w:rsidRPr="002B3C6E">
        <w:t xml:space="preserve"> In C. B. Tucker (Ed.), Advances in cattle welfare (pp. 123–155). Woodhead Publishing. </w:t>
      </w:r>
    </w:p>
    <w:p w14:paraId="3BEE6F05" w14:textId="2477CA9C" w:rsidR="002B3C6E" w:rsidRPr="002B3C6E" w:rsidRDefault="002B3C6E" w:rsidP="002B3C6E">
      <w:pPr>
        <w:jc w:val="both"/>
      </w:pPr>
      <w:r w:rsidRPr="002B3C6E">
        <w:t xml:space="preserve">Jensen, M. B., &amp; Proudfoot, K. (2023). </w:t>
      </w:r>
      <w:r w:rsidRPr="002B3C6E">
        <w:rPr>
          <w:i/>
          <w:iCs/>
        </w:rPr>
        <w:t>Welfare at calving and of the growing animals.</w:t>
      </w:r>
      <w:r w:rsidRPr="002B3C6E">
        <w:t xml:space="preserve"> In M. Haskell (Ed.), Cattle welfare in dairy and beef systems: A new approach to global issues (pp. 265–296). Springer Nature Switzerland AG. </w:t>
      </w:r>
    </w:p>
    <w:p w14:paraId="5ABE1D29" w14:textId="22A4764D" w:rsidR="002B3C6E" w:rsidRPr="002B3C6E" w:rsidRDefault="002B3C6E" w:rsidP="002B3C6E">
      <w:pPr>
        <w:jc w:val="both"/>
      </w:pPr>
      <w:r w:rsidRPr="002B3C6E">
        <w:t xml:space="preserve">Krohn, C. C. (2001). </w:t>
      </w:r>
      <w:r w:rsidRPr="002B3C6E">
        <w:rPr>
          <w:i/>
          <w:iCs/>
        </w:rPr>
        <w:t>Effects of different suckling systems on milk production, udder health, reproduction, calf growth and some behavioural aspects in high producing dairy cows — a review.</w:t>
      </w:r>
      <w:r w:rsidRPr="002B3C6E">
        <w:t xml:space="preserve"> Applied Animal Behaviour Science, 72(3), 271–280. </w:t>
      </w:r>
    </w:p>
    <w:p w14:paraId="009C2708" w14:textId="1A5B2138" w:rsidR="002B3C6E" w:rsidRPr="002B3C6E" w:rsidRDefault="002B3C6E" w:rsidP="002B3C6E">
      <w:pPr>
        <w:jc w:val="both"/>
      </w:pPr>
      <w:r w:rsidRPr="002B3C6E">
        <w:t xml:space="preserve">Meagher, R. K., Beaver, A., Weary, D. M., &amp; von Keyserlingk, M. A. G. (2019). </w:t>
      </w:r>
      <w:r w:rsidRPr="002B3C6E">
        <w:rPr>
          <w:i/>
          <w:iCs/>
        </w:rPr>
        <w:t>Invited review: A systematic review of the effects of prolonged cow-calf contact on behavior, welfare, and productivity.</w:t>
      </w:r>
      <w:r w:rsidRPr="002B3C6E">
        <w:t xml:space="preserve"> </w:t>
      </w:r>
      <w:r w:rsidRPr="002B3C6E">
        <w:rPr>
          <w:i/>
          <w:iCs/>
        </w:rPr>
        <w:t>Journal of Dairy Science</w:t>
      </w:r>
      <w:r w:rsidRPr="002B3C6E">
        <w:t xml:space="preserve">, </w:t>
      </w:r>
      <w:r w:rsidRPr="002B3C6E">
        <w:rPr>
          <w:i/>
          <w:iCs/>
        </w:rPr>
        <w:t>102</w:t>
      </w:r>
      <w:r w:rsidRPr="002B3C6E">
        <w:t>(7), 5765–5783. </w:t>
      </w:r>
    </w:p>
    <w:p w14:paraId="5DDC7550" w14:textId="3516327E" w:rsidR="002B3C6E" w:rsidRPr="002B3C6E" w:rsidRDefault="002B3C6E" w:rsidP="002B3C6E">
      <w:pPr>
        <w:jc w:val="both"/>
      </w:pPr>
      <w:r w:rsidRPr="002B3C6E">
        <w:t xml:space="preserve">Mutua, E. K., &amp; Haskell, M. J. (2022). </w:t>
      </w:r>
      <w:r w:rsidRPr="002B3C6E">
        <w:rPr>
          <w:i/>
          <w:iCs/>
        </w:rPr>
        <w:t>Factors contributing to milk yield variation among cows in a cow–calf contact system in early lactation.</w:t>
      </w:r>
      <w:r w:rsidRPr="002B3C6E">
        <w:t xml:space="preserve"> JDS Communications, 3(1), 55–58. </w:t>
      </w:r>
    </w:p>
    <w:p w14:paraId="65A3BED4" w14:textId="2F9BDAC0" w:rsidR="002B3C6E" w:rsidRPr="002B3C6E" w:rsidRDefault="002B3C6E" w:rsidP="002B3C6E">
      <w:pPr>
        <w:jc w:val="both"/>
      </w:pPr>
      <w:r w:rsidRPr="002B3C6E">
        <w:t xml:space="preserve">Neave, H. W., Jensen, E. H., Solarino, A., &amp; Jensen, M. B. (2024). </w:t>
      </w:r>
      <w:r w:rsidRPr="002B3C6E">
        <w:rPr>
          <w:i/>
          <w:iCs/>
        </w:rPr>
        <w:t>Exploring factors influencing machine milk yield of dairy cows in cow-calf contact systems: Cow behavior, animal characteristics, and milking management.</w:t>
      </w:r>
      <w:r w:rsidRPr="002B3C6E">
        <w:t xml:space="preserve"> JDS Communications, 5(5), 495–499. </w:t>
      </w:r>
    </w:p>
    <w:p w14:paraId="1108850E" w14:textId="0923BC77" w:rsidR="002B3C6E" w:rsidRPr="002B3C6E" w:rsidRDefault="002B3C6E" w:rsidP="002B3C6E">
      <w:pPr>
        <w:jc w:val="both"/>
      </w:pPr>
      <w:r w:rsidRPr="002B3C6E">
        <w:t xml:space="preserve">Nicolao, A., Veissier, I., Bouchon, M., Π., Sturaro, E., Martin, B., &amp; Pomiès, D. (2022). </w:t>
      </w:r>
      <w:r w:rsidRPr="002B3C6E">
        <w:rPr>
          <w:i/>
          <w:iCs/>
        </w:rPr>
        <w:t>Animal performance and stress at weaning when dairy cows suckle their calves for short versus long daily durations.</w:t>
      </w:r>
      <w:r w:rsidRPr="002B3C6E">
        <w:t xml:space="preserve"> Animal, 16(6), Article 100537. </w:t>
      </w:r>
    </w:p>
    <w:p w14:paraId="08721A8E" w14:textId="3B01C3FF" w:rsidR="002B3C6E" w:rsidRPr="002B3C6E" w:rsidRDefault="002B3C6E" w:rsidP="002B3C6E">
      <w:pPr>
        <w:jc w:val="both"/>
      </w:pPr>
      <w:r w:rsidRPr="002B3C6E">
        <w:t xml:space="preserve">Placzek, M., Christoph-Schulz, I., &amp; Barth, K. (2021). </w:t>
      </w:r>
      <w:r w:rsidRPr="002B3C6E">
        <w:rPr>
          <w:i/>
          <w:iCs/>
        </w:rPr>
        <w:t>Public attitude towards cow-calf separation and other common practices of calf rearing in dairy farming—a review</w:t>
      </w:r>
      <w:r w:rsidRPr="002B3C6E">
        <w:t>. Organic Agriculture, 11, 1–13. </w:t>
      </w:r>
    </w:p>
    <w:p w14:paraId="4688CF73" w14:textId="4DC8F244" w:rsidR="002B3C6E" w:rsidRPr="002B3C6E" w:rsidRDefault="002B3C6E" w:rsidP="002B3C6E">
      <w:pPr>
        <w:jc w:val="both"/>
      </w:pPr>
      <w:r w:rsidRPr="002B3C6E">
        <w:t xml:space="preserve">Štehulová, I., Lidfors, L., &amp; Špinka, M. (2008). </w:t>
      </w:r>
      <w:r w:rsidRPr="002B3C6E">
        <w:rPr>
          <w:i/>
          <w:iCs/>
        </w:rPr>
        <w:t>Response of dairy cows and calves to early separation: Effect of calf age and visual and auditory contact after separation.</w:t>
      </w:r>
      <w:r w:rsidRPr="002B3C6E">
        <w:t xml:space="preserve"> Applied Animal Behaviour Science, 111(3-4), 217–227. </w:t>
      </w:r>
    </w:p>
    <w:p w14:paraId="402B5E89" w14:textId="3102F25F" w:rsidR="002B3C6E" w:rsidRPr="002B3C6E" w:rsidRDefault="002B3C6E" w:rsidP="002B3C6E">
      <w:pPr>
        <w:jc w:val="both"/>
      </w:pPr>
      <w:r w:rsidRPr="002B3C6E">
        <w:t xml:space="preserve">Van Zyl, C. L., Eriksson, H. K., Bokkers, E. A. M., Kemp, B., van Knegsel, A. T. M., &amp; Agenäs, S. (2025). </w:t>
      </w:r>
      <w:r w:rsidRPr="002B3C6E">
        <w:rPr>
          <w:i/>
          <w:iCs/>
        </w:rPr>
        <w:t>Consequences of weaning and separation for feed intake and milking characteristics of dairy cows in a cow-calf contact system.</w:t>
      </w:r>
      <w:r w:rsidRPr="002B3C6E">
        <w:t xml:space="preserve"> Journal of Dairy Science, 108(3), 2820–2838. </w:t>
      </w:r>
    </w:p>
    <w:p w14:paraId="5AD683B6" w14:textId="77777777" w:rsidR="002B3C6E" w:rsidRPr="002B3C6E" w:rsidRDefault="002B3C6E" w:rsidP="002B3C6E">
      <w:pPr>
        <w:jc w:val="both"/>
      </w:pPr>
      <w:r w:rsidRPr="002B3C6E">
        <w:t xml:space="preserve">Weary, D. M., &amp; Chua, B. (2000). </w:t>
      </w:r>
      <w:r w:rsidRPr="002B3C6E">
        <w:rPr>
          <w:i/>
          <w:iCs/>
        </w:rPr>
        <w:t>Effects of early separation on the dairy cow and calf: 1. Separation at 6 h, 1 day and 4 days after birth.</w:t>
      </w:r>
      <w:r w:rsidRPr="002B3C6E">
        <w:t xml:space="preserve"> Applied Animal Behaviour Science, 69(3), 177–188. </w:t>
      </w:r>
    </w:p>
    <w:p w14:paraId="2C6C2E2F" w14:textId="77777777" w:rsidR="002B3C6E" w:rsidRDefault="002B3C6E" w:rsidP="002B3C6E">
      <w:pPr>
        <w:jc w:val="both"/>
        <w:rPr>
          <w:b/>
          <w:bCs/>
        </w:rPr>
      </w:pPr>
    </w:p>
    <w:p w14:paraId="7287C411" w14:textId="5918EDEB" w:rsidR="002B3C6E" w:rsidRPr="002B3C6E" w:rsidRDefault="002B3C6E" w:rsidP="002B3C6E">
      <w:pPr>
        <w:jc w:val="both"/>
      </w:pPr>
      <w:r w:rsidRPr="002B3C6E">
        <w:rPr>
          <w:b/>
          <w:bCs/>
        </w:rPr>
        <w:lastRenderedPageBreak/>
        <w:t>Vitamin A and Cattle: A “Blind” Love Story</w:t>
      </w:r>
    </w:p>
    <w:p w14:paraId="5D79B00B" w14:textId="77777777" w:rsidR="002B3C6E" w:rsidRPr="002B3C6E" w:rsidRDefault="002B3C6E" w:rsidP="002B3C6E">
      <w:pPr>
        <w:jc w:val="both"/>
      </w:pPr>
      <w:r w:rsidRPr="002B3C6E">
        <w:t>Eleni Zoe Ntaragianni Stamati¹, Anastasia Tsigkotzidou²</w:t>
      </w:r>
    </w:p>
    <w:p w14:paraId="2063772E" w14:textId="5CE06921" w:rsidR="002B3C6E" w:rsidRPr="002B3C6E" w:rsidRDefault="002B3C6E">
      <w:pPr>
        <w:numPr>
          <w:ilvl w:val="0"/>
          <w:numId w:val="106"/>
        </w:numPr>
        <w:jc w:val="both"/>
      </w:pPr>
      <w:r w:rsidRPr="002B3C6E">
        <w:t xml:space="preserve">Undergraduate student, Department of Veterinary </w:t>
      </w:r>
      <w:r w:rsidR="0072531A" w:rsidRPr="002B3C6E">
        <w:t xml:space="preserve">Medicine, </w:t>
      </w:r>
      <w:r w:rsidRPr="002B3C6E">
        <w:t>School of  Health Sciences, Aristotle University of Thessaloniki</w:t>
      </w:r>
    </w:p>
    <w:p w14:paraId="22DFE9BE" w14:textId="77777777" w:rsidR="002B3C6E" w:rsidRDefault="002B3C6E">
      <w:pPr>
        <w:numPr>
          <w:ilvl w:val="0"/>
          <w:numId w:val="106"/>
        </w:numPr>
        <w:jc w:val="both"/>
      </w:pPr>
      <w:r w:rsidRPr="002B3C6E">
        <w:t>Professor, Department of Veterinary Medicine, School of Health Sciences, Aristotle University of Thessaloniki</w:t>
      </w:r>
    </w:p>
    <w:p w14:paraId="72C97B7A" w14:textId="77777777" w:rsidR="002B3C6E" w:rsidRPr="002B3C6E" w:rsidRDefault="002B3C6E" w:rsidP="002B3C6E">
      <w:pPr>
        <w:ind w:left="720"/>
        <w:jc w:val="both"/>
      </w:pPr>
    </w:p>
    <w:p w14:paraId="0316E330" w14:textId="77777777" w:rsidR="002B3C6E" w:rsidRPr="002B3C6E" w:rsidRDefault="002B3C6E" w:rsidP="002B3C6E">
      <w:pPr>
        <w:jc w:val="both"/>
      </w:pPr>
      <w:r w:rsidRPr="002B3C6E">
        <w:rPr>
          <w:b/>
          <w:bCs/>
        </w:rPr>
        <w:t>Abstract</w:t>
      </w:r>
    </w:p>
    <w:p w14:paraId="20164EA7" w14:textId="77777777" w:rsidR="002B3C6E" w:rsidRDefault="002B3C6E" w:rsidP="002B3C6E">
      <w:pPr>
        <w:jc w:val="both"/>
      </w:pPr>
      <w:r w:rsidRPr="002B3C6E">
        <w:t>From the earliest stages of embryogenesis, a multitude of complex and tightly coordinated mechanisms gradually lead to the formation of all organ systems and tissues of the body. These processes involve hormones and growth factors that regulate the expression of morphogenetic genes. An equally important substance involved in these processes is Vitamin A and its derivatives. In developing organisms, Vitamin A is essential for proper vision, the integrity of epithelial tissues, reproduction, and growth. However, it also appears to be crucial during the early stages of gestation, promoting the development of the nervous system—particularly the hindbrain—and the eye, while also regulating the normal migration of neural crest cells. These findings are consistent in both humans and cattle, as well as in other mammals. Animals that do not receive adequate amounts of Vitamin A during gestation have been observed to give birth to offspring with congenital malformations of the nervous system, visual impairments, and pathological alterations affecting multiple systems, including cardiovascular, urogenital, and immune systems. Therefore, a deeper understanding of the role of vitamins and other substances in the various stages of embryogenesis is essential in order to ensure proper reproduction and nutrition in livestock.</w:t>
      </w:r>
    </w:p>
    <w:p w14:paraId="3AAB156B" w14:textId="77777777" w:rsidR="002B3C6E" w:rsidRPr="002B3C6E" w:rsidRDefault="002B3C6E" w:rsidP="002B3C6E">
      <w:pPr>
        <w:jc w:val="both"/>
      </w:pPr>
    </w:p>
    <w:p w14:paraId="12D42893" w14:textId="77777777" w:rsidR="002B3C6E" w:rsidRPr="002B3C6E" w:rsidRDefault="002B3C6E" w:rsidP="002B3C6E">
      <w:pPr>
        <w:jc w:val="both"/>
      </w:pPr>
      <w:r w:rsidRPr="002B3C6E">
        <w:rPr>
          <w:b/>
          <w:bCs/>
        </w:rPr>
        <w:t>Bibliography</w:t>
      </w:r>
    </w:p>
    <w:p w14:paraId="702559F4" w14:textId="77777777" w:rsidR="002B3C6E" w:rsidRPr="002B3C6E" w:rsidRDefault="002B3C6E" w:rsidP="002B3C6E">
      <w:pPr>
        <w:jc w:val="both"/>
      </w:pPr>
      <w:r w:rsidRPr="002B3C6E">
        <w:t xml:space="preserve">Bandara, S., &amp; von Lintig, J. (2025). Vitamin A supply in the eye and establishment of the visual cycle. </w:t>
      </w:r>
      <w:r w:rsidRPr="002B3C6E">
        <w:rPr>
          <w:i/>
          <w:iCs/>
        </w:rPr>
        <w:t>Current Topics in Developmental Biology</w:t>
      </w:r>
      <w:r w:rsidRPr="002B3C6E">
        <w:t>, 161, 319–348.</w:t>
      </w:r>
    </w:p>
    <w:p w14:paraId="63F8DB93" w14:textId="77777777" w:rsidR="002B3C6E" w:rsidRPr="002B3C6E" w:rsidRDefault="002B3C6E" w:rsidP="002B3C6E">
      <w:pPr>
        <w:jc w:val="both"/>
      </w:pPr>
      <w:r w:rsidRPr="002B3C6E">
        <w:t xml:space="preserve">Bates, C. J. (1983). Vitamin A in pregnancy and lactation. </w:t>
      </w:r>
      <w:r w:rsidRPr="002B3C6E">
        <w:rPr>
          <w:i/>
          <w:iCs/>
        </w:rPr>
        <w:t>Proceedings of the Nutrition Society</w:t>
      </w:r>
      <w:r w:rsidRPr="002B3C6E">
        <w:t>, 42(1), 65–79.</w:t>
      </w:r>
    </w:p>
    <w:p w14:paraId="5D0C9302" w14:textId="77777777" w:rsidR="002B3C6E" w:rsidRPr="002B3C6E" w:rsidRDefault="002B3C6E" w:rsidP="002B3C6E">
      <w:pPr>
        <w:jc w:val="both"/>
      </w:pPr>
      <w:r w:rsidRPr="002B3C6E">
        <w:t xml:space="preserve">Cagnotti, G., Giordano, C., Di Muro, G., Ferrini, S., Giudice, C., Borriello, G., &amp; D’Angelo, A. (2025). Neuro-ophthalmologic findings of hypovitaminosis A in beef cattle: A retrospective study. </w:t>
      </w:r>
      <w:r w:rsidRPr="002B3C6E">
        <w:rPr>
          <w:i/>
          <w:iCs/>
        </w:rPr>
        <w:t>Veterinary Quarterly</w:t>
      </w:r>
      <w:r w:rsidRPr="002B3C6E">
        <w:t>, 45(1), Article 2546825.</w:t>
      </w:r>
    </w:p>
    <w:p w14:paraId="46709030" w14:textId="77777777" w:rsidR="002B3C6E" w:rsidRPr="002B3C6E" w:rsidRDefault="002B3C6E" w:rsidP="002B3C6E">
      <w:pPr>
        <w:jc w:val="both"/>
      </w:pPr>
      <w:r w:rsidRPr="002B3C6E">
        <w:t xml:space="preserve">Calhoun, M. C., Hurt, H. D., Eaton, H. D., Rousseau, J. E., Jr., &amp; Hall, R. C., Jr. (1967). Rates of formation and absorption of cerebrospinal fluid in bovine hypovitaminosis A. </w:t>
      </w:r>
      <w:r w:rsidRPr="002B3C6E">
        <w:rPr>
          <w:i/>
          <w:iCs/>
        </w:rPr>
        <w:t>Journal of Dairy Science</w:t>
      </w:r>
      <w:r w:rsidRPr="002B3C6E">
        <w:t>, 50(9), 1489–1494.</w:t>
      </w:r>
    </w:p>
    <w:p w14:paraId="675860D2" w14:textId="77777777" w:rsidR="002B3C6E" w:rsidRPr="002B3C6E" w:rsidRDefault="002B3C6E" w:rsidP="002B3C6E">
      <w:pPr>
        <w:jc w:val="both"/>
      </w:pPr>
      <w:r w:rsidRPr="002B3C6E">
        <w:t xml:space="preserve">Clagett-Dame, M., &amp; DeLuca, H. F. (2002). The role of vitamin A in mammalian reproduction and embryonic development. </w:t>
      </w:r>
      <w:r w:rsidRPr="002B3C6E">
        <w:rPr>
          <w:i/>
          <w:iCs/>
        </w:rPr>
        <w:t>Annual Review of Nutrition</w:t>
      </w:r>
      <w:r w:rsidRPr="002B3C6E">
        <w:t>, 22, 347–381.</w:t>
      </w:r>
    </w:p>
    <w:p w14:paraId="44873AE5" w14:textId="77777777" w:rsidR="002B3C6E" w:rsidRPr="002B3C6E" w:rsidRDefault="002B3C6E" w:rsidP="002B3C6E">
      <w:pPr>
        <w:jc w:val="both"/>
      </w:pPr>
      <w:r w:rsidRPr="002B3C6E">
        <w:t xml:space="preserve">Dewell, G. (2014). </w:t>
      </w:r>
      <w:r w:rsidRPr="002B3C6E">
        <w:rPr>
          <w:i/>
          <w:iCs/>
        </w:rPr>
        <w:t>Vitamin A deficiency in beef calves</w:t>
      </w:r>
      <w:r w:rsidRPr="002B3C6E">
        <w:t xml:space="preserve"> (PMR 1014). Iowa State University Extension and Outreach.</w:t>
      </w:r>
    </w:p>
    <w:p w14:paraId="12EB3E88" w14:textId="77777777" w:rsidR="002B3C6E" w:rsidRPr="002B3C6E" w:rsidRDefault="002B3C6E" w:rsidP="002B3C6E">
      <w:pPr>
        <w:jc w:val="both"/>
      </w:pPr>
      <w:r w:rsidRPr="002B3C6E">
        <w:lastRenderedPageBreak/>
        <w:t xml:space="preserve">Ikeda, S., Kitagawa, M., Imai, H., &amp; Yamada, M. (2005). The roles of vitamin A for cytoplasmic maturation of bovine oocytes. </w:t>
      </w:r>
      <w:r w:rsidRPr="002B3C6E">
        <w:rPr>
          <w:i/>
          <w:iCs/>
        </w:rPr>
        <w:t>Journal of Reproduction and Development</w:t>
      </w:r>
      <w:r w:rsidRPr="002B3C6E">
        <w:t>, 51(1), 23–35.</w:t>
      </w:r>
    </w:p>
    <w:p w14:paraId="65CAAAFD" w14:textId="77777777" w:rsidR="002B3C6E" w:rsidRPr="002B3C6E" w:rsidRDefault="002B3C6E" w:rsidP="002B3C6E">
      <w:pPr>
        <w:jc w:val="both"/>
      </w:pPr>
      <w:r w:rsidRPr="002B3C6E">
        <w:t xml:space="preserve">Ishaq, M. U., Kunwar, D., Qadeer, A., Komel, A., Safi, A., Malik, A., Malik, L., &amp; Akbar, A. (2024). Effect of vitamin A on maternal, fetal, and neonatal outcomes: An overview of deficiency, excessive intake, and intake recommendations. </w:t>
      </w:r>
      <w:r w:rsidRPr="002B3C6E">
        <w:rPr>
          <w:i/>
          <w:iCs/>
        </w:rPr>
        <w:t>Nutrition in Clinical Practice</w:t>
      </w:r>
      <w:r w:rsidRPr="002B3C6E">
        <w:t>, 39(2), 373–384.</w:t>
      </w:r>
    </w:p>
    <w:p w14:paraId="2B0EA5F8" w14:textId="77777777" w:rsidR="002B3C6E" w:rsidRPr="002B3C6E" w:rsidRDefault="002B3C6E" w:rsidP="002B3C6E">
      <w:pPr>
        <w:jc w:val="both"/>
      </w:pPr>
      <w:r w:rsidRPr="002B3C6E">
        <w:t xml:space="preserve">Kang, S., Park, C., &amp; Seo, K. (2017). Ocular abnormalities associated with hypovitaminosis A in Hanwoo calves: A report of two cases. </w:t>
      </w:r>
      <w:r w:rsidRPr="002B3C6E">
        <w:rPr>
          <w:i/>
          <w:iCs/>
        </w:rPr>
        <w:t>Journal of Veterinary Medical Science</w:t>
      </w:r>
      <w:r w:rsidRPr="002B3C6E">
        <w:t>, 79(10), 1753–1756.</w:t>
      </w:r>
    </w:p>
    <w:p w14:paraId="6C01F0CF" w14:textId="77777777" w:rsidR="002B3C6E" w:rsidRPr="002B3C6E" w:rsidRDefault="002B3C6E" w:rsidP="002B3C6E">
      <w:pPr>
        <w:jc w:val="both"/>
      </w:pPr>
      <w:r w:rsidRPr="002B3C6E">
        <w:t xml:space="preserve">Maia, S. B., Rolland Souza, A. S., Costa Caminha, M. d. F., Lins da Silva, S., Callou Cruz, R. de S. B. L., Carvalho dos Santos, C., &amp; Batista Filho, M. (2019). Vitamin A and pregnancy: A narrative review. </w:t>
      </w:r>
      <w:r w:rsidRPr="002B3C6E">
        <w:rPr>
          <w:i/>
          <w:iCs/>
        </w:rPr>
        <w:t>Nutrients</w:t>
      </w:r>
      <w:r w:rsidRPr="002B3C6E">
        <w:t>, 11(3), 681.</w:t>
      </w:r>
    </w:p>
    <w:p w14:paraId="21802D9C" w14:textId="77777777" w:rsidR="002B3C6E" w:rsidRPr="002B3C6E" w:rsidRDefault="002B3C6E" w:rsidP="002B3C6E">
      <w:pPr>
        <w:jc w:val="both"/>
      </w:pPr>
      <w:r w:rsidRPr="002B3C6E">
        <w:t xml:space="preserve">Millen, J. W., &amp; Dickson, A. D. (1957). The effect of vitamin A upon the cerebrospinal-fluid pressures of young rabbits suffering from hydrocephalus due to maternal hypovitaminosis A. </w:t>
      </w:r>
      <w:r w:rsidRPr="002B3C6E">
        <w:rPr>
          <w:i/>
          <w:iCs/>
        </w:rPr>
        <w:t>British Journal of Nutrition</w:t>
      </w:r>
      <w:r w:rsidRPr="002B3C6E">
        <w:t>, 11(4), 440–446.</w:t>
      </w:r>
    </w:p>
    <w:p w14:paraId="4D628F9D" w14:textId="77777777" w:rsidR="002B3C6E" w:rsidRPr="002B3C6E" w:rsidRDefault="002B3C6E" w:rsidP="002B3C6E">
      <w:pPr>
        <w:jc w:val="both"/>
      </w:pPr>
      <w:r w:rsidRPr="002B3C6E">
        <w:t xml:space="preserve">Millemann, Y., Benoit-Valiergue, H., Bonnin, J.-P., Fontaine, J.-J., &amp; Maillard, R. (2007). Ocular and cardiac malformations associated with maternal hypovitaminosis A in cattle. </w:t>
      </w:r>
      <w:r w:rsidRPr="002B3C6E">
        <w:rPr>
          <w:i/>
          <w:iCs/>
        </w:rPr>
        <w:t>Veterinary Record</w:t>
      </w:r>
      <w:r w:rsidRPr="002B3C6E">
        <w:t>, 160(13), 441–443.</w:t>
      </w:r>
    </w:p>
    <w:p w14:paraId="592C60FC" w14:textId="77777777" w:rsidR="002B3C6E" w:rsidRPr="002B3C6E" w:rsidRDefault="002B3C6E" w:rsidP="002B3C6E">
      <w:pPr>
        <w:jc w:val="both"/>
      </w:pPr>
      <w:r w:rsidRPr="002B3C6E">
        <w:t xml:space="preserve">Nozière, P., Graulet, B., Lucas, A., Martin, B., Grolier, P., &amp; Doreau, M. (2006). Carotenoids for ruminants: From forages to dairy products. </w:t>
      </w:r>
      <w:r w:rsidRPr="002B3C6E">
        <w:rPr>
          <w:i/>
          <w:iCs/>
        </w:rPr>
        <w:t>Animal Feed Science and Technology</w:t>
      </w:r>
      <w:r w:rsidRPr="002B3C6E">
        <w:t>, 131, 418–450.</w:t>
      </w:r>
    </w:p>
    <w:p w14:paraId="1691936B" w14:textId="77777777" w:rsidR="002B3C6E" w:rsidRPr="002B3C6E" w:rsidRDefault="002B3C6E" w:rsidP="002B3C6E">
      <w:pPr>
        <w:jc w:val="both"/>
      </w:pPr>
      <w:r w:rsidRPr="002B3C6E">
        <w:t xml:space="preserve">Reijntjes, S., Blentic, A., Gale, E., &amp; Maden, M. (2005). The control of morphogen signalling: Regulation of the synthesis and catabolism of retinoic acid in the developing embryo. </w:t>
      </w:r>
      <w:r w:rsidRPr="002B3C6E">
        <w:rPr>
          <w:i/>
          <w:iCs/>
        </w:rPr>
        <w:t>Developmental Biology</w:t>
      </w:r>
      <w:r w:rsidRPr="002B3C6E">
        <w:t>, 285(1), 224–237.</w:t>
      </w:r>
    </w:p>
    <w:p w14:paraId="69D12A9D" w14:textId="77777777" w:rsidR="002B3C6E" w:rsidRPr="002B3C6E" w:rsidRDefault="002B3C6E" w:rsidP="002B3C6E">
      <w:pPr>
        <w:jc w:val="both"/>
      </w:pPr>
      <w:r w:rsidRPr="002B3C6E">
        <w:t xml:space="preserve">Ross, S. A., McCaffery, P. J., Drager, U. C., &amp; De Luca, L. M. (2000). Retinoids in embryonal development. </w:t>
      </w:r>
      <w:r w:rsidRPr="002B3C6E">
        <w:rPr>
          <w:i/>
          <w:iCs/>
        </w:rPr>
        <w:t>Physiological Reviews</w:t>
      </w:r>
      <w:r w:rsidRPr="002B3C6E">
        <w:t>, 80(4), 1021–1054.</w:t>
      </w:r>
    </w:p>
    <w:p w14:paraId="185CB276" w14:textId="77777777" w:rsidR="002B3C6E" w:rsidRPr="002B3C6E" w:rsidRDefault="002B3C6E" w:rsidP="002B3C6E">
      <w:pPr>
        <w:jc w:val="both"/>
      </w:pPr>
      <w:r w:rsidRPr="002B3C6E">
        <w:t xml:space="preserve">Sosa, E., Morrell, E. L., Llada, I., Odriozola, E. R., &amp; Cantón, G. J. (2023). Congenital hypovitaminosis A in dairy cattle: A case report. </w:t>
      </w:r>
      <w:r w:rsidRPr="002B3C6E">
        <w:rPr>
          <w:i/>
          <w:iCs/>
        </w:rPr>
        <w:t>Veterinary Record Case Reports</w:t>
      </w:r>
      <w:r w:rsidRPr="002B3C6E">
        <w:t>, 12(1), e744.</w:t>
      </w:r>
    </w:p>
    <w:p w14:paraId="37372226" w14:textId="77777777" w:rsidR="002B3C6E" w:rsidRPr="002B3C6E" w:rsidRDefault="002B3C6E" w:rsidP="002B3C6E">
      <w:pPr>
        <w:jc w:val="both"/>
      </w:pPr>
      <w:r w:rsidRPr="002B3C6E">
        <w:t xml:space="preserve">Vander Lugt, J. J., &amp; Prozesky, L. (1989). The pathology of blindness in new-born calves caused by hypovitaminosis A. </w:t>
      </w:r>
      <w:r w:rsidRPr="002B3C6E">
        <w:rPr>
          <w:i/>
          <w:iCs/>
        </w:rPr>
        <w:t>Onderstepoort Journal of Veterinary Research</w:t>
      </w:r>
      <w:r w:rsidRPr="002B3C6E">
        <w:t>, 56(2), 99–109.</w:t>
      </w:r>
    </w:p>
    <w:p w14:paraId="5925D801" w14:textId="77777777" w:rsidR="002B3C6E" w:rsidRPr="002B3C6E" w:rsidRDefault="002B3C6E" w:rsidP="002B3C6E">
      <w:pPr>
        <w:jc w:val="both"/>
      </w:pPr>
      <w:r w:rsidRPr="002B3C6E">
        <w:t xml:space="preserve">White, J. C., Narayanaswamy Shankar, V., Highland, M., Epstein, M. L., DeLuca, H. F., &amp; Clagett-Dame, M. (1998). Defects in embryonic hindbrain development and fetal resorption resulting from vitamin A deficiency in the rat are prevented by feeding pharmacological levels of all-trans-retinoic acid. </w:t>
      </w:r>
      <w:r w:rsidRPr="002B3C6E">
        <w:rPr>
          <w:i/>
          <w:iCs/>
        </w:rPr>
        <w:t>Proceedings of the National Academy of Sciences of the United States of America</w:t>
      </w:r>
      <w:r w:rsidRPr="002B3C6E">
        <w:t>, 95(23), 13459–13464.</w:t>
      </w:r>
    </w:p>
    <w:p w14:paraId="1BDC9427" w14:textId="77777777" w:rsidR="002B3C6E" w:rsidRDefault="002B3C6E" w:rsidP="002B3C6E">
      <w:pPr>
        <w:jc w:val="both"/>
      </w:pPr>
      <w:r w:rsidRPr="002B3C6E">
        <w:t xml:space="preserve">Zile, M. H. (2001). Function of vitamin A in vertebrate embryonic development. </w:t>
      </w:r>
      <w:r w:rsidRPr="002B3C6E">
        <w:rPr>
          <w:i/>
          <w:iCs/>
        </w:rPr>
        <w:t>The Journal of Nutrition</w:t>
      </w:r>
      <w:r w:rsidRPr="002B3C6E">
        <w:t>, 131(3), 705–708.</w:t>
      </w:r>
    </w:p>
    <w:p w14:paraId="444F3999" w14:textId="77777777" w:rsidR="002B3C6E" w:rsidRDefault="002B3C6E" w:rsidP="002B3C6E">
      <w:pPr>
        <w:jc w:val="both"/>
      </w:pPr>
    </w:p>
    <w:p w14:paraId="6A514B09" w14:textId="77777777" w:rsidR="002B3C6E" w:rsidRDefault="002B3C6E" w:rsidP="002B3C6E">
      <w:pPr>
        <w:jc w:val="both"/>
      </w:pPr>
    </w:p>
    <w:p w14:paraId="03D80A78" w14:textId="77777777" w:rsidR="002B3C6E" w:rsidRDefault="002B3C6E" w:rsidP="002B3C6E">
      <w:pPr>
        <w:jc w:val="both"/>
      </w:pPr>
    </w:p>
    <w:p w14:paraId="7D508FC9" w14:textId="77777777" w:rsidR="002B3C6E" w:rsidRPr="002B3C6E" w:rsidRDefault="002B3C6E" w:rsidP="002B3C6E">
      <w:pPr>
        <w:jc w:val="both"/>
      </w:pPr>
    </w:p>
    <w:p w14:paraId="782C6452" w14:textId="77777777" w:rsidR="002B3C6E" w:rsidRPr="002B3C6E" w:rsidRDefault="002B3C6E" w:rsidP="002B3C6E">
      <w:pPr>
        <w:jc w:val="both"/>
      </w:pPr>
      <w:r w:rsidRPr="002B3C6E">
        <w:rPr>
          <w:b/>
          <w:bCs/>
        </w:rPr>
        <w:lastRenderedPageBreak/>
        <w:t>Carpal and Tarsal Swelling in Cattle: Always Arthritis?</w:t>
      </w:r>
    </w:p>
    <w:p w14:paraId="5A119AEB" w14:textId="77777777" w:rsidR="002B3C6E" w:rsidRPr="002B3C6E" w:rsidRDefault="002B3C6E" w:rsidP="002B3C6E">
      <w:pPr>
        <w:jc w:val="both"/>
      </w:pPr>
      <w:r w:rsidRPr="002B3C6E">
        <w:t>Pali Eleni¹, Proios Ioannis²</w:t>
      </w:r>
    </w:p>
    <w:p w14:paraId="70711065" w14:textId="77777777" w:rsidR="002B3C6E" w:rsidRPr="002B3C6E" w:rsidRDefault="002B3C6E">
      <w:pPr>
        <w:numPr>
          <w:ilvl w:val="0"/>
          <w:numId w:val="107"/>
        </w:numPr>
        <w:jc w:val="both"/>
      </w:pPr>
      <w:r w:rsidRPr="002B3C6E">
        <w:t>Undergraduate Student, Department of Veterinary Medicine, School of Health Sciences, Aristotle University of Thessaloniki</w:t>
      </w:r>
    </w:p>
    <w:p w14:paraId="3C8EE987" w14:textId="77777777" w:rsidR="002B3C6E" w:rsidRDefault="002B3C6E">
      <w:pPr>
        <w:numPr>
          <w:ilvl w:val="0"/>
          <w:numId w:val="107"/>
        </w:numPr>
        <w:jc w:val="both"/>
      </w:pPr>
      <w:r w:rsidRPr="002B3C6E">
        <w:t>Assistant Professor, Production Animal Surgery, Department of Veterinary Medicine, School of Health Sciences, Aristotle University of Thessaloniki</w:t>
      </w:r>
    </w:p>
    <w:p w14:paraId="6E10532E" w14:textId="77777777" w:rsidR="002B3C6E" w:rsidRPr="002B3C6E" w:rsidRDefault="002B3C6E" w:rsidP="002B3C6E">
      <w:pPr>
        <w:ind w:left="720"/>
        <w:jc w:val="both"/>
      </w:pPr>
    </w:p>
    <w:p w14:paraId="51A1BD2E" w14:textId="77777777" w:rsidR="002B3C6E" w:rsidRPr="002B3C6E" w:rsidRDefault="002B3C6E" w:rsidP="002B3C6E">
      <w:pPr>
        <w:jc w:val="both"/>
      </w:pPr>
      <w:r w:rsidRPr="002B3C6E">
        <w:rPr>
          <w:b/>
          <w:bCs/>
        </w:rPr>
        <w:t>Abstract</w:t>
      </w:r>
    </w:p>
    <w:p w14:paraId="44E35F15" w14:textId="77777777" w:rsidR="002B3C6E" w:rsidRPr="002B3C6E" w:rsidRDefault="002B3C6E" w:rsidP="002B3C6E">
      <w:pPr>
        <w:jc w:val="both"/>
      </w:pPr>
      <w:r w:rsidRPr="002B3C6E">
        <w:t>Skin lesions in the carpal and tarsal regions are frequently observed in cattle. Repeated mechanical load on these anatomical areas can lead to excessive swelling due to pressure and friction. Such a clinical finding should not automatically be interpreted as arthritis. Instead, other conditions, such as hygroma, must also be considered. The formation of hygroma is associated with chronic inflammation of the corresponding (acquired) synovial bursa and the accumulation of serous or purulent content, leading to a characteristic swelling, primarily located at the anterior aspect of the carpus or the lateral aspect of the tarsus.</w:t>
      </w:r>
    </w:p>
    <w:p w14:paraId="61C38C82" w14:textId="77777777" w:rsidR="002B3C6E" w:rsidRPr="002B3C6E" w:rsidRDefault="002B3C6E" w:rsidP="002B3C6E">
      <w:pPr>
        <w:jc w:val="both"/>
      </w:pPr>
      <w:r w:rsidRPr="002B3C6E">
        <w:t>The diagnosis of hygroma is primarily based on clinical evaluation (inspection, palpation, and assessment of lameness). Due to its localization in a specific anatomical site, its non-painful nature on palpation, and the absence of lameness, it can be differentiated from other conditions.</w:t>
      </w:r>
    </w:p>
    <w:p w14:paraId="25F235F0" w14:textId="77777777" w:rsidR="002B3C6E" w:rsidRPr="002B3C6E" w:rsidRDefault="002B3C6E" w:rsidP="002B3C6E">
      <w:pPr>
        <w:jc w:val="both"/>
      </w:pPr>
      <w:r w:rsidRPr="002B3C6E">
        <w:t>Treatment is surgical and is recommended in individual cases depending on the severity of the findings and after potential complications have been explained to the farmer. The therapeutic approach involves either incision of the hygroma with drainage of its contents or surgical removal of the distended synovial bursa. Complete (in toto) removal is followed by closure of the skin. Alternatively, the overlying affected skin may be excised, allowing healing by secondary intention.</w:t>
      </w:r>
    </w:p>
    <w:p w14:paraId="580C0271" w14:textId="77777777" w:rsidR="002B3C6E" w:rsidRDefault="002B3C6E" w:rsidP="002B3C6E">
      <w:pPr>
        <w:jc w:val="both"/>
      </w:pPr>
      <w:r w:rsidRPr="002B3C6E">
        <w:t>However, prevention is crucial and is achieved by maintaining appropriate housing conditions and monitoring the animals through regular assessment (scoring) of lesions in the carpal and tarsal regions.</w:t>
      </w:r>
    </w:p>
    <w:p w14:paraId="482F1ACA" w14:textId="77777777" w:rsidR="002B3C6E" w:rsidRPr="002B3C6E" w:rsidRDefault="002B3C6E" w:rsidP="002B3C6E">
      <w:pPr>
        <w:jc w:val="both"/>
      </w:pPr>
    </w:p>
    <w:p w14:paraId="5FC6831D" w14:textId="77777777" w:rsidR="002B3C6E" w:rsidRPr="002B3C6E" w:rsidRDefault="002B3C6E" w:rsidP="002B3C6E">
      <w:pPr>
        <w:jc w:val="both"/>
      </w:pPr>
      <w:r w:rsidRPr="002B3C6E">
        <w:rPr>
          <w:b/>
          <w:bCs/>
        </w:rPr>
        <w:t>Bibliography</w:t>
      </w:r>
    </w:p>
    <w:p w14:paraId="5DA0D61C" w14:textId="77777777" w:rsidR="002B3C6E" w:rsidRPr="002B3C6E" w:rsidRDefault="002B3C6E" w:rsidP="002B3C6E">
      <w:pPr>
        <w:jc w:val="both"/>
      </w:pPr>
      <w:r w:rsidRPr="002B3C6E">
        <w:t xml:space="preserve">Budras, K.-D., &amp; Wünsche, A. (2002). </w:t>
      </w:r>
      <w:r w:rsidRPr="002B3C6E">
        <w:rPr>
          <w:i/>
          <w:iCs/>
        </w:rPr>
        <w:t>Atlas der Anatomie des Rindes.</w:t>
      </w:r>
      <w:r w:rsidRPr="002B3C6E">
        <w:t xml:space="preserve"> Schlütersche.</w:t>
      </w:r>
    </w:p>
    <w:p w14:paraId="7E42E38F" w14:textId="77777777" w:rsidR="002B3C6E" w:rsidRPr="002B3C6E" w:rsidRDefault="002B3C6E" w:rsidP="002B3C6E">
      <w:pPr>
        <w:jc w:val="both"/>
      </w:pPr>
      <w:r w:rsidRPr="002B3C6E">
        <w:t xml:space="preserve">Dirksen, G. (2006). </w:t>
      </w:r>
      <w:r w:rsidRPr="002B3C6E">
        <w:rPr>
          <w:i/>
          <w:iCs/>
        </w:rPr>
        <w:t>Krankheiten der Bewegungsorgane.</w:t>
      </w:r>
      <w:r w:rsidRPr="002B3C6E">
        <w:t xml:space="preserve"> In G. Dirksen, H.-D. Gründer, &amp; M. Stöber (Eds.), Innere Medizin und Chirurgie des Rindes (pp. 753–1025). Parey.</w:t>
      </w:r>
    </w:p>
    <w:p w14:paraId="6720DAA9" w14:textId="77777777" w:rsidR="002B3C6E" w:rsidRPr="002B3C6E" w:rsidRDefault="002B3C6E" w:rsidP="002B3C6E">
      <w:pPr>
        <w:jc w:val="both"/>
      </w:pPr>
      <w:r w:rsidRPr="002B3C6E">
        <w:t xml:space="preserve">Greenough, P. R. (2007). </w:t>
      </w:r>
      <w:r w:rsidRPr="002B3C6E">
        <w:rPr>
          <w:i/>
          <w:iCs/>
        </w:rPr>
        <w:t>Disorders affecting the upper limb.</w:t>
      </w:r>
      <w:r w:rsidRPr="002B3C6E">
        <w:t xml:space="preserve"> In C. Bergsten, A. Brizzi, &amp; C. Mülling (Eds.), Bovine laminitis and lameness: A hands-on approach (pp. 278–294). Saunders Elsevier.</w:t>
      </w:r>
    </w:p>
    <w:p w14:paraId="72716D05" w14:textId="77777777" w:rsidR="002B3C6E" w:rsidRPr="002B3C6E" w:rsidRDefault="002B3C6E" w:rsidP="002B3C6E">
      <w:pPr>
        <w:jc w:val="both"/>
      </w:pPr>
      <w:r w:rsidRPr="002B3C6E">
        <w:t xml:space="preserve"> Kester, E., Holzhauer, M., &amp; Frankena, K. (2014). </w:t>
      </w:r>
      <w:r w:rsidRPr="002B3C6E">
        <w:rPr>
          <w:i/>
          <w:iCs/>
        </w:rPr>
        <w:t>A descriptive review of the prevalence and risk factors of hock lesions in dairy cows.</w:t>
      </w:r>
      <w:r w:rsidRPr="002B3C6E">
        <w:t xml:space="preserve"> The Veterinary Journal, 202(2), 222–228.</w:t>
      </w:r>
    </w:p>
    <w:p w14:paraId="04703AAD" w14:textId="77777777" w:rsidR="002B3C6E" w:rsidRPr="002B3C6E" w:rsidRDefault="002B3C6E" w:rsidP="002B3C6E">
      <w:pPr>
        <w:jc w:val="both"/>
      </w:pPr>
      <w:r w:rsidRPr="002B3C6E">
        <w:t xml:space="preserve">Nuss, K., &amp; Weidmann, E. (2013). </w:t>
      </w:r>
      <w:r w:rsidRPr="002B3C6E">
        <w:rPr>
          <w:i/>
          <w:iCs/>
        </w:rPr>
        <w:t>Sprunggelenkschäden bei Milchkühen–eine Übersicht.</w:t>
      </w:r>
      <w:r w:rsidRPr="002B3C6E">
        <w:t xml:space="preserve"> Tierärztliche Praxis Ausgabe G: Großtiere/Nutztiere, 41(04), 234–244.</w:t>
      </w:r>
    </w:p>
    <w:p w14:paraId="6087BB03" w14:textId="77777777" w:rsidR="002B3C6E" w:rsidRPr="002B3C6E" w:rsidRDefault="002B3C6E" w:rsidP="002B3C6E">
      <w:pPr>
        <w:jc w:val="both"/>
      </w:pPr>
      <w:r w:rsidRPr="002B3C6E">
        <w:lastRenderedPageBreak/>
        <w:t xml:space="preserve">Patil, A. S., Prarthana, R., Anilkumar, G. K., &amp; Bhageerathi, P. K. (2021). </w:t>
      </w:r>
      <w:r w:rsidRPr="002B3C6E">
        <w:rPr>
          <w:i/>
          <w:iCs/>
        </w:rPr>
        <w:t>Surgical management of carpal hygroma in cattle: A retrospective study of 85 cases (2014–2020).</w:t>
      </w:r>
      <w:r w:rsidRPr="002B3C6E">
        <w:t xml:space="preserve"> Journal of Experimental Zoology India, 24(2).</w:t>
      </w:r>
    </w:p>
    <w:p w14:paraId="7C1C43DA" w14:textId="15C5E93A" w:rsidR="002B3C6E" w:rsidRDefault="005379B4" w:rsidP="005379B4">
      <w:pPr>
        <w:jc w:val="both"/>
      </w:pPr>
      <w:r w:rsidRPr="005379B4">
        <w:br/>
      </w:r>
      <w:r w:rsidRPr="005379B4">
        <w:br/>
      </w:r>
      <w:r w:rsidRPr="005379B4">
        <w:br/>
      </w:r>
      <w:r w:rsidRPr="005379B4">
        <w:br/>
      </w:r>
      <w:r w:rsidR="00E84E15" w:rsidRPr="00E84E15">
        <w:br/>
      </w:r>
    </w:p>
    <w:p w14:paraId="64910EDD" w14:textId="77777777" w:rsidR="002B3C6E" w:rsidRDefault="002B3C6E">
      <w:r>
        <w:br w:type="page"/>
      </w:r>
    </w:p>
    <w:p w14:paraId="7B76B450" w14:textId="77777777" w:rsidR="002B3C6E" w:rsidRDefault="002B3C6E" w:rsidP="002B3C6E">
      <w:pPr>
        <w:jc w:val="both"/>
      </w:pPr>
      <w:r w:rsidRPr="002B3C6E">
        <w:rPr>
          <w:b/>
          <w:bCs/>
        </w:rPr>
        <w:lastRenderedPageBreak/>
        <w:t>Stocking Density and resource availability in commercial small ruminant farms in Greece</w:t>
      </w:r>
      <w:r w:rsidRPr="002B3C6E">
        <w:t xml:space="preserve"> </w:t>
      </w:r>
    </w:p>
    <w:p w14:paraId="0DEE3491" w14:textId="56119464" w:rsidR="002B3C6E" w:rsidRPr="002B3C6E" w:rsidRDefault="002B3C6E" w:rsidP="002B3C6E">
      <w:pPr>
        <w:jc w:val="both"/>
      </w:pPr>
      <w:r w:rsidRPr="002B3C6E">
        <w:t>Bonova Elpida Zoi¹, Arsenos Georgios²</w:t>
      </w:r>
    </w:p>
    <w:p w14:paraId="0663500F" w14:textId="77777777" w:rsidR="002B3C6E" w:rsidRPr="002B3C6E" w:rsidRDefault="002B3C6E">
      <w:pPr>
        <w:numPr>
          <w:ilvl w:val="0"/>
          <w:numId w:val="108"/>
        </w:numPr>
        <w:jc w:val="both"/>
      </w:pPr>
      <w:r w:rsidRPr="002B3C6E">
        <w:t>Undergraduate Student, Department of Veterinary Medicine, School of Health Sciences, Aristotle University of Thessaloniki</w:t>
      </w:r>
    </w:p>
    <w:p w14:paraId="2B02F776" w14:textId="77777777" w:rsidR="002B3C6E" w:rsidRPr="002B3C6E" w:rsidRDefault="002B3C6E">
      <w:pPr>
        <w:numPr>
          <w:ilvl w:val="0"/>
          <w:numId w:val="108"/>
        </w:numPr>
        <w:jc w:val="both"/>
      </w:pPr>
      <w:r w:rsidRPr="002B3C6E">
        <w:t>Professor, Laboratory of Animal Production &amp; Environmental Protection, Department of Veterinary Medicine, School of Health Sciences, Aristotle University of Thessaloniki</w:t>
      </w:r>
    </w:p>
    <w:p w14:paraId="2BDC438F" w14:textId="77777777" w:rsidR="002B3C6E" w:rsidRPr="002B3C6E" w:rsidRDefault="002B3C6E" w:rsidP="002B3C6E">
      <w:pPr>
        <w:jc w:val="both"/>
      </w:pPr>
      <w:r w:rsidRPr="002B3C6E">
        <w:rPr>
          <w:b/>
          <w:bCs/>
        </w:rPr>
        <w:t> </w:t>
      </w:r>
    </w:p>
    <w:p w14:paraId="3C1888AF" w14:textId="77777777" w:rsidR="002B3C6E" w:rsidRPr="002B3C6E" w:rsidRDefault="002B3C6E" w:rsidP="002B3C6E">
      <w:pPr>
        <w:jc w:val="both"/>
      </w:pPr>
      <w:r w:rsidRPr="002B3C6E">
        <w:rPr>
          <w:b/>
          <w:bCs/>
        </w:rPr>
        <w:t>Abstract</w:t>
      </w:r>
    </w:p>
    <w:p w14:paraId="14408335" w14:textId="77777777" w:rsidR="002B3C6E" w:rsidRPr="002B3C6E" w:rsidRDefault="002B3C6E" w:rsidP="002B3C6E">
      <w:pPr>
        <w:jc w:val="both"/>
      </w:pPr>
      <w:r w:rsidRPr="002B3C6E">
        <w:t>Stocking density is a critical factor for animal welfare in livestock production systems. Limited space allowance restricts expression of natural behaviour and increases antagonism between animals leading to stress and likely injuries. The aim of this study was to assess availability of floor area, feeding and watering space of individual animals, in semi-intensive and intensive goat and sheep farms in the region of Eastern Macedonia and Thrace, Greece. Data were collected from 18 farms that had a total of 91 separate animal barns. For each barn, the animal category and number of animals were recorded, pen dimensions were measured, and the area occupied by feeders and water troughs was subtracted to calculate effective floor area per animal. Average floor space per animal was 2.4 ± 1.30 m² for males (M), 1.8 ± 0.86 m² for adult females (F), and 1.5 ± 1.00 m² for primigravid animals (P). Based on available literature and current guidelines (EFSA 2014; ≥2.0–2.5 m² per adult animal), 66.6%, 68.7%, and 38.0% of barns, respectively, did not meet the recommended thresholds; mean space deficits of 0.59, 0.63, and 0.23 m² per animal were revealed for M, F, and P, respectively. In water troughs, average space per animal was 12.2 ± 6.35 cm, 3.8 ± 4.05 cm, and 5.0 ± 3.80 cm for M, F, and P, respectively. The latter is substantially lower than the recommended allowance; ≥30–45 cm per animal. In addition, the available feeder space for simultaneous access to concentrates and roughages was insufficient in 68.1% and 39.5% of barns, respectively. Overall, the findings revealed significant deficiencies in housing conditions, highlighting the need of improvements to enhance animal welfare.</w:t>
      </w:r>
    </w:p>
    <w:p w14:paraId="09F655BC" w14:textId="77777777" w:rsidR="002B3C6E" w:rsidRPr="002B3C6E" w:rsidRDefault="002B3C6E" w:rsidP="002B3C6E">
      <w:pPr>
        <w:jc w:val="both"/>
      </w:pPr>
      <w:r w:rsidRPr="002B3C6E">
        <w:rPr>
          <w:b/>
          <w:bCs/>
        </w:rPr>
        <w:t> </w:t>
      </w:r>
    </w:p>
    <w:p w14:paraId="4A43B9BB" w14:textId="77777777" w:rsidR="002B3C6E" w:rsidRPr="002B3C6E" w:rsidRDefault="002B3C6E" w:rsidP="002B3C6E">
      <w:pPr>
        <w:jc w:val="both"/>
      </w:pPr>
      <w:r w:rsidRPr="002B3C6E">
        <w:rPr>
          <w:b/>
          <w:bCs/>
        </w:rPr>
        <w:t>Bibliography</w:t>
      </w:r>
    </w:p>
    <w:p w14:paraId="233909C3" w14:textId="77777777" w:rsidR="002B3C6E" w:rsidRPr="002B3C6E" w:rsidRDefault="002B3C6E" w:rsidP="002B3C6E">
      <w:pPr>
        <w:jc w:val="both"/>
      </w:pPr>
      <w:r w:rsidRPr="002B3C6E">
        <w:t>Dwyer, C., Ruiz, R., Beltran de Heredia, I., Canali, E., Barbieri, S., &amp; Zanella, A. (2015). AWIN welfare assessment protocol for sheep.</w:t>
      </w:r>
    </w:p>
    <w:p w14:paraId="5E38349C" w14:textId="77777777" w:rsidR="002B3C6E" w:rsidRPr="002B3C6E" w:rsidRDefault="002B3C6E" w:rsidP="002B3C6E">
      <w:pPr>
        <w:jc w:val="both"/>
      </w:pPr>
      <w:r w:rsidRPr="002B3C6E">
        <w:t>EFSA Panel on Animal Health and Welfare (AHAW). (2014). Scientific opinion on the welfare risks related to the farming of sheep for wool, meat and milk production. EFSA Journal, 12(12), 3933.</w:t>
      </w:r>
    </w:p>
    <w:p w14:paraId="2D473C69" w14:textId="77777777" w:rsidR="002B3C6E" w:rsidRPr="002B3C6E" w:rsidRDefault="002B3C6E" w:rsidP="002B3C6E">
      <w:pPr>
        <w:jc w:val="both"/>
      </w:pPr>
      <w:r w:rsidRPr="002B3C6E">
        <w:t xml:space="preserve">El Sabry, M. I., Motsei, L. E., Abdel-Mageed, I. I., &amp; Almasri, O. (2023). Space allowance impacts behavior, productivity, reproductivity and immunity of sheep—a review. </w:t>
      </w:r>
      <w:r w:rsidRPr="002B3C6E">
        <w:rPr>
          <w:i/>
          <w:iCs/>
        </w:rPr>
        <w:t>Tropical Animal Health and Production</w:t>
      </w:r>
      <w:r w:rsidRPr="002B3C6E">
        <w:t xml:space="preserve">, </w:t>
      </w:r>
      <w:r w:rsidRPr="002B3C6E">
        <w:rPr>
          <w:i/>
          <w:iCs/>
        </w:rPr>
        <w:t>55</w:t>
      </w:r>
      <w:r w:rsidRPr="002B3C6E">
        <w:t>(3), 207.</w:t>
      </w:r>
    </w:p>
    <w:p w14:paraId="20E545AA" w14:textId="77777777" w:rsidR="002B3C6E" w:rsidRPr="002B3C6E" w:rsidRDefault="002B3C6E" w:rsidP="002B3C6E">
      <w:pPr>
        <w:jc w:val="both"/>
      </w:pPr>
      <w:r w:rsidRPr="002B3C6E">
        <w:t xml:space="preserve">Mayes, B. T., Tait, L. A., Cowley, F. C., Morton, J. M., Doyle, B. P., Arslan, M. A., &amp; Taylor, P. S. (2022). Stocking density, restricted trough space, and implications for sheep behaviour and biological functioning. </w:t>
      </w:r>
      <w:r w:rsidRPr="002B3C6E">
        <w:rPr>
          <w:i/>
          <w:iCs/>
        </w:rPr>
        <w:t>Frontiers in veterinary science</w:t>
      </w:r>
      <w:r w:rsidRPr="002B3C6E">
        <w:t xml:space="preserve">, </w:t>
      </w:r>
      <w:r w:rsidRPr="002B3C6E">
        <w:rPr>
          <w:i/>
          <w:iCs/>
        </w:rPr>
        <w:t>9</w:t>
      </w:r>
      <w:r w:rsidRPr="002B3C6E">
        <w:t>, 965635.</w:t>
      </w:r>
    </w:p>
    <w:p w14:paraId="16AE431B" w14:textId="77777777" w:rsidR="002B3C6E" w:rsidRPr="002B3C6E" w:rsidRDefault="002B3C6E" w:rsidP="002B3C6E">
      <w:pPr>
        <w:jc w:val="both"/>
      </w:pPr>
      <w:r w:rsidRPr="002B3C6E">
        <w:t xml:space="preserve">Sevi, A., Massa, S., ANNICCHIARICO, G., DELL'AQUILA, S. A. L. V. A. T. O. R. E., &amp; Muscio, A. (1999). Effect of stocking density on ewes' milk yield, udder health and microenvironment. </w:t>
      </w:r>
      <w:r w:rsidRPr="002B3C6E">
        <w:rPr>
          <w:i/>
          <w:iCs/>
        </w:rPr>
        <w:t>Journal of Dairy Research</w:t>
      </w:r>
      <w:r w:rsidRPr="002B3C6E">
        <w:t xml:space="preserve">, </w:t>
      </w:r>
      <w:r w:rsidRPr="002B3C6E">
        <w:rPr>
          <w:i/>
          <w:iCs/>
        </w:rPr>
        <w:t>66</w:t>
      </w:r>
      <w:r w:rsidRPr="002B3C6E">
        <w:t>(4), 489-499.</w:t>
      </w:r>
    </w:p>
    <w:p w14:paraId="36512D10" w14:textId="77777777" w:rsidR="002B3C6E" w:rsidRPr="002B3C6E" w:rsidRDefault="002B3C6E" w:rsidP="002B3C6E">
      <w:pPr>
        <w:jc w:val="both"/>
      </w:pPr>
      <w:r w:rsidRPr="002B3C6E">
        <w:rPr>
          <w:b/>
          <w:bCs/>
        </w:rPr>
        <w:lastRenderedPageBreak/>
        <w:t>Clinical Approach of Nervous System Diseases in Adult Sheep</w:t>
      </w:r>
    </w:p>
    <w:p w14:paraId="633A98E0" w14:textId="77777777" w:rsidR="002B3C6E" w:rsidRPr="002B3C6E" w:rsidRDefault="002B3C6E" w:rsidP="002B3C6E">
      <w:pPr>
        <w:jc w:val="both"/>
      </w:pPr>
      <w:r w:rsidRPr="002B3C6E">
        <w:t>Nikolaidou Sophia</w:t>
      </w:r>
      <w:r w:rsidRPr="002B3C6E">
        <w:rPr>
          <w:vertAlign w:val="superscript"/>
        </w:rPr>
        <w:t>1</w:t>
      </w:r>
      <w:r w:rsidRPr="002B3C6E">
        <w:t>, Hadjiantoni Eleni</w:t>
      </w:r>
      <w:r w:rsidRPr="002B3C6E">
        <w:rPr>
          <w:vertAlign w:val="superscript"/>
        </w:rPr>
        <w:t>1</w:t>
      </w:r>
      <w:r w:rsidRPr="002B3C6E">
        <w:t>, Katsoulos Panagiotis Dimitrios</w:t>
      </w:r>
      <w:r w:rsidRPr="002B3C6E">
        <w:rPr>
          <w:vertAlign w:val="superscript"/>
        </w:rPr>
        <w:t>2</w:t>
      </w:r>
    </w:p>
    <w:p w14:paraId="5A07AFF3" w14:textId="77777777" w:rsidR="002B3C6E" w:rsidRPr="002B3C6E" w:rsidRDefault="002B3C6E">
      <w:pPr>
        <w:numPr>
          <w:ilvl w:val="0"/>
          <w:numId w:val="109"/>
        </w:numPr>
        <w:jc w:val="both"/>
      </w:pPr>
      <w:r w:rsidRPr="002B3C6E">
        <w:t>Undergraduate student, Department of Veterinary Medicine, School of Health Sciences, Aristotle University of Thessaloniki </w:t>
      </w:r>
    </w:p>
    <w:p w14:paraId="73F5F0AA" w14:textId="77777777" w:rsidR="002B3C6E" w:rsidRPr="002B3C6E" w:rsidRDefault="002B3C6E">
      <w:pPr>
        <w:numPr>
          <w:ilvl w:val="0"/>
          <w:numId w:val="109"/>
        </w:numPr>
        <w:jc w:val="both"/>
      </w:pPr>
      <w:r w:rsidRPr="002B3C6E">
        <w:t>Associate Professor, Clinic of Farm Animals, Department of Veterinary Medicine, School of Health Sciences, Aristotle University of Thessaloniki </w:t>
      </w:r>
    </w:p>
    <w:p w14:paraId="3D1E9F78" w14:textId="77777777" w:rsidR="002B3C6E" w:rsidRPr="002B3C6E" w:rsidRDefault="002B3C6E" w:rsidP="002B3C6E">
      <w:pPr>
        <w:jc w:val="both"/>
      </w:pPr>
    </w:p>
    <w:p w14:paraId="5AD8A638" w14:textId="77777777" w:rsidR="002B3C6E" w:rsidRPr="002B3C6E" w:rsidRDefault="002B3C6E" w:rsidP="002B3C6E">
      <w:pPr>
        <w:jc w:val="both"/>
      </w:pPr>
      <w:r w:rsidRPr="002B3C6E">
        <w:rPr>
          <w:b/>
          <w:bCs/>
        </w:rPr>
        <w:t>Abstract</w:t>
      </w:r>
    </w:p>
    <w:p w14:paraId="446D9433" w14:textId="77777777" w:rsidR="002B3C6E" w:rsidRPr="002B3C6E" w:rsidRDefault="002B3C6E" w:rsidP="002B3C6E">
      <w:pPr>
        <w:jc w:val="both"/>
      </w:pPr>
      <w:r w:rsidRPr="002B3C6E">
        <w:t>Diseases of the nervous system exhibit a low prevalence in adult sheep populations. Nevertheless, their clinical diagnosis remains a highly demanding field, requiring the application of a structured clinical approach. The aim of this study is to present a comprehensive clinical algorithm for the systematic approach, differential diagnosis and, where possible, the definitive diagnosis of these conditions. Particular emphasis is placed on the methodology of obtaining an extensive history and performing a thorough neurological examination, both of which are essential for narrowing the differential diagnosis. Furthermore, the available diagnostic tools and therapeutic options used in clinical practice are analysed. The presentation concludes with an interactive case study analysis, providing the audience with the opportunity to apply the proposed diagnostic methodology in a real-world context.</w:t>
      </w:r>
    </w:p>
    <w:p w14:paraId="3ADB4AE9" w14:textId="77777777" w:rsidR="002B3C6E" w:rsidRPr="002B3C6E" w:rsidRDefault="002B3C6E" w:rsidP="002B3C6E">
      <w:pPr>
        <w:jc w:val="both"/>
      </w:pPr>
      <w:r w:rsidRPr="002B3C6E">
        <w:rPr>
          <w:u w:val="single"/>
        </w:rPr>
        <w:t>Keywords:</w:t>
      </w:r>
      <w:r w:rsidRPr="002B3C6E">
        <w:t xml:space="preserve"> Adult sheep, Neurological examination, Clinical algorithm, Differential diagnosis, Case study, Systematic approach.</w:t>
      </w:r>
    </w:p>
    <w:p w14:paraId="09D59315" w14:textId="77777777" w:rsidR="002B3C6E" w:rsidRPr="002B3C6E" w:rsidRDefault="002B3C6E" w:rsidP="002B3C6E">
      <w:pPr>
        <w:jc w:val="both"/>
      </w:pPr>
    </w:p>
    <w:p w14:paraId="61783636" w14:textId="77777777" w:rsidR="002B3C6E" w:rsidRPr="002B3C6E" w:rsidRDefault="002B3C6E" w:rsidP="002B3C6E">
      <w:pPr>
        <w:jc w:val="both"/>
      </w:pPr>
      <w:r w:rsidRPr="002B3C6E">
        <w:rPr>
          <w:b/>
          <w:bCs/>
        </w:rPr>
        <w:t>Bibliography</w:t>
      </w:r>
    </w:p>
    <w:p w14:paraId="23693782" w14:textId="13F06829" w:rsidR="002B3C6E" w:rsidRPr="002B3C6E" w:rsidRDefault="002B3C6E" w:rsidP="002B3C6E">
      <w:pPr>
        <w:jc w:val="both"/>
      </w:pPr>
      <w:r w:rsidRPr="002B3C6E">
        <w:t xml:space="preserve">Abbott, K. A. (2024). </w:t>
      </w:r>
      <w:r w:rsidRPr="002B3C6E">
        <w:rPr>
          <w:i/>
          <w:iCs/>
        </w:rPr>
        <w:t>Diseases with signs of neurological disturbance. In Sheep veterinary practice.</w:t>
      </w:r>
      <w:r w:rsidRPr="002B3C6E">
        <w:t xml:space="preserve"> CRC Press.</w:t>
      </w:r>
    </w:p>
    <w:p w14:paraId="433C7509" w14:textId="08D8B38E" w:rsidR="002B3C6E" w:rsidRPr="002B3C6E" w:rsidRDefault="002B3C6E" w:rsidP="002B3C6E">
      <w:pPr>
        <w:jc w:val="both"/>
      </w:pPr>
      <w:r w:rsidRPr="002B3C6E">
        <w:t xml:space="preserve">Baltrusch, S. (2021). </w:t>
      </w:r>
      <w:r w:rsidRPr="002B3C6E">
        <w:rPr>
          <w:i/>
          <w:iCs/>
        </w:rPr>
        <w:t>The role of neurotropic B vitamins in nerve regeneration.</w:t>
      </w:r>
      <w:r w:rsidRPr="002B3C6E">
        <w:t xml:space="preserve"> </w:t>
      </w:r>
      <w:r w:rsidRPr="002B3C6E">
        <w:rPr>
          <w:i/>
          <w:iCs/>
        </w:rPr>
        <w:t>BioMed Research International, 2021</w:t>
      </w:r>
      <w:r w:rsidRPr="002B3C6E">
        <w:t>, 9968228.</w:t>
      </w:r>
    </w:p>
    <w:p w14:paraId="3FFB267F" w14:textId="7C6D0D13" w:rsidR="002B3C6E" w:rsidRPr="002B3C6E" w:rsidRDefault="002B3C6E" w:rsidP="002B3C6E">
      <w:pPr>
        <w:jc w:val="both"/>
      </w:pPr>
      <w:r w:rsidRPr="002B3C6E">
        <w:t xml:space="preserve">Boileau, M. J., &amp; Gilliam, J. N. (2017). </w:t>
      </w:r>
      <w:r w:rsidRPr="002B3C6E">
        <w:rPr>
          <w:i/>
          <w:iCs/>
        </w:rPr>
        <w:t>Brainstem and cranial nerve disorders of ruminants.</w:t>
      </w:r>
      <w:r w:rsidRPr="002B3C6E">
        <w:t xml:space="preserve"> </w:t>
      </w:r>
      <w:r w:rsidRPr="002B3C6E">
        <w:rPr>
          <w:i/>
          <w:iCs/>
        </w:rPr>
        <w:t>Veterinary Clinics of North America: Food Animal Practice, 33</w:t>
      </w:r>
      <w:r w:rsidRPr="002B3C6E">
        <w:t>(1), 67–99. </w:t>
      </w:r>
    </w:p>
    <w:p w14:paraId="2F3E6B8F" w14:textId="7E9B7E78" w:rsidR="002B3C6E" w:rsidRPr="002B3C6E" w:rsidRDefault="002B3C6E" w:rsidP="002B3C6E">
      <w:pPr>
        <w:jc w:val="both"/>
      </w:pPr>
      <w:r w:rsidRPr="002B3C6E">
        <w:t xml:space="preserve">Giles, L., Orr, J., Viora, L., Gutierrez-Quintana, R., Logue, D., &amp; Guevar, J. (2017). </w:t>
      </w:r>
      <w:r w:rsidRPr="002B3C6E">
        <w:rPr>
          <w:i/>
          <w:iCs/>
        </w:rPr>
        <w:t>Ruminant neurological disease: A retrospective cohort study.</w:t>
      </w:r>
      <w:r w:rsidRPr="002B3C6E">
        <w:t xml:space="preserve"> </w:t>
      </w:r>
      <w:r w:rsidRPr="002B3C6E">
        <w:rPr>
          <w:i/>
          <w:iCs/>
        </w:rPr>
        <w:t>Veterinary Record, 181</w:t>
      </w:r>
      <w:r w:rsidRPr="002B3C6E">
        <w:t>(14), 372–373.</w:t>
      </w:r>
    </w:p>
    <w:p w14:paraId="0A729B60" w14:textId="2E4FC971" w:rsidR="002B3C6E" w:rsidRPr="002B3C6E" w:rsidRDefault="002B3C6E" w:rsidP="002B3C6E">
      <w:pPr>
        <w:jc w:val="both"/>
      </w:pPr>
      <w:r w:rsidRPr="002B3C6E">
        <w:t xml:space="preserve">Jeffrey, M., &amp; González, L. (2007). </w:t>
      </w:r>
      <w:r w:rsidRPr="002B3C6E">
        <w:rPr>
          <w:i/>
          <w:iCs/>
        </w:rPr>
        <w:t>Scrapie.</w:t>
      </w:r>
      <w:r w:rsidRPr="002B3C6E">
        <w:t xml:space="preserve"> In I. D. Aitken (Ed.), </w:t>
      </w:r>
      <w:r w:rsidRPr="002B3C6E">
        <w:rPr>
          <w:i/>
          <w:iCs/>
        </w:rPr>
        <w:t>Diseases of sheep</w:t>
      </w:r>
      <w:r w:rsidRPr="002B3C6E">
        <w:t xml:space="preserve"> (4th ed., pp. 241–249). Wiley-Blackwell. </w:t>
      </w:r>
    </w:p>
    <w:p w14:paraId="6F3B3862" w14:textId="45EFB3AA" w:rsidR="002B3C6E" w:rsidRPr="002B3C6E" w:rsidRDefault="002B3C6E" w:rsidP="002B3C6E">
      <w:pPr>
        <w:jc w:val="both"/>
      </w:pPr>
      <w:r w:rsidRPr="002B3C6E">
        <w:rPr>
          <w:i/>
          <w:iCs/>
        </w:rPr>
        <w:t>Listeriosis</w:t>
      </w:r>
      <w:r w:rsidRPr="002B3C6E">
        <w:t xml:space="preserve">. (n.d.). </w:t>
      </w:r>
      <w:r w:rsidRPr="002B3C6E">
        <w:rPr>
          <w:i/>
          <w:iCs/>
        </w:rPr>
        <w:t>Flock &amp; Herd</w:t>
      </w:r>
      <w:r w:rsidRPr="002B3C6E">
        <w:t>.</w:t>
      </w:r>
      <w:hyperlink r:id="rId137" w:history="1">
        <w:r w:rsidRPr="002B3C6E">
          <w:rPr>
            <w:rStyle w:val="-"/>
          </w:rPr>
          <w:t> </w:t>
        </w:r>
      </w:hyperlink>
    </w:p>
    <w:p w14:paraId="4DEEE8A2" w14:textId="77777777" w:rsidR="002B3C6E" w:rsidRPr="002B3C6E" w:rsidRDefault="002B3C6E" w:rsidP="002B3C6E">
      <w:pPr>
        <w:jc w:val="both"/>
      </w:pPr>
      <w:r w:rsidRPr="002B3C6E">
        <w:rPr>
          <w:i/>
          <w:iCs/>
        </w:rPr>
        <w:t>Listeriosis</w:t>
      </w:r>
      <w:r w:rsidRPr="002B3C6E">
        <w:t xml:space="preserve">. (n.d.). </w:t>
      </w:r>
      <w:r w:rsidRPr="002B3C6E">
        <w:rPr>
          <w:i/>
          <w:iCs/>
        </w:rPr>
        <w:t>The Royal (Dick) School of Veterinary Studies, University of Edinburgh</w:t>
      </w:r>
      <w:r w:rsidRPr="002B3C6E">
        <w:t>.</w:t>
      </w:r>
      <w:hyperlink r:id="rId138" w:history="1">
        <w:r w:rsidRPr="002B3C6E">
          <w:rPr>
            <w:rStyle w:val="-"/>
          </w:rPr>
          <w:t> </w:t>
        </w:r>
      </w:hyperlink>
    </w:p>
    <w:p w14:paraId="258D90F9" w14:textId="17CC62C4" w:rsidR="002B3C6E" w:rsidRPr="002B3C6E" w:rsidRDefault="002B3C6E" w:rsidP="002B3C6E">
      <w:pPr>
        <w:jc w:val="both"/>
      </w:pPr>
      <w:r w:rsidRPr="002B3C6E">
        <w:rPr>
          <w:i/>
          <w:iCs/>
        </w:rPr>
        <w:t>Polioencephalomalacia in ruminants.</w:t>
      </w:r>
      <w:r w:rsidRPr="002B3C6E">
        <w:t xml:space="preserve"> (n.d.). In </w:t>
      </w:r>
      <w:r w:rsidRPr="002B3C6E">
        <w:rPr>
          <w:i/>
          <w:iCs/>
        </w:rPr>
        <w:t>Merck Veterinary Manual</w:t>
      </w:r>
      <w:r w:rsidRPr="002B3C6E">
        <w:t>.</w:t>
      </w:r>
    </w:p>
    <w:p w14:paraId="5B4BE694" w14:textId="16F5C329" w:rsidR="002B3C6E" w:rsidRPr="002B3C6E" w:rsidRDefault="002B3C6E" w:rsidP="002B3C6E">
      <w:pPr>
        <w:jc w:val="both"/>
      </w:pPr>
      <w:r w:rsidRPr="002B3C6E">
        <w:t xml:space="preserve">Polizopoulou, S. Z., Giadinis, D. N., Papahristou, A., &amp; Papaioannou, N. (2016). </w:t>
      </w:r>
      <w:r w:rsidRPr="002B3C6E">
        <w:rPr>
          <w:i/>
          <w:iCs/>
        </w:rPr>
        <w:t>Neurological diseases of small ruminants in Greece: A retrospective study in 114 flocks.</w:t>
      </w:r>
      <w:r w:rsidRPr="002B3C6E">
        <w:t xml:space="preserve"> </w:t>
      </w:r>
      <w:r w:rsidRPr="002B3C6E">
        <w:rPr>
          <w:i/>
          <w:iCs/>
        </w:rPr>
        <w:t>Acta Veterinaria, 66</w:t>
      </w:r>
      <w:r w:rsidRPr="002B3C6E">
        <w:t>(2), 160–171. </w:t>
      </w:r>
    </w:p>
    <w:p w14:paraId="7B362E03" w14:textId="6D4CBA15" w:rsidR="002B3C6E" w:rsidRPr="002B3C6E" w:rsidRDefault="002B3C6E" w:rsidP="002B3C6E">
      <w:pPr>
        <w:jc w:val="both"/>
      </w:pPr>
      <w:r w:rsidRPr="002B3C6E">
        <w:lastRenderedPageBreak/>
        <w:t xml:space="preserve">Scott, P. R. (2007). </w:t>
      </w:r>
      <w:r w:rsidRPr="002B3C6E">
        <w:rPr>
          <w:i/>
          <w:iCs/>
        </w:rPr>
        <w:t>Listeriosis</w:t>
      </w:r>
      <w:r w:rsidRPr="002B3C6E">
        <w:t xml:space="preserve">. In I. D. Aitken (Ed.), </w:t>
      </w:r>
      <w:r w:rsidRPr="002B3C6E">
        <w:rPr>
          <w:i/>
          <w:iCs/>
        </w:rPr>
        <w:t>Diseases of sheep</w:t>
      </w:r>
      <w:r w:rsidRPr="002B3C6E">
        <w:t xml:space="preserve"> (4th ed., pp. 255–258). Wiley-Blackwell. </w:t>
      </w:r>
    </w:p>
    <w:p w14:paraId="7CACBE14" w14:textId="338BAEB1" w:rsidR="002B3C6E" w:rsidRPr="002B3C6E" w:rsidRDefault="002B3C6E" w:rsidP="002B3C6E">
      <w:pPr>
        <w:jc w:val="both"/>
      </w:pPr>
      <w:r w:rsidRPr="002B3C6E">
        <w:t xml:space="preserve">Scott, P. R. (2007). </w:t>
      </w:r>
      <w:r w:rsidRPr="002B3C6E">
        <w:rPr>
          <w:i/>
          <w:iCs/>
        </w:rPr>
        <w:t>Other nervous diseases.</w:t>
      </w:r>
      <w:r w:rsidRPr="002B3C6E">
        <w:t xml:space="preserve"> In I. D. Aitken (Ed.), </w:t>
      </w:r>
      <w:r w:rsidRPr="002B3C6E">
        <w:rPr>
          <w:i/>
          <w:iCs/>
        </w:rPr>
        <w:t>Diseases of sheep</w:t>
      </w:r>
      <w:r w:rsidRPr="002B3C6E">
        <w:t xml:space="preserve"> (4th ed., pp. 259–272). Wiley-Blackwell. </w:t>
      </w:r>
    </w:p>
    <w:p w14:paraId="7B179C23" w14:textId="10B987E8" w:rsidR="002B3C6E" w:rsidRPr="002B3C6E" w:rsidRDefault="002B3C6E" w:rsidP="002B3C6E">
      <w:pPr>
        <w:jc w:val="both"/>
      </w:pPr>
      <w:r w:rsidRPr="002B3C6E">
        <w:t xml:space="preserve">Scott, P. R. (2011). </w:t>
      </w:r>
      <w:r w:rsidRPr="002B3C6E">
        <w:rPr>
          <w:i/>
          <w:iCs/>
        </w:rPr>
        <w:t>Sheep medicine</w:t>
      </w:r>
      <w:r w:rsidRPr="002B3C6E">
        <w:t xml:space="preserve"> (2nd ed.) (chapter 8, pp. 187-229). CRC Press.</w:t>
      </w:r>
    </w:p>
    <w:p w14:paraId="53CDE359" w14:textId="77777777" w:rsidR="002B3C6E" w:rsidRDefault="002B3C6E" w:rsidP="002B3C6E">
      <w:pPr>
        <w:jc w:val="both"/>
      </w:pPr>
      <w:r w:rsidRPr="002B3C6E">
        <w:t xml:space="preserve">Wagner, M., Melzner, D., Bagó, Z., Winter, P., Egerbacher, M., Schilcher, F., Zangana, A., &amp; Schoder, D. (2005). </w:t>
      </w:r>
      <w:r w:rsidRPr="002B3C6E">
        <w:rPr>
          <w:i/>
          <w:iCs/>
        </w:rPr>
        <w:t>Outbreak of clinical listeriosis in sheep: Evaluation of possible contamination routes from feed to raw produce and humans.</w:t>
      </w:r>
      <w:r w:rsidRPr="002B3C6E">
        <w:t xml:space="preserve"> </w:t>
      </w:r>
      <w:r w:rsidRPr="002B3C6E">
        <w:rPr>
          <w:i/>
          <w:iCs/>
        </w:rPr>
        <w:t>Journal of Veterinary Medicine Series B, 52</w:t>
      </w:r>
      <w:r w:rsidRPr="002B3C6E">
        <w:t>(6), 278–283. </w:t>
      </w:r>
    </w:p>
    <w:p w14:paraId="5BFD6BE9" w14:textId="77777777" w:rsidR="002B3C6E" w:rsidRDefault="002B3C6E" w:rsidP="002B3C6E">
      <w:pPr>
        <w:jc w:val="both"/>
      </w:pPr>
    </w:p>
    <w:p w14:paraId="3E6085FB" w14:textId="77777777" w:rsidR="002B3C6E" w:rsidRDefault="002B3C6E" w:rsidP="002B3C6E">
      <w:pPr>
        <w:jc w:val="both"/>
      </w:pPr>
    </w:p>
    <w:p w14:paraId="6F3D5469" w14:textId="77777777" w:rsidR="002B3C6E" w:rsidRDefault="002B3C6E" w:rsidP="002B3C6E">
      <w:pPr>
        <w:jc w:val="both"/>
      </w:pPr>
    </w:p>
    <w:p w14:paraId="030203A2" w14:textId="77777777" w:rsidR="002B3C6E" w:rsidRDefault="002B3C6E" w:rsidP="002B3C6E">
      <w:pPr>
        <w:jc w:val="both"/>
      </w:pPr>
    </w:p>
    <w:p w14:paraId="0816D039" w14:textId="77777777" w:rsidR="002B3C6E" w:rsidRDefault="002B3C6E" w:rsidP="002B3C6E">
      <w:pPr>
        <w:jc w:val="both"/>
      </w:pPr>
    </w:p>
    <w:p w14:paraId="7AB23028" w14:textId="77777777" w:rsidR="002B3C6E" w:rsidRDefault="002B3C6E" w:rsidP="002B3C6E">
      <w:pPr>
        <w:jc w:val="both"/>
      </w:pPr>
    </w:p>
    <w:p w14:paraId="7534FE63" w14:textId="77777777" w:rsidR="002B3C6E" w:rsidRDefault="002B3C6E" w:rsidP="002B3C6E">
      <w:pPr>
        <w:jc w:val="both"/>
      </w:pPr>
    </w:p>
    <w:p w14:paraId="3CB99F17" w14:textId="77777777" w:rsidR="002B3C6E" w:rsidRDefault="002B3C6E" w:rsidP="002B3C6E">
      <w:pPr>
        <w:jc w:val="both"/>
      </w:pPr>
    </w:p>
    <w:p w14:paraId="366B4BB0" w14:textId="77777777" w:rsidR="002B3C6E" w:rsidRDefault="002B3C6E" w:rsidP="002B3C6E">
      <w:pPr>
        <w:jc w:val="both"/>
      </w:pPr>
    </w:p>
    <w:p w14:paraId="2F1BABE0" w14:textId="77777777" w:rsidR="002B3C6E" w:rsidRDefault="002B3C6E" w:rsidP="002B3C6E">
      <w:pPr>
        <w:jc w:val="both"/>
      </w:pPr>
    </w:p>
    <w:p w14:paraId="5934868C" w14:textId="77777777" w:rsidR="002B3C6E" w:rsidRDefault="002B3C6E" w:rsidP="002B3C6E">
      <w:pPr>
        <w:jc w:val="both"/>
      </w:pPr>
    </w:p>
    <w:p w14:paraId="46A4C3BE" w14:textId="77777777" w:rsidR="002B3C6E" w:rsidRDefault="002B3C6E" w:rsidP="002B3C6E">
      <w:pPr>
        <w:jc w:val="both"/>
      </w:pPr>
    </w:p>
    <w:p w14:paraId="34B66930" w14:textId="77777777" w:rsidR="002B3C6E" w:rsidRDefault="002B3C6E" w:rsidP="002B3C6E">
      <w:pPr>
        <w:jc w:val="both"/>
      </w:pPr>
    </w:p>
    <w:p w14:paraId="51F8375E" w14:textId="77777777" w:rsidR="002B3C6E" w:rsidRDefault="002B3C6E" w:rsidP="002B3C6E">
      <w:pPr>
        <w:jc w:val="both"/>
      </w:pPr>
    </w:p>
    <w:p w14:paraId="1A8ECB17" w14:textId="77777777" w:rsidR="002B3C6E" w:rsidRDefault="002B3C6E" w:rsidP="002B3C6E">
      <w:pPr>
        <w:jc w:val="both"/>
      </w:pPr>
    </w:p>
    <w:p w14:paraId="141F478A" w14:textId="77777777" w:rsidR="002B3C6E" w:rsidRDefault="002B3C6E" w:rsidP="002B3C6E">
      <w:pPr>
        <w:jc w:val="both"/>
      </w:pPr>
    </w:p>
    <w:p w14:paraId="4A8F8CB8" w14:textId="77777777" w:rsidR="002B3C6E" w:rsidRDefault="002B3C6E" w:rsidP="002B3C6E">
      <w:pPr>
        <w:jc w:val="both"/>
      </w:pPr>
    </w:p>
    <w:p w14:paraId="72456F5D" w14:textId="77777777" w:rsidR="002B3C6E" w:rsidRDefault="002B3C6E" w:rsidP="002B3C6E">
      <w:pPr>
        <w:jc w:val="both"/>
      </w:pPr>
    </w:p>
    <w:p w14:paraId="3E93D2D0" w14:textId="77777777" w:rsidR="002B3C6E" w:rsidRDefault="002B3C6E" w:rsidP="002B3C6E">
      <w:pPr>
        <w:jc w:val="both"/>
      </w:pPr>
    </w:p>
    <w:p w14:paraId="75A42C12" w14:textId="77777777" w:rsidR="002B3C6E" w:rsidRDefault="002B3C6E" w:rsidP="002B3C6E">
      <w:pPr>
        <w:jc w:val="both"/>
      </w:pPr>
    </w:p>
    <w:p w14:paraId="26CEAD43" w14:textId="77777777" w:rsidR="002B3C6E" w:rsidRDefault="002B3C6E" w:rsidP="002B3C6E">
      <w:pPr>
        <w:jc w:val="both"/>
      </w:pPr>
    </w:p>
    <w:p w14:paraId="7430B972" w14:textId="77777777" w:rsidR="002B3C6E" w:rsidRDefault="002B3C6E" w:rsidP="002B3C6E">
      <w:pPr>
        <w:jc w:val="both"/>
      </w:pPr>
    </w:p>
    <w:p w14:paraId="274B3275" w14:textId="77777777" w:rsidR="002B3C6E" w:rsidRDefault="002B3C6E" w:rsidP="002B3C6E">
      <w:pPr>
        <w:jc w:val="both"/>
      </w:pPr>
    </w:p>
    <w:p w14:paraId="22C6879A" w14:textId="77777777" w:rsidR="002B3C6E" w:rsidRPr="002B3C6E" w:rsidRDefault="002B3C6E" w:rsidP="002B3C6E">
      <w:pPr>
        <w:jc w:val="both"/>
      </w:pPr>
    </w:p>
    <w:p w14:paraId="1C97B842" w14:textId="77777777" w:rsidR="002B3C6E" w:rsidRPr="002B3C6E" w:rsidRDefault="002B3C6E" w:rsidP="002B3C6E">
      <w:pPr>
        <w:jc w:val="both"/>
      </w:pPr>
      <w:r w:rsidRPr="002B3C6E">
        <w:rPr>
          <w:b/>
          <w:bCs/>
        </w:rPr>
        <w:lastRenderedPageBreak/>
        <w:t>Subclinical Enteropathies in Broiler Chickens</w:t>
      </w:r>
    </w:p>
    <w:p w14:paraId="0384772D" w14:textId="77777777" w:rsidR="002B3C6E" w:rsidRPr="002B3C6E" w:rsidRDefault="002B3C6E" w:rsidP="002B3C6E">
      <w:pPr>
        <w:jc w:val="both"/>
      </w:pPr>
      <w:r w:rsidRPr="002B3C6E">
        <w:t>Katis Stefanos Ioannis¹, Mantzios Tilemachos², Tsiouris Vasileios³</w:t>
      </w:r>
    </w:p>
    <w:p w14:paraId="0BDC997F" w14:textId="77777777" w:rsidR="002B3C6E" w:rsidRPr="002B3C6E" w:rsidRDefault="002B3C6E">
      <w:pPr>
        <w:numPr>
          <w:ilvl w:val="0"/>
          <w:numId w:val="110"/>
        </w:numPr>
        <w:jc w:val="both"/>
      </w:pPr>
      <w:r w:rsidRPr="002B3C6E">
        <w:t>Undergraduate student, Department of Veterinary Medicine, School of Health Sciences, Aristotle University of Thessaloniki.                                                                                    </w:t>
      </w:r>
    </w:p>
    <w:p w14:paraId="28F94DB1" w14:textId="77777777" w:rsidR="002B3C6E" w:rsidRPr="002B3C6E" w:rsidRDefault="002B3C6E">
      <w:pPr>
        <w:numPr>
          <w:ilvl w:val="0"/>
          <w:numId w:val="110"/>
        </w:numPr>
        <w:jc w:val="both"/>
      </w:pPr>
      <w:r w:rsidRPr="002B3C6E">
        <w:t>Veterinarian DVM, MSc., PhD, ECPVS Resident, Union of Avian Medicine, Clinic of Farm Animals, Department of Veterinary Medicine, School of Health Sciences, Aristotle University of Thessaloniki  </w:t>
      </w:r>
    </w:p>
    <w:p w14:paraId="7F264DBF" w14:textId="77777777" w:rsidR="002B3C6E" w:rsidRPr="002B3C6E" w:rsidRDefault="002B3C6E">
      <w:pPr>
        <w:numPr>
          <w:ilvl w:val="0"/>
          <w:numId w:val="110"/>
        </w:numPr>
        <w:jc w:val="both"/>
      </w:pPr>
      <w:r w:rsidRPr="002B3C6E">
        <w:t>Professor DVM, MSc., PhD, DECPVS, Union of Avian Medicine, Clinic of Farm Animals, Department of Veterinary Medicine, School of Health Sciences, Aristotle University of Thessaloniki</w:t>
      </w:r>
    </w:p>
    <w:p w14:paraId="7B819F67" w14:textId="77777777" w:rsidR="002B3C6E" w:rsidRPr="002B3C6E" w:rsidRDefault="002B3C6E" w:rsidP="002B3C6E">
      <w:pPr>
        <w:jc w:val="both"/>
      </w:pPr>
    </w:p>
    <w:p w14:paraId="7AF33A4C" w14:textId="354CDC63" w:rsidR="002B3C6E" w:rsidRPr="002B3C6E" w:rsidRDefault="002B3C6E" w:rsidP="002B3C6E">
      <w:pPr>
        <w:jc w:val="both"/>
      </w:pPr>
      <w:r w:rsidRPr="002B3C6E">
        <w:rPr>
          <w:b/>
          <w:bCs/>
        </w:rPr>
        <w:t>Abstract</w:t>
      </w:r>
    </w:p>
    <w:p w14:paraId="601064A7" w14:textId="77777777" w:rsidR="002B3C6E" w:rsidRPr="002B3C6E" w:rsidRDefault="002B3C6E" w:rsidP="002B3C6E">
      <w:pPr>
        <w:jc w:val="both"/>
      </w:pPr>
      <w:r w:rsidRPr="002B3C6E">
        <w:t>Subclinical enteropathies in broiler chickens represent a significant yet often underestimated limiting factor in modern intensive poultry production. Despite the absence of overt clinical signs, disturbances in the intestinal microbiota and impairment of the intestinal barrier integrity trigger inflammatory processes, increased gut permeability, and metabolic burden. Subclinical infections such as coccidiosis and clostridiosis induce microscopic mucosal lesions, reduced villus height, and compromised absorptive capacity, ultimately affecting nutrient utilization. The resulting malabsorption and inflammation-associated catabolism negatively influence feed conversion ratio (FCR), increasing production costs. Early detection through macroscopic lesion scoring and histological evaluation, combined with integrated nutritional and management strategies, is essential to preserve gut health and optimize production efficiency in commercial broiler operations.</w:t>
      </w:r>
    </w:p>
    <w:p w14:paraId="6FF23BFF" w14:textId="60AF99B4" w:rsidR="002B3C6E" w:rsidRPr="002B3C6E" w:rsidRDefault="002B3C6E" w:rsidP="002B3C6E">
      <w:pPr>
        <w:jc w:val="both"/>
      </w:pPr>
    </w:p>
    <w:p w14:paraId="3AF4A3F7" w14:textId="77777777" w:rsidR="002B3C6E" w:rsidRPr="002B3C6E" w:rsidRDefault="002B3C6E" w:rsidP="002B3C6E">
      <w:pPr>
        <w:jc w:val="both"/>
      </w:pPr>
      <w:r w:rsidRPr="002B3C6E">
        <w:rPr>
          <w:b/>
          <w:bCs/>
        </w:rPr>
        <w:t>Bibliography</w:t>
      </w:r>
    </w:p>
    <w:p w14:paraId="67E8E628" w14:textId="4BA88321" w:rsidR="002B3C6E" w:rsidRPr="002B3C6E" w:rsidRDefault="002B3C6E" w:rsidP="002B3C6E">
      <w:pPr>
        <w:jc w:val="both"/>
      </w:pPr>
      <w:r w:rsidRPr="002B3C6E">
        <w:t xml:space="preserve">Chapman, H. D. (2014). </w:t>
      </w:r>
      <w:r w:rsidRPr="002B3C6E">
        <w:rPr>
          <w:i/>
          <w:iCs/>
        </w:rPr>
        <w:t>Milestones in avian coccidiosis research: A review.</w:t>
      </w:r>
      <w:r w:rsidRPr="002B3C6E">
        <w:t xml:space="preserve"> </w:t>
      </w:r>
      <w:r w:rsidRPr="002B3C6E">
        <w:rPr>
          <w:i/>
          <w:iCs/>
        </w:rPr>
        <w:t>Poultry Science</w:t>
      </w:r>
      <w:r w:rsidRPr="002B3C6E">
        <w:t>, 93(3). </w:t>
      </w:r>
    </w:p>
    <w:p w14:paraId="600CCC67" w14:textId="1ABB62AE" w:rsidR="002B3C6E" w:rsidRPr="002B3C6E" w:rsidRDefault="002B3C6E" w:rsidP="002B3C6E">
      <w:pPr>
        <w:jc w:val="both"/>
      </w:pPr>
      <w:r w:rsidRPr="002B3C6E">
        <w:t xml:space="preserve">Johnson, J., &amp; Reid, W. M. (1970). </w:t>
      </w:r>
      <w:r w:rsidRPr="002B3C6E">
        <w:rPr>
          <w:i/>
          <w:iCs/>
        </w:rPr>
        <w:t>Anticoccidial drugs: Lesion scoring techniques in battery and floor-pen experiments with chickens.</w:t>
      </w:r>
      <w:r w:rsidRPr="002B3C6E">
        <w:t xml:space="preserve"> </w:t>
      </w:r>
      <w:r w:rsidRPr="002B3C6E">
        <w:rPr>
          <w:i/>
          <w:iCs/>
        </w:rPr>
        <w:t>Experimental Parasitology</w:t>
      </w:r>
      <w:r w:rsidRPr="002B3C6E">
        <w:t>, 28(1), 30–36. </w:t>
      </w:r>
    </w:p>
    <w:p w14:paraId="3CEEAC32" w14:textId="21C570F3" w:rsidR="002B3C6E" w:rsidRPr="002B3C6E" w:rsidRDefault="002B3C6E" w:rsidP="002B3C6E">
      <w:pPr>
        <w:jc w:val="both"/>
      </w:pPr>
      <w:r w:rsidRPr="002B3C6E">
        <w:t xml:space="preserve">Keyburn, A. L., Boyce, J. D., Vaz, P., Bannam, T. L., Ford, M. E., Parker, D., &amp; Moore, R. J. (2008). </w:t>
      </w:r>
      <w:r w:rsidRPr="002B3C6E">
        <w:rPr>
          <w:i/>
          <w:iCs/>
        </w:rPr>
        <w:t>NetB, a new toxin associated with avian necrotic enteritis caused by Clostridium perfringens.</w:t>
      </w:r>
      <w:r w:rsidRPr="002B3C6E">
        <w:t xml:space="preserve"> </w:t>
      </w:r>
      <w:r w:rsidRPr="002B3C6E">
        <w:rPr>
          <w:i/>
          <w:iCs/>
        </w:rPr>
        <w:t>PLoS Pathogens</w:t>
      </w:r>
      <w:r w:rsidRPr="002B3C6E">
        <w:t>, 4(2), e26. </w:t>
      </w:r>
    </w:p>
    <w:p w14:paraId="53A0618A" w14:textId="2E8AD58C" w:rsidR="002B3C6E" w:rsidRPr="002B3C6E" w:rsidRDefault="002B3C6E" w:rsidP="002B3C6E">
      <w:pPr>
        <w:jc w:val="both"/>
      </w:pPr>
      <w:r w:rsidRPr="002B3C6E">
        <w:t xml:space="preserve">Keyburn, A. L., Sheedy, S. A., Ford, M. E., Williamson, M. M., Awad, M. M., Rood, J. I., &amp; Moore, R. J. (2006). </w:t>
      </w:r>
      <w:r w:rsidRPr="002B3C6E">
        <w:rPr>
          <w:i/>
          <w:iCs/>
        </w:rPr>
        <w:t>Alpha-toxin of Clostridium perfringens is not an essential virulence factor in necrotic enteritis in chickens.</w:t>
      </w:r>
      <w:r w:rsidRPr="002B3C6E">
        <w:t xml:space="preserve"> </w:t>
      </w:r>
      <w:r w:rsidRPr="002B3C6E">
        <w:rPr>
          <w:i/>
          <w:iCs/>
        </w:rPr>
        <w:t>Infection and Immunity</w:t>
      </w:r>
      <w:r w:rsidRPr="002B3C6E">
        <w:t>, 74(11), 6496–6500. </w:t>
      </w:r>
    </w:p>
    <w:p w14:paraId="60C24CD1" w14:textId="1F2F2956" w:rsidR="002B3C6E" w:rsidRPr="002B3C6E" w:rsidRDefault="002B3C6E" w:rsidP="002B3C6E">
      <w:pPr>
        <w:jc w:val="both"/>
      </w:pPr>
      <w:r w:rsidRPr="002B3C6E">
        <w:t xml:space="preserve">Klasing, K. C. (2007). </w:t>
      </w:r>
      <w:r w:rsidRPr="002B3C6E">
        <w:rPr>
          <w:i/>
          <w:iCs/>
        </w:rPr>
        <w:t>Nutrition and the immune system.</w:t>
      </w:r>
      <w:r w:rsidRPr="002B3C6E">
        <w:t xml:space="preserve"> </w:t>
      </w:r>
      <w:r w:rsidRPr="002B3C6E">
        <w:rPr>
          <w:i/>
          <w:iCs/>
        </w:rPr>
        <w:t>British Poultry Science</w:t>
      </w:r>
      <w:r w:rsidRPr="002B3C6E">
        <w:t>, 48(5), 525–537. </w:t>
      </w:r>
    </w:p>
    <w:p w14:paraId="1909D182" w14:textId="77777777" w:rsidR="002B3C6E" w:rsidRPr="002B3C6E" w:rsidRDefault="002B3C6E" w:rsidP="002B3C6E">
      <w:pPr>
        <w:jc w:val="both"/>
      </w:pPr>
      <w:r w:rsidRPr="002B3C6E">
        <w:t xml:space="preserve">Kogut, M. H., &amp; Arsenault, R. J. (2016). </w:t>
      </w:r>
      <w:r w:rsidRPr="002B3C6E">
        <w:rPr>
          <w:i/>
          <w:iCs/>
        </w:rPr>
        <w:t>Immunometabolic phenotype alterations associated with disease tolerance in the chicken intestine.</w:t>
      </w:r>
      <w:r w:rsidRPr="002B3C6E">
        <w:t xml:space="preserve"> </w:t>
      </w:r>
      <w:r w:rsidRPr="002B3C6E">
        <w:rPr>
          <w:i/>
          <w:iCs/>
        </w:rPr>
        <w:t>Frontiers in Veterinary Science</w:t>
      </w:r>
      <w:r w:rsidRPr="002B3C6E">
        <w:t>, 3, 1–9. </w:t>
      </w:r>
    </w:p>
    <w:p w14:paraId="28B72B10" w14:textId="77777777" w:rsidR="002B3C6E" w:rsidRPr="002B3C6E" w:rsidRDefault="002B3C6E" w:rsidP="002B3C6E">
      <w:pPr>
        <w:jc w:val="both"/>
      </w:pPr>
    </w:p>
    <w:p w14:paraId="7ABBFCC9" w14:textId="6F519B09" w:rsidR="002B3C6E" w:rsidRPr="002B3C6E" w:rsidRDefault="002B3C6E" w:rsidP="002B3C6E">
      <w:pPr>
        <w:jc w:val="both"/>
      </w:pPr>
      <w:r w:rsidRPr="002B3C6E">
        <w:lastRenderedPageBreak/>
        <w:t xml:space="preserve">Liu, D., Guo, S., &amp; Guo, Y. (2015). </w:t>
      </w:r>
      <w:r w:rsidRPr="002B3C6E">
        <w:rPr>
          <w:i/>
          <w:iCs/>
        </w:rPr>
        <w:t>Xylanase supplementation alleviates intestinal mucosal barrier impairment in broilers challenged with Clostridium perfringens.</w:t>
      </w:r>
      <w:r w:rsidRPr="002B3C6E">
        <w:t xml:space="preserve"> </w:t>
      </w:r>
      <w:r w:rsidRPr="002B3C6E">
        <w:rPr>
          <w:i/>
          <w:iCs/>
        </w:rPr>
        <w:t>Poultry Science</w:t>
      </w:r>
      <w:r w:rsidRPr="002B3C6E">
        <w:t>, 94(11), 2798–2805. </w:t>
      </w:r>
    </w:p>
    <w:p w14:paraId="18DD9FB0" w14:textId="77777777" w:rsidR="002B3C6E" w:rsidRPr="002B3C6E" w:rsidRDefault="002B3C6E" w:rsidP="002B3C6E">
      <w:pPr>
        <w:jc w:val="both"/>
      </w:pPr>
      <w:r w:rsidRPr="002B3C6E">
        <w:t xml:space="preserve">Montagne, L., Pluske, J. R., &amp; Hampson, D. J. (2003). </w:t>
      </w:r>
      <w:r w:rsidRPr="002B3C6E">
        <w:rPr>
          <w:i/>
          <w:iCs/>
        </w:rPr>
        <w:t>A review of interactions between dietary fibre and the intestinal mucosa.</w:t>
      </w:r>
      <w:r w:rsidRPr="002B3C6E">
        <w:t xml:space="preserve"> </w:t>
      </w:r>
      <w:r w:rsidRPr="002B3C6E">
        <w:rPr>
          <w:i/>
          <w:iCs/>
        </w:rPr>
        <w:t>Livestock Production Science</w:t>
      </w:r>
      <w:r w:rsidRPr="002B3C6E">
        <w:t>, 79(1), 95–117. </w:t>
      </w:r>
    </w:p>
    <w:p w14:paraId="0943CF60" w14:textId="77777777" w:rsidR="002B3C6E" w:rsidRDefault="002B3C6E" w:rsidP="002B3C6E">
      <w:pPr>
        <w:jc w:val="both"/>
      </w:pPr>
    </w:p>
    <w:p w14:paraId="5A666EA3" w14:textId="77777777" w:rsidR="002B3C6E" w:rsidRDefault="002B3C6E" w:rsidP="002B3C6E">
      <w:pPr>
        <w:jc w:val="both"/>
      </w:pPr>
    </w:p>
    <w:p w14:paraId="30410028" w14:textId="77777777" w:rsidR="002B3C6E" w:rsidRDefault="002B3C6E" w:rsidP="002B3C6E">
      <w:pPr>
        <w:jc w:val="both"/>
      </w:pPr>
    </w:p>
    <w:p w14:paraId="1DC75DC8" w14:textId="77777777" w:rsidR="002B3C6E" w:rsidRDefault="002B3C6E" w:rsidP="002B3C6E">
      <w:pPr>
        <w:jc w:val="both"/>
      </w:pPr>
    </w:p>
    <w:p w14:paraId="43540AA3" w14:textId="77777777" w:rsidR="002B3C6E" w:rsidRDefault="002B3C6E" w:rsidP="002B3C6E">
      <w:pPr>
        <w:jc w:val="both"/>
      </w:pPr>
    </w:p>
    <w:p w14:paraId="5C9605DF" w14:textId="77777777" w:rsidR="002B3C6E" w:rsidRDefault="002B3C6E" w:rsidP="002B3C6E">
      <w:pPr>
        <w:jc w:val="both"/>
      </w:pPr>
    </w:p>
    <w:p w14:paraId="099D2634" w14:textId="77777777" w:rsidR="002B3C6E" w:rsidRDefault="002B3C6E" w:rsidP="002B3C6E">
      <w:pPr>
        <w:jc w:val="both"/>
      </w:pPr>
    </w:p>
    <w:p w14:paraId="699764F5" w14:textId="77777777" w:rsidR="002B3C6E" w:rsidRDefault="002B3C6E" w:rsidP="002B3C6E">
      <w:pPr>
        <w:jc w:val="both"/>
      </w:pPr>
    </w:p>
    <w:p w14:paraId="216AF6B1" w14:textId="77777777" w:rsidR="002B3C6E" w:rsidRDefault="002B3C6E" w:rsidP="002B3C6E">
      <w:pPr>
        <w:jc w:val="both"/>
      </w:pPr>
    </w:p>
    <w:p w14:paraId="0E30C8A7" w14:textId="77777777" w:rsidR="002B3C6E" w:rsidRDefault="002B3C6E" w:rsidP="002B3C6E">
      <w:pPr>
        <w:jc w:val="both"/>
      </w:pPr>
    </w:p>
    <w:p w14:paraId="709A3FA5" w14:textId="77777777" w:rsidR="002B3C6E" w:rsidRDefault="002B3C6E" w:rsidP="002B3C6E">
      <w:pPr>
        <w:jc w:val="both"/>
      </w:pPr>
    </w:p>
    <w:p w14:paraId="5C746C8D" w14:textId="77777777" w:rsidR="002B3C6E" w:rsidRDefault="002B3C6E" w:rsidP="002B3C6E">
      <w:pPr>
        <w:jc w:val="both"/>
      </w:pPr>
    </w:p>
    <w:p w14:paraId="25AADA7D" w14:textId="77777777" w:rsidR="002B3C6E" w:rsidRDefault="002B3C6E" w:rsidP="002B3C6E">
      <w:pPr>
        <w:jc w:val="both"/>
      </w:pPr>
    </w:p>
    <w:p w14:paraId="7EC25694" w14:textId="77777777" w:rsidR="002B3C6E" w:rsidRDefault="002B3C6E" w:rsidP="002B3C6E">
      <w:pPr>
        <w:jc w:val="both"/>
      </w:pPr>
    </w:p>
    <w:p w14:paraId="58732995" w14:textId="77777777" w:rsidR="002B3C6E" w:rsidRDefault="002B3C6E" w:rsidP="002B3C6E">
      <w:pPr>
        <w:jc w:val="both"/>
      </w:pPr>
    </w:p>
    <w:p w14:paraId="40BBD5AF" w14:textId="77777777" w:rsidR="002B3C6E" w:rsidRDefault="002B3C6E" w:rsidP="002B3C6E">
      <w:pPr>
        <w:jc w:val="both"/>
      </w:pPr>
    </w:p>
    <w:p w14:paraId="2F465EE8" w14:textId="77777777" w:rsidR="002B3C6E" w:rsidRDefault="002B3C6E" w:rsidP="002B3C6E">
      <w:pPr>
        <w:jc w:val="both"/>
      </w:pPr>
    </w:p>
    <w:p w14:paraId="3E0512A1" w14:textId="77777777" w:rsidR="002B3C6E" w:rsidRDefault="002B3C6E" w:rsidP="002B3C6E">
      <w:pPr>
        <w:jc w:val="both"/>
      </w:pPr>
    </w:p>
    <w:p w14:paraId="51B00A49" w14:textId="77777777" w:rsidR="002B3C6E" w:rsidRDefault="002B3C6E" w:rsidP="002B3C6E">
      <w:pPr>
        <w:jc w:val="both"/>
      </w:pPr>
    </w:p>
    <w:p w14:paraId="09974B25" w14:textId="77777777" w:rsidR="002B3C6E" w:rsidRDefault="002B3C6E" w:rsidP="002B3C6E">
      <w:pPr>
        <w:jc w:val="both"/>
      </w:pPr>
    </w:p>
    <w:p w14:paraId="5319A9F8" w14:textId="77777777" w:rsidR="002B3C6E" w:rsidRDefault="002B3C6E" w:rsidP="002B3C6E">
      <w:pPr>
        <w:jc w:val="both"/>
      </w:pPr>
    </w:p>
    <w:p w14:paraId="2FEC53AE" w14:textId="77777777" w:rsidR="002B3C6E" w:rsidRDefault="002B3C6E" w:rsidP="002B3C6E">
      <w:pPr>
        <w:jc w:val="both"/>
      </w:pPr>
    </w:p>
    <w:p w14:paraId="43FEC1DF" w14:textId="77777777" w:rsidR="002B3C6E" w:rsidRDefault="002B3C6E" w:rsidP="002B3C6E">
      <w:pPr>
        <w:jc w:val="both"/>
      </w:pPr>
    </w:p>
    <w:p w14:paraId="50740FE9" w14:textId="77777777" w:rsidR="002B3C6E" w:rsidRDefault="002B3C6E" w:rsidP="002B3C6E">
      <w:pPr>
        <w:jc w:val="both"/>
      </w:pPr>
    </w:p>
    <w:p w14:paraId="1C239479" w14:textId="77777777" w:rsidR="002B3C6E" w:rsidRDefault="002B3C6E" w:rsidP="002B3C6E">
      <w:pPr>
        <w:jc w:val="both"/>
      </w:pPr>
    </w:p>
    <w:p w14:paraId="5460C39F" w14:textId="77777777" w:rsidR="002B3C6E" w:rsidRPr="002B3C6E" w:rsidRDefault="002B3C6E" w:rsidP="002B3C6E">
      <w:pPr>
        <w:jc w:val="both"/>
      </w:pPr>
    </w:p>
    <w:p w14:paraId="15C17D5F" w14:textId="77777777" w:rsidR="002B3C6E" w:rsidRDefault="002B3C6E" w:rsidP="002B3C6E">
      <w:pPr>
        <w:jc w:val="both"/>
        <w:rPr>
          <w:b/>
          <w:bCs/>
        </w:rPr>
      </w:pPr>
      <w:r w:rsidRPr="002B3C6E">
        <w:rPr>
          <w:b/>
          <w:bCs/>
        </w:rPr>
        <w:lastRenderedPageBreak/>
        <w:t xml:space="preserve">A Case of Infectious Laryngotracheitis in an Organic Broiler Chicken Farm in Greece                                                                                                                                    </w:t>
      </w:r>
    </w:p>
    <w:p w14:paraId="09773E57" w14:textId="1F3D826E" w:rsidR="002B3C6E" w:rsidRPr="002B3C6E" w:rsidRDefault="002B3C6E" w:rsidP="002B3C6E">
      <w:pPr>
        <w:jc w:val="both"/>
      </w:pPr>
      <w:r w:rsidRPr="002B3C6E">
        <w:t>Stavrou Nikodimos Anastasios</w:t>
      </w:r>
      <w:r w:rsidRPr="002B3C6E">
        <w:rPr>
          <w:vertAlign w:val="superscript"/>
        </w:rPr>
        <w:t>1</w:t>
      </w:r>
      <w:r w:rsidRPr="002B3C6E">
        <w:t>, Mantzios Tilemachos</w:t>
      </w:r>
      <w:r w:rsidRPr="002B3C6E">
        <w:rPr>
          <w:vertAlign w:val="superscript"/>
        </w:rPr>
        <w:t>2</w:t>
      </w:r>
      <w:r w:rsidRPr="002B3C6E">
        <w:t>, Tsiouris Vasileios</w:t>
      </w:r>
      <w:r w:rsidRPr="002B3C6E">
        <w:rPr>
          <w:vertAlign w:val="superscript"/>
        </w:rPr>
        <w:t>3</w:t>
      </w:r>
      <w:r w:rsidRPr="002B3C6E">
        <w:t>  </w:t>
      </w:r>
    </w:p>
    <w:p w14:paraId="3E9F4661" w14:textId="77777777" w:rsidR="002B3C6E" w:rsidRPr="002B3C6E" w:rsidRDefault="002B3C6E">
      <w:pPr>
        <w:numPr>
          <w:ilvl w:val="0"/>
          <w:numId w:val="111"/>
        </w:numPr>
        <w:jc w:val="both"/>
      </w:pPr>
      <w:r w:rsidRPr="002B3C6E">
        <w:t>Undergraduate student, Department of Veterinary Medicine, School of Health Sciences, Aristotle University of Thessaloniki.                                                                                    </w:t>
      </w:r>
    </w:p>
    <w:p w14:paraId="7F5BC89B" w14:textId="77777777" w:rsidR="002B3C6E" w:rsidRPr="002B3C6E" w:rsidRDefault="002B3C6E">
      <w:pPr>
        <w:numPr>
          <w:ilvl w:val="0"/>
          <w:numId w:val="111"/>
        </w:numPr>
        <w:jc w:val="both"/>
      </w:pPr>
      <w:r w:rsidRPr="002B3C6E">
        <w:t>Veterinarian DVM, MSc., PhD, ECPVS Resident, Union of Avian Medicine, Clinic of Farm Animals, Department of Veterinary Medicine, School of Health Sciences, Aristotle University of Thessaloniki </w:t>
      </w:r>
    </w:p>
    <w:p w14:paraId="7F2BEC8C" w14:textId="77777777" w:rsidR="002B3C6E" w:rsidRPr="002B3C6E" w:rsidRDefault="002B3C6E">
      <w:pPr>
        <w:numPr>
          <w:ilvl w:val="0"/>
          <w:numId w:val="111"/>
        </w:numPr>
        <w:jc w:val="both"/>
      </w:pPr>
      <w:r w:rsidRPr="002B3C6E">
        <w:t>Professor DVM, MSc., PhD, DECPVS, Union of Avian Medicine, Clinic of Farm Animals, Department of Veterinary Medicine, School of Health Sciences, Aristotle University of Thessaloniki</w:t>
      </w:r>
    </w:p>
    <w:p w14:paraId="531EBC02" w14:textId="77777777" w:rsidR="002B3C6E" w:rsidRPr="002B3C6E" w:rsidRDefault="002B3C6E" w:rsidP="002B3C6E">
      <w:pPr>
        <w:jc w:val="both"/>
      </w:pPr>
    </w:p>
    <w:p w14:paraId="5D1F6A06" w14:textId="77777777" w:rsidR="002B3C6E" w:rsidRPr="002B3C6E" w:rsidRDefault="002B3C6E" w:rsidP="002B3C6E">
      <w:pPr>
        <w:jc w:val="both"/>
      </w:pPr>
      <w:r w:rsidRPr="002B3C6E">
        <w:rPr>
          <w:b/>
          <w:bCs/>
        </w:rPr>
        <w:t>Abstract            </w:t>
      </w:r>
    </w:p>
    <w:p w14:paraId="19334518" w14:textId="71EF20B9" w:rsidR="002B3C6E" w:rsidRPr="002B3C6E" w:rsidRDefault="002B3C6E" w:rsidP="002B3C6E">
      <w:pPr>
        <w:jc w:val="both"/>
      </w:pPr>
      <w:r w:rsidRPr="002B3C6E">
        <w:t xml:space="preserve">Infectious laryngotracheitis (ILT) is a disease caused by the infectious laryngotracheitis virus (ILTV) and belongs to the genus </w:t>
      </w:r>
      <w:r w:rsidRPr="002B3C6E">
        <w:rPr>
          <w:i/>
          <w:iCs/>
        </w:rPr>
        <w:t>Gallid alphaherpsevirus 1.</w:t>
      </w:r>
      <w:r w:rsidRPr="002B3C6E">
        <w:t xml:space="preserve"> It mainly affects chickens and is a disease of the utmost economic importance to the poultry industry. This free paper will present the epidemiological and clinical-pathological findings of a clinical case of ILT in an organic flock of 5,000 25-day-old broiler chickens. Clinically, severe respiratory symptoms were observed, such as coughing, dyspnoea, tachypnoea, bloody discharge and high mortality (100–150 chicks per day). Post-mortem examination revealed tracheitis lesions with the presence of bloody mucus in the tracheal lumen, as well as congestion of the conjunctiva and subconjunctival sinuses. Microscopically, characteristic lesions were observed in the tracheal epithelium. Molecular analysis confirmed the presence of ILTV, revealing that it was a wild-type strain and not of vaccine origin. To manage the case, supportive treatment was administered with vitamins, electrolytes and essential oils of peppermint and eucalyptus. At the same time, to tackle the ILT outbreak in the region, the vaccination programm was modified to include the use of a recombinant ILTV vaccine, and biosecurity measures were strengthened. This study highlights the importance of early diagnosis, molecular confirmation and the adaptation of preventive measures for the effective control of ILT in modern poultry farms.</w:t>
      </w:r>
    </w:p>
    <w:p w14:paraId="5EEE662F" w14:textId="77777777" w:rsidR="002B3C6E" w:rsidRPr="002B3C6E" w:rsidRDefault="002B3C6E" w:rsidP="002B3C6E">
      <w:pPr>
        <w:jc w:val="both"/>
      </w:pPr>
    </w:p>
    <w:p w14:paraId="7AD30950" w14:textId="77777777" w:rsidR="002B3C6E" w:rsidRPr="002B3C6E" w:rsidRDefault="002B3C6E" w:rsidP="002B3C6E">
      <w:pPr>
        <w:jc w:val="both"/>
      </w:pPr>
      <w:r w:rsidRPr="002B3C6E">
        <w:rPr>
          <w:b/>
          <w:bCs/>
        </w:rPr>
        <w:t>Bibliography</w:t>
      </w:r>
    </w:p>
    <w:p w14:paraId="0D194604" w14:textId="77777777" w:rsidR="002B3C6E" w:rsidRPr="002B3C6E" w:rsidRDefault="002B3C6E" w:rsidP="002B3C6E">
      <w:pPr>
        <w:jc w:val="both"/>
      </w:pPr>
      <w:r w:rsidRPr="002B3C6E">
        <w:t xml:space="preserve">Agnew-Crumpton, R., Vaz, P. K., Devlin, J. M., O’Rourke, D., Blacker-Smith, H. P., Konsak-Ilievski, B., Hartley, C. A., &amp; Noormohammadi, A. H. (2016). </w:t>
      </w:r>
      <w:r w:rsidRPr="002B3C6E">
        <w:rPr>
          <w:i/>
          <w:iCs/>
        </w:rPr>
        <w:t xml:space="preserve">Spread of the newly emerging infectious laryngotracheitis viruses in Australia. Infection. </w:t>
      </w:r>
      <w:r w:rsidRPr="002B3C6E">
        <w:t>Genetics and Evolution,</w:t>
      </w:r>
      <w:r w:rsidRPr="002B3C6E">
        <w:rPr>
          <w:i/>
          <w:iCs/>
        </w:rPr>
        <w:t xml:space="preserve"> 43</w:t>
      </w:r>
      <w:r w:rsidRPr="002B3C6E">
        <w:t>, 67–73.</w:t>
      </w:r>
    </w:p>
    <w:p w14:paraId="1D9FB5FC" w14:textId="77777777" w:rsidR="002B3C6E" w:rsidRPr="002B3C6E" w:rsidRDefault="002B3C6E" w:rsidP="002B3C6E">
      <w:pPr>
        <w:jc w:val="both"/>
      </w:pPr>
      <w:r w:rsidRPr="002B3C6E">
        <w:t xml:space="preserve">Alaraji, F., Hammadi, H., Abed, A. A., &amp; Khudhair, Y. I. (2019). </w:t>
      </w:r>
      <w:r w:rsidRPr="002B3C6E">
        <w:rPr>
          <w:i/>
          <w:iCs/>
        </w:rPr>
        <w:t>Molecular detection and phylogenetic tree of infectious laryngotracheitis virus in layers in Al-Diwaniyah province, Iraq.</w:t>
      </w:r>
      <w:r w:rsidRPr="002B3C6E">
        <w:t xml:space="preserve"> </w:t>
      </w:r>
      <w:r w:rsidRPr="002B3C6E">
        <w:rPr>
          <w:i/>
          <w:iCs/>
        </w:rPr>
        <w:t>Veterinary World, 12</w:t>
      </w:r>
      <w:r w:rsidRPr="002B3C6E">
        <w:t>, 605–608.</w:t>
      </w:r>
    </w:p>
    <w:p w14:paraId="131556AC" w14:textId="77777777" w:rsidR="002B3C6E" w:rsidRPr="002B3C6E" w:rsidRDefault="002B3C6E" w:rsidP="002B3C6E">
      <w:pPr>
        <w:jc w:val="both"/>
      </w:pPr>
      <w:r w:rsidRPr="002B3C6E">
        <w:t xml:space="preserve">Al-Saadi, M. H. A. (2020). </w:t>
      </w:r>
      <w:r w:rsidRPr="002B3C6E">
        <w:rPr>
          <w:i/>
          <w:iCs/>
        </w:rPr>
        <w:t>Multilocus analysis of Gallid herpesvirus 1 in layer chickens in Iraq.</w:t>
      </w:r>
      <w:r w:rsidRPr="002B3C6E">
        <w:t xml:space="preserve"> </w:t>
      </w:r>
      <w:r w:rsidRPr="002B3C6E">
        <w:rPr>
          <w:i/>
          <w:iCs/>
        </w:rPr>
        <w:t>Veterinary World, 13</w:t>
      </w:r>
      <w:r w:rsidRPr="002B3C6E">
        <w:t>, 170–176.</w:t>
      </w:r>
    </w:p>
    <w:p w14:paraId="34AABAF5" w14:textId="77777777" w:rsidR="002B3C6E" w:rsidRPr="002B3C6E" w:rsidRDefault="002B3C6E" w:rsidP="002B3C6E">
      <w:pPr>
        <w:jc w:val="both"/>
      </w:pPr>
      <w:r w:rsidRPr="002B3C6E">
        <w:t xml:space="preserve">Bagust, T. J., &amp; Johnson, M. A. (1995). </w:t>
      </w:r>
      <w:r w:rsidRPr="002B3C6E">
        <w:rPr>
          <w:i/>
          <w:iCs/>
        </w:rPr>
        <w:t>Avian infectious laryngotracheitis: Virus-host interactions in relation to prospects for eradication.</w:t>
      </w:r>
      <w:r w:rsidRPr="002B3C6E">
        <w:t xml:space="preserve"> </w:t>
      </w:r>
      <w:r w:rsidRPr="002B3C6E">
        <w:rPr>
          <w:i/>
          <w:iCs/>
        </w:rPr>
        <w:t>Avian Pathology, 24</w:t>
      </w:r>
      <w:r w:rsidRPr="002B3C6E">
        <w:t>, 373–391.</w:t>
      </w:r>
    </w:p>
    <w:p w14:paraId="14D324DE" w14:textId="77777777" w:rsidR="002B3C6E" w:rsidRPr="002B3C6E" w:rsidRDefault="002B3C6E" w:rsidP="002B3C6E">
      <w:pPr>
        <w:jc w:val="both"/>
      </w:pPr>
      <w:r w:rsidRPr="002B3C6E">
        <w:lastRenderedPageBreak/>
        <w:t xml:space="preserve">Bayoumi, M., El-Saied, M., Amer, H., Bastami, M., Sakr, E. E., &amp; El-Mahdy, M. (2020). </w:t>
      </w:r>
      <w:r w:rsidRPr="002B3C6E">
        <w:rPr>
          <w:i/>
          <w:iCs/>
        </w:rPr>
        <w:t>Molecular characterization and genetic diversity of the infectious laryngotracheitis virus strains circulating in Egypt during the outbreaks of 2018 and 2019</w:t>
      </w:r>
      <w:r w:rsidRPr="002B3C6E">
        <w:t xml:space="preserve">. </w:t>
      </w:r>
      <w:r w:rsidRPr="002B3C6E">
        <w:rPr>
          <w:i/>
          <w:iCs/>
        </w:rPr>
        <w:t>Archives of Virology, 165</w:t>
      </w:r>
      <w:r w:rsidRPr="002B3C6E">
        <w:t>, 661–670.</w:t>
      </w:r>
    </w:p>
    <w:p w14:paraId="033A26A7" w14:textId="77777777" w:rsidR="002B3C6E" w:rsidRPr="002B3C6E" w:rsidRDefault="002B3C6E" w:rsidP="002B3C6E">
      <w:pPr>
        <w:jc w:val="both"/>
      </w:pPr>
      <w:r w:rsidRPr="002B3C6E">
        <w:t xml:space="preserve">Brugère-Picoux, J., Vaillancourt, J.-P., Shivaprasad, H. L., Venne, D., &amp; Bouzouaia, M. (2015). </w:t>
      </w:r>
      <w:r w:rsidRPr="002B3C6E">
        <w:rPr>
          <w:i/>
          <w:iCs/>
        </w:rPr>
        <w:t>Manual of poultry diseases</w:t>
      </w:r>
      <w:r w:rsidRPr="002B3C6E">
        <w:t xml:space="preserve"> (pp. 221–226). AFAS.</w:t>
      </w:r>
    </w:p>
    <w:p w14:paraId="68E98B83" w14:textId="77777777" w:rsidR="002B3C6E" w:rsidRPr="002B3C6E" w:rsidRDefault="002B3C6E" w:rsidP="002B3C6E">
      <w:pPr>
        <w:jc w:val="both"/>
      </w:pPr>
      <w:r w:rsidRPr="002B3C6E">
        <w:t xml:space="preserve">Callison, S. A., Hilt, D. A., Boynton, T. O., Sample, B. F., Robison, R., Swayne, D. E., &amp; Jackwood, M. W. (2006). </w:t>
      </w:r>
      <w:r w:rsidRPr="002B3C6E">
        <w:rPr>
          <w:i/>
          <w:iCs/>
        </w:rPr>
        <w:t>Development and evaluation of a real-time Taqman RT-PCR assay for the detection of infectious bronchitis virus from infected chickens.</w:t>
      </w:r>
      <w:r w:rsidRPr="002B3C6E">
        <w:t xml:space="preserve"> </w:t>
      </w:r>
      <w:r w:rsidRPr="002B3C6E">
        <w:rPr>
          <w:i/>
          <w:iCs/>
        </w:rPr>
        <w:t>Journal of Virological Methods, 138</w:t>
      </w:r>
      <w:r w:rsidRPr="002B3C6E">
        <w:t>, 60–65.</w:t>
      </w:r>
    </w:p>
    <w:p w14:paraId="629A1F4B" w14:textId="77777777" w:rsidR="002B3C6E" w:rsidRPr="002B3C6E" w:rsidRDefault="002B3C6E" w:rsidP="002B3C6E">
      <w:pPr>
        <w:jc w:val="both"/>
      </w:pPr>
      <w:r w:rsidRPr="002B3C6E">
        <w:t xml:space="preserve">Dolka, I., Sapierzyński, R., Bielecki, W., Malicka, E., Żbikowski, A., &amp; Szeleszczuk, P. (2012). </w:t>
      </w:r>
      <w:r w:rsidRPr="002B3C6E">
        <w:rPr>
          <w:i/>
          <w:iCs/>
        </w:rPr>
        <w:t>Histopathology in diagnosis of broiler chicken and layer diseases—Review of cases 1999–2010.</w:t>
      </w:r>
      <w:r w:rsidRPr="002B3C6E">
        <w:t xml:space="preserve"> </w:t>
      </w:r>
      <w:r w:rsidRPr="002B3C6E">
        <w:rPr>
          <w:i/>
          <w:iCs/>
        </w:rPr>
        <w:t>Polish Journal of Veterinary Sciences, 15</w:t>
      </w:r>
      <w:r w:rsidRPr="002B3C6E">
        <w:t>, 773–779.</w:t>
      </w:r>
    </w:p>
    <w:p w14:paraId="4DAF7702" w14:textId="77777777" w:rsidR="002B3C6E" w:rsidRPr="002B3C6E" w:rsidRDefault="002B3C6E" w:rsidP="002B3C6E">
      <w:pPr>
        <w:jc w:val="both"/>
      </w:pPr>
      <w:r w:rsidRPr="002B3C6E">
        <w:t xml:space="preserve">Esaki, M., Noland, L., Eddins, T., Godoy, A., Saeki, S., Saitoh, S., Yasuda, A., &amp; Dorsey, K. M. (2013). </w:t>
      </w:r>
      <w:r w:rsidRPr="002B3C6E">
        <w:rPr>
          <w:i/>
          <w:iCs/>
        </w:rPr>
        <w:t>Safety and efficacy of a turkey herpesvirus vector laryngotracheitis vaccine for chickens.</w:t>
      </w:r>
      <w:r w:rsidRPr="002B3C6E">
        <w:t xml:space="preserve"> </w:t>
      </w:r>
      <w:r w:rsidRPr="002B3C6E">
        <w:rPr>
          <w:i/>
          <w:iCs/>
        </w:rPr>
        <w:t>Avian Diseases, 57</w:t>
      </w:r>
      <w:r w:rsidRPr="002B3C6E">
        <w:t>, 192–198.</w:t>
      </w:r>
    </w:p>
    <w:p w14:paraId="5F755DBE" w14:textId="77777777" w:rsidR="002B3C6E" w:rsidRPr="002B3C6E" w:rsidRDefault="002B3C6E" w:rsidP="002B3C6E">
      <w:pPr>
        <w:jc w:val="both"/>
      </w:pPr>
      <w:r w:rsidRPr="002B3C6E">
        <w:t xml:space="preserve">García, M. (2017). </w:t>
      </w:r>
      <w:r w:rsidRPr="002B3C6E">
        <w:rPr>
          <w:i/>
          <w:iCs/>
        </w:rPr>
        <w:t>Current and future vaccines and vaccination strategies against infectious laryngotracheitis (ILT) respiratory disease of poultry.</w:t>
      </w:r>
      <w:r w:rsidRPr="002B3C6E">
        <w:t xml:space="preserve"> </w:t>
      </w:r>
      <w:r w:rsidRPr="002B3C6E">
        <w:rPr>
          <w:i/>
          <w:iCs/>
        </w:rPr>
        <w:t>Veterinary Microbiology, 206</w:t>
      </w:r>
      <w:r w:rsidRPr="002B3C6E">
        <w:t>, 157–162.</w:t>
      </w:r>
    </w:p>
    <w:p w14:paraId="349A2FF2" w14:textId="77777777" w:rsidR="002B3C6E" w:rsidRPr="002B3C6E" w:rsidRDefault="002B3C6E" w:rsidP="002B3C6E">
      <w:pPr>
        <w:jc w:val="both"/>
      </w:pPr>
      <w:r w:rsidRPr="002B3C6E">
        <w:t xml:space="preserve">García, M., &amp; Zavala, G. (2019). </w:t>
      </w:r>
      <w:r w:rsidRPr="002B3C6E">
        <w:rPr>
          <w:i/>
          <w:iCs/>
        </w:rPr>
        <w:t>Commercial vaccines and vaccination strategies against infectious laryngotracheitis: What we have learned and knowledge gaps that remain.</w:t>
      </w:r>
      <w:r w:rsidRPr="002B3C6E">
        <w:t xml:space="preserve"> </w:t>
      </w:r>
      <w:r w:rsidRPr="002B3C6E">
        <w:rPr>
          <w:i/>
          <w:iCs/>
        </w:rPr>
        <w:t>Avian Diseases, 63</w:t>
      </w:r>
      <w:r w:rsidRPr="002B3C6E">
        <w:t>, 325–334.</w:t>
      </w:r>
    </w:p>
    <w:p w14:paraId="1A2E1C4D" w14:textId="77777777" w:rsidR="002B3C6E" w:rsidRPr="002B3C6E" w:rsidRDefault="002B3C6E" w:rsidP="002B3C6E">
      <w:pPr>
        <w:jc w:val="both"/>
      </w:pPr>
      <w:r w:rsidRPr="002B3C6E">
        <w:t xml:space="preserve">Georgopoulou, I., &amp; Tsiouris, V. (2010). </w:t>
      </w:r>
      <w:r w:rsidRPr="002B3C6E">
        <w:rPr>
          <w:i/>
          <w:iCs/>
        </w:rPr>
        <w:t>The potential role of migratory birds in the transmission of zoonoses.</w:t>
      </w:r>
      <w:r w:rsidRPr="002B3C6E">
        <w:t xml:space="preserve"> </w:t>
      </w:r>
      <w:r w:rsidRPr="002B3C6E">
        <w:rPr>
          <w:i/>
          <w:iCs/>
        </w:rPr>
        <w:t>Veterinaria Italiana, 44</w:t>
      </w:r>
      <w:r w:rsidRPr="002B3C6E">
        <w:t>, 671–677.</w:t>
      </w:r>
    </w:p>
    <w:p w14:paraId="76007117" w14:textId="77777777" w:rsidR="002B3C6E" w:rsidRPr="002B3C6E" w:rsidRDefault="002B3C6E" w:rsidP="002B3C6E">
      <w:pPr>
        <w:jc w:val="both"/>
      </w:pPr>
      <w:r w:rsidRPr="002B3C6E">
        <w:t xml:space="preserve">Han, M. G., &amp; Kim, S. J. (2001). </w:t>
      </w:r>
      <w:r w:rsidRPr="002B3C6E">
        <w:rPr>
          <w:i/>
          <w:iCs/>
        </w:rPr>
        <w:t>Analysis of Korean strains of infectious laryngotracheitis virus by nucleotide sequences and restriction fragment length polymorphism. Veterinary Microbiology, 83</w:t>
      </w:r>
      <w:r w:rsidRPr="002B3C6E">
        <w:t>, 321–331.</w:t>
      </w:r>
    </w:p>
    <w:p w14:paraId="09FF6543" w14:textId="77777777" w:rsidR="002B3C6E" w:rsidRPr="002B3C6E" w:rsidRDefault="002B3C6E" w:rsidP="002B3C6E">
      <w:pPr>
        <w:jc w:val="both"/>
      </w:pPr>
      <w:r w:rsidRPr="002B3C6E">
        <w:t xml:space="preserve">Koutoulis, K. (2012, April 5–8). </w:t>
      </w:r>
      <w:r w:rsidRPr="002B3C6E">
        <w:rPr>
          <w:i/>
          <w:iCs/>
        </w:rPr>
        <w:t>Present and future of poultry industry in Greece</w:t>
      </w:r>
      <w:r w:rsidRPr="002B3C6E">
        <w:t xml:space="preserve"> [Paper presentation]. 12th Pan-Hellenic Veterinary Congress, Athens, Greece.</w:t>
      </w:r>
    </w:p>
    <w:p w14:paraId="25DC7004" w14:textId="77777777" w:rsidR="002B3C6E" w:rsidRPr="002B3C6E" w:rsidRDefault="002B3C6E" w:rsidP="002B3C6E">
      <w:pPr>
        <w:jc w:val="both"/>
      </w:pPr>
      <w:r w:rsidRPr="002B3C6E">
        <w:t xml:space="preserve">Kumar, S., Stecher, G., &amp; Tamura, K. (2016). </w:t>
      </w:r>
      <w:r w:rsidRPr="002B3C6E">
        <w:rPr>
          <w:i/>
          <w:iCs/>
        </w:rPr>
        <w:t>MEGA7: Molecular evolutionary genetics analysis version 7.0 for bigger datasets.</w:t>
      </w:r>
      <w:r w:rsidRPr="002B3C6E">
        <w:t xml:space="preserve"> </w:t>
      </w:r>
      <w:r w:rsidRPr="002B3C6E">
        <w:rPr>
          <w:i/>
          <w:iCs/>
        </w:rPr>
        <w:t>Molecular Biology and Evolution, 33</w:t>
      </w:r>
      <w:r w:rsidRPr="002B3C6E">
        <w:t>, 1870–1874.</w:t>
      </w:r>
    </w:p>
    <w:p w14:paraId="14C21788" w14:textId="77777777" w:rsidR="002B3C6E" w:rsidRPr="002B3C6E" w:rsidRDefault="002B3C6E" w:rsidP="002B3C6E">
      <w:pPr>
        <w:jc w:val="both"/>
      </w:pPr>
      <w:r w:rsidRPr="002B3C6E">
        <w:t xml:space="preserve">Li, H., Wang, F., Han, Z., Gao, Q., Li, H., Shao, Y., Sun, N., &amp; Liu, S. (2015). </w:t>
      </w:r>
      <w:r w:rsidRPr="002B3C6E">
        <w:rPr>
          <w:i/>
          <w:iCs/>
        </w:rPr>
        <w:t>Genome-wide gene expression analysis identifies the proto-oncogene tyrosine-protein kinase Src as a crucial virulence determinant of infectious laryngotracheitis virus in chicken cells.</w:t>
      </w:r>
      <w:r w:rsidRPr="002B3C6E">
        <w:t xml:space="preserve"> </w:t>
      </w:r>
      <w:r w:rsidRPr="002B3C6E">
        <w:rPr>
          <w:i/>
          <w:iCs/>
        </w:rPr>
        <w:t>Journal of Virology, 90</w:t>
      </w:r>
      <w:r w:rsidRPr="002B3C6E">
        <w:t>, 9–21.</w:t>
      </w:r>
    </w:p>
    <w:p w14:paraId="750D7A38" w14:textId="77777777" w:rsidR="002B3C6E" w:rsidRPr="002B3C6E" w:rsidRDefault="002B3C6E" w:rsidP="002B3C6E">
      <w:pPr>
        <w:jc w:val="both"/>
      </w:pPr>
      <w:r w:rsidRPr="002B3C6E">
        <w:t xml:space="preserve">Loncoman, C. A. (2018). </w:t>
      </w:r>
      <w:r w:rsidRPr="002B3C6E">
        <w:rPr>
          <w:i/>
          <w:iCs/>
        </w:rPr>
        <w:t>Recombination of infectious laryngotracheitis virus (ILTV) and the role of vaccination</w:t>
      </w:r>
      <w:r w:rsidRPr="002B3C6E">
        <w:t xml:space="preserve"> [Doctoral dissertation, The University of Melbourne].</w:t>
      </w:r>
    </w:p>
    <w:p w14:paraId="2116B0EE" w14:textId="77777777" w:rsidR="002B3C6E" w:rsidRPr="002B3C6E" w:rsidRDefault="002B3C6E" w:rsidP="002B3C6E">
      <w:pPr>
        <w:jc w:val="both"/>
      </w:pPr>
      <w:r w:rsidRPr="002B3C6E">
        <w:t xml:space="preserve">Loncoman, C. A., Vaz, P. K., Coppo, M. J., Hartley, C. A., Morera, F. J., Browning, G. F., &amp; Devlin, J. M. (2017). </w:t>
      </w:r>
      <w:r w:rsidRPr="002B3C6E">
        <w:rPr>
          <w:i/>
          <w:iCs/>
        </w:rPr>
        <w:t>Natural recombination in alphaherpesviruses: Insights into viral evolution through full genome sequencing and sequence analysis.</w:t>
      </w:r>
      <w:r w:rsidRPr="002B3C6E">
        <w:t xml:space="preserve"> </w:t>
      </w:r>
      <w:r w:rsidRPr="002B3C6E">
        <w:rPr>
          <w:i/>
          <w:iCs/>
        </w:rPr>
        <w:t>Infection, Genetics and Evolution, 49</w:t>
      </w:r>
      <w:r w:rsidRPr="002B3C6E">
        <w:t>, 174–185.</w:t>
      </w:r>
    </w:p>
    <w:p w14:paraId="7E8E543A" w14:textId="77777777" w:rsidR="002B3C6E" w:rsidRPr="002B3C6E" w:rsidRDefault="002B3C6E" w:rsidP="002B3C6E">
      <w:pPr>
        <w:jc w:val="both"/>
      </w:pPr>
      <w:r w:rsidRPr="002B3C6E">
        <w:t xml:space="preserve">Menasse, I., Seimenis, A., Veimos, G., &amp; Loucas, S. (1977). </w:t>
      </w:r>
      <w:r w:rsidRPr="002B3C6E">
        <w:rPr>
          <w:i/>
          <w:iCs/>
        </w:rPr>
        <w:t>The avian infectious laryngotracheitis in Greece. Epizootiological data, aspect of the disease and measures of control.</w:t>
      </w:r>
      <w:r w:rsidRPr="002B3C6E">
        <w:t xml:space="preserve"> </w:t>
      </w:r>
      <w:r w:rsidRPr="002B3C6E">
        <w:rPr>
          <w:i/>
          <w:iCs/>
        </w:rPr>
        <w:t>Journal of the Hellenic Veterinary Medical Society, 28</w:t>
      </w:r>
      <w:r w:rsidRPr="002B3C6E">
        <w:t>, 3–18.</w:t>
      </w:r>
    </w:p>
    <w:p w14:paraId="354236FF" w14:textId="77777777" w:rsidR="002B3C6E" w:rsidRPr="002B3C6E" w:rsidRDefault="002B3C6E" w:rsidP="002B3C6E">
      <w:pPr>
        <w:jc w:val="both"/>
      </w:pPr>
      <w:r w:rsidRPr="002B3C6E">
        <w:lastRenderedPageBreak/>
        <w:t xml:space="preserve">Menendez, K. R., García, M., Spatz, S., &amp; Tablante, N. L. (2014). </w:t>
      </w:r>
      <w:r w:rsidRPr="002B3C6E">
        <w:rPr>
          <w:i/>
          <w:iCs/>
        </w:rPr>
        <w:t>Molecular epidemiology of infectious laryngotracheitis: A review.</w:t>
      </w:r>
      <w:r w:rsidRPr="002B3C6E">
        <w:t xml:space="preserve"> </w:t>
      </w:r>
      <w:r w:rsidRPr="002B3C6E">
        <w:rPr>
          <w:i/>
          <w:iCs/>
        </w:rPr>
        <w:t>Avian Pathology, 43</w:t>
      </w:r>
      <w:r w:rsidRPr="002B3C6E">
        <w:t>, 108–117.</w:t>
      </w:r>
    </w:p>
    <w:p w14:paraId="4844AD47" w14:textId="77777777" w:rsidR="002B3C6E" w:rsidRPr="002B3C6E" w:rsidRDefault="002B3C6E" w:rsidP="002B3C6E">
      <w:pPr>
        <w:jc w:val="both"/>
      </w:pPr>
      <w:r w:rsidRPr="002B3C6E">
        <w:t xml:space="preserve">Molini, U., Aikukutu, G., Khaiseb, S., Kahler, B., Van Der Westhuizen, J., Cattoli, G., &amp; Dundon, W. G. (2019). </w:t>
      </w:r>
      <w:r w:rsidRPr="002B3C6E">
        <w:rPr>
          <w:i/>
          <w:iCs/>
        </w:rPr>
        <w:t>Investigation of infectious laryngotracheitis outbreaks in Namibia in 2018.</w:t>
      </w:r>
      <w:r w:rsidRPr="002B3C6E">
        <w:t xml:space="preserve"> </w:t>
      </w:r>
      <w:r w:rsidRPr="002B3C6E">
        <w:rPr>
          <w:i/>
          <w:iCs/>
        </w:rPr>
        <w:t>Tropical Animal Health and Production, 51</w:t>
      </w:r>
      <w:r w:rsidRPr="002B3C6E">
        <w:t>, 2105–2108.</w:t>
      </w:r>
    </w:p>
    <w:p w14:paraId="0DB85211" w14:textId="77777777" w:rsidR="002B3C6E" w:rsidRPr="002B3C6E" w:rsidRDefault="002B3C6E" w:rsidP="002B3C6E">
      <w:pPr>
        <w:jc w:val="both"/>
      </w:pPr>
      <w:r w:rsidRPr="002B3C6E">
        <w:t xml:space="preserve">Moreno, A., Piccirillo, A., Mondin, A., Morandini, E., Gavazzi, L., &amp; Cordioli, P. (2010). </w:t>
      </w:r>
      <w:r w:rsidRPr="002B3C6E">
        <w:rPr>
          <w:i/>
          <w:iCs/>
        </w:rPr>
        <w:t>Epidemic of infectious laryngotracheitis in Italy: Characterization of virus isolates by PCR–restriction fragment length polymorphism and sequence analysis. Avian Diseases, 54</w:t>
      </w:r>
      <w:r w:rsidRPr="002B3C6E">
        <w:t>, 1172–1177.</w:t>
      </w:r>
    </w:p>
    <w:p w14:paraId="7330FE69" w14:textId="77777777" w:rsidR="002B3C6E" w:rsidRPr="002B3C6E" w:rsidRDefault="002B3C6E" w:rsidP="002B3C6E">
      <w:pPr>
        <w:jc w:val="both"/>
      </w:pPr>
      <w:r w:rsidRPr="002B3C6E">
        <w:t xml:space="preserve">Neff, C., Sudler, C., &amp; Hoop, R. K. (2008). </w:t>
      </w:r>
      <w:r w:rsidRPr="002B3C6E">
        <w:rPr>
          <w:i/>
          <w:iCs/>
        </w:rPr>
        <w:t>Characterization of Western European field isolates and vaccine strains of avian infectious laryngotracheitis virus by restriction fragment length polymorphism and sequence analysis.</w:t>
      </w:r>
      <w:r w:rsidRPr="002B3C6E">
        <w:t xml:space="preserve"> </w:t>
      </w:r>
      <w:r w:rsidRPr="002B3C6E">
        <w:rPr>
          <w:i/>
          <w:iCs/>
        </w:rPr>
        <w:t>Avian Diseases, 52</w:t>
      </w:r>
      <w:r w:rsidRPr="002B3C6E">
        <w:t>, 278–283.</w:t>
      </w:r>
    </w:p>
    <w:p w14:paraId="399CF0BD" w14:textId="77777777" w:rsidR="002B3C6E" w:rsidRPr="002B3C6E" w:rsidRDefault="002B3C6E" w:rsidP="002B3C6E">
      <w:pPr>
        <w:jc w:val="both"/>
      </w:pPr>
      <w:r w:rsidRPr="002B3C6E">
        <w:t xml:space="preserve">OIE. (2021). </w:t>
      </w:r>
      <w:r w:rsidRPr="002B3C6E">
        <w:rPr>
          <w:i/>
          <w:iCs/>
        </w:rPr>
        <w:t>World Animal Health Information System</w:t>
      </w:r>
      <w:r w:rsidRPr="002B3C6E">
        <w:t xml:space="preserve">. Retrieved February 15, 2021, from </w:t>
      </w:r>
      <w:hyperlink r:id="rId139" w:history="1">
        <w:r w:rsidRPr="002B3C6E">
          <w:rPr>
            <w:rStyle w:val="-"/>
          </w:rPr>
          <w:t>https://www.oie.int/wahis_2/public/wahid.php/Diseaseinformation/statuslist</w:t>
        </w:r>
      </w:hyperlink>
    </w:p>
    <w:p w14:paraId="54CC6065" w14:textId="77777777" w:rsidR="002B3C6E" w:rsidRPr="002B3C6E" w:rsidRDefault="002B3C6E" w:rsidP="002B3C6E">
      <w:pPr>
        <w:jc w:val="both"/>
      </w:pPr>
      <w:r w:rsidRPr="002B3C6E">
        <w:t xml:space="preserve">Oldoni, I., Rodríguez-Avila, A., Riblet, S. M., Zavala, G., &amp; García, M. (2009). </w:t>
      </w:r>
      <w:r w:rsidRPr="002B3C6E">
        <w:rPr>
          <w:i/>
          <w:iCs/>
        </w:rPr>
        <w:t>Pathogenicity and growth characteristics of selected infectious laryngotracheitis virus strains from the United States.</w:t>
      </w:r>
      <w:r w:rsidRPr="002B3C6E">
        <w:t xml:space="preserve"> </w:t>
      </w:r>
      <w:r w:rsidRPr="002B3C6E">
        <w:rPr>
          <w:i/>
          <w:iCs/>
        </w:rPr>
        <w:t>Avian Pathology, 38</w:t>
      </w:r>
      <w:r w:rsidRPr="002B3C6E">
        <w:t>, 47–53.</w:t>
      </w:r>
    </w:p>
    <w:p w14:paraId="3F9AE572" w14:textId="77777777" w:rsidR="002B3C6E" w:rsidRPr="002B3C6E" w:rsidRDefault="002B3C6E" w:rsidP="002B3C6E">
      <w:pPr>
        <w:jc w:val="both"/>
      </w:pPr>
      <w:r w:rsidRPr="002B3C6E">
        <w:t xml:space="preserve">Parra, S., Nuñez, L., &amp; Ferreira, A. (2016). </w:t>
      </w:r>
      <w:r w:rsidRPr="002B3C6E">
        <w:rPr>
          <w:i/>
          <w:iCs/>
        </w:rPr>
        <w:t>Epidemiology of avian infectious laryngotracheitis with special focus to South America: An update.</w:t>
      </w:r>
      <w:r w:rsidRPr="002B3C6E">
        <w:t xml:space="preserve"> </w:t>
      </w:r>
      <w:r w:rsidRPr="002B3C6E">
        <w:rPr>
          <w:i/>
          <w:iCs/>
        </w:rPr>
        <w:t>Brazilian Journal of Poultry Science, 18</w:t>
      </w:r>
      <w:r w:rsidRPr="002B3C6E">
        <w:t>, 551–562.</w:t>
      </w:r>
    </w:p>
    <w:p w14:paraId="34612FB0" w14:textId="77777777" w:rsidR="002B3C6E" w:rsidRPr="002B3C6E" w:rsidRDefault="002B3C6E" w:rsidP="002B3C6E">
      <w:pPr>
        <w:jc w:val="both"/>
      </w:pPr>
      <w:r w:rsidRPr="002B3C6E">
        <w:t xml:space="preserve">Piccirillo, A., Lavezzo, E., Niero, G., Moreno, A., Massi, P., Franchin, E., Toppo, S., Salata, C., &amp; Palù, G. (2016). </w:t>
      </w:r>
      <w:r w:rsidRPr="002B3C6E">
        <w:rPr>
          <w:i/>
          <w:iCs/>
        </w:rPr>
        <w:t>Full genome sequence based comparative study of wild-type and vaccine strains of infectious laryngotracheitis virus from Italy.</w:t>
      </w:r>
      <w:r w:rsidRPr="002B3C6E">
        <w:t xml:space="preserve"> </w:t>
      </w:r>
      <w:r w:rsidRPr="002B3C6E">
        <w:rPr>
          <w:i/>
          <w:iCs/>
        </w:rPr>
        <w:t>PLoS ONE, 11</w:t>
      </w:r>
      <w:r w:rsidRPr="002B3C6E">
        <w:t>, e0149529.</w:t>
      </w:r>
    </w:p>
    <w:p w14:paraId="0F6F54A6" w14:textId="77777777" w:rsidR="002B3C6E" w:rsidRPr="002B3C6E" w:rsidRDefault="002B3C6E" w:rsidP="002B3C6E">
      <w:pPr>
        <w:jc w:val="both"/>
      </w:pPr>
      <w:r w:rsidRPr="002B3C6E">
        <w:t xml:space="preserve">Pitesky, M., Chin, R. P., Carnaccini, S., Sentíes–Cué, C. G., Charlton, B., Woolcock, P. R., &amp; Shivaprasad, H. L. (2014). </w:t>
      </w:r>
      <w:r w:rsidRPr="002B3C6E">
        <w:rPr>
          <w:i/>
          <w:iCs/>
        </w:rPr>
        <w:t>Spatial and temporal epidemiology of infectious laryngotracheitis in central California: 2000–2012.</w:t>
      </w:r>
      <w:r w:rsidRPr="002B3C6E">
        <w:t xml:space="preserve"> </w:t>
      </w:r>
      <w:r w:rsidRPr="002B3C6E">
        <w:rPr>
          <w:i/>
          <w:iCs/>
        </w:rPr>
        <w:t>Avian Diseases, 58</w:t>
      </w:r>
      <w:r w:rsidRPr="002B3C6E">
        <w:t>, 558–565.</w:t>
      </w:r>
    </w:p>
    <w:p w14:paraId="3D0F1263" w14:textId="77777777" w:rsidR="002B3C6E" w:rsidRPr="002B3C6E" w:rsidRDefault="002B3C6E" w:rsidP="002B3C6E">
      <w:pPr>
        <w:jc w:val="both"/>
      </w:pPr>
      <w:r w:rsidRPr="002B3C6E">
        <w:t xml:space="preserve">Sary, K., Chénier, S., Gagnon, C. A., Shivaprasad, H. L., Sylvestre, D., &amp; Boulianne, M. (2017). </w:t>
      </w:r>
      <w:r w:rsidRPr="002B3C6E">
        <w:rPr>
          <w:i/>
          <w:iCs/>
        </w:rPr>
        <w:t>Esophagitis and pharyngitis associated with avian infectious laryngotracheitis in backyard chickens: Two cases.</w:t>
      </w:r>
      <w:r w:rsidRPr="002B3C6E">
        <w:t xml:space="preserve"> </w:t>
      </w:r>
      <w:r w:rsidRPr="002B3C6E">
        <w:rPr>
          <w:i/>
          <w:iCs/>
        </w:rPr>
        <w:t>Avian Diseases, 61</w:t>
      </w:r>
      <w:r w:rsidRPr="002B3C6E">
        <w:t>, 255–260.</w:t>
      </w:r>
    </w:p>
    <w:p w14:paraId="06412EA5" w14:textId="77777777" w:rsidR="002B3C6E" w:rsidRPr="002B3C6E" w:rsidRDefault="002B3C6E" w:rsidP="002B3C6E">
      <w:pPr>
        <w:jc w:val="both"/>
      </w:pPr>
      <w:r w:rsidRPr="002B3C6E">
        <w:t xml:space="preserve">Swayne, D. E., Boulianne, M., Logue, C. M., Mcdougald, L. R., Nair, V., &amp; Suarez, D. L. (2020). </w:t>
      </w:r>
      <w:r w:rsidRPr="002B3C6E">
        <w:rPr>
          <w:i/>
          <w:iCs/>
        </w:rPr>
        <w:t>Diseases of poultry</w:t>
      </w:r>
      <w:r w:rsidRPr="002B3C6E">
        <w:t xml:space="preserve"> (14th ed., pp. 189–209). Wiley-Blackwell.</w:t>
      </w:r>
    </w:p>
    <w:p w14:paraId="0DA718C8" w14:textId="77777777" w:rsidR="002B3C6E" w:rsidRPr="002B3C6E" w:rsidRDefault="002B3C6E" w:rsidP="002B3C6E">
      <w:pPr>
        <w:jc w:val="both"/>
      </w:pPr>
      <w:r w:rsidRPr="002B3C6E">
        <w:t xml:space="preserve">Tesfaye, A., Sahle, M., Sori, T., Kassa, T., Garoma, A., Koran, T., Dima, C., Guyassa, C., Hilu, H., Guta, S., et al. (2019). </w:t>
      </w:r>
      <w:r w:rsidRPr="002B3C6E">
        <w:rPr>
          <w:i/>
          <w:iCs/>
        </w:rPr>
        <w:t>Infectious laryngotracheitis virus in commercial and backyard chicken production systems in central and south Ethiopia (First report) ILT in Ethiopian poultry production</w:t>
      </w:r>
      <w:r w:rsidRPr="002B3C6E">
        <w:t xml:space="preserve">. </w:t>
      </w:r>
      <w:r w:rsidRPr="002B3C6E">
        <w:rPr>
          <w:i/>
          <w:iCs/>
        </w:rPr>
        <w:t>Journal of Applied Poultry Research, 28</w:t>
      </w:r>
      <w:r w:rsidRPr="002B3C6E">
        <w:t>, 1324–1329.</w:t>
      </w:r>
    </w:p>
    <w:p w14:paraId="5E6E63E8" w14:textId="77777777" w:rsidR="002B3C6E" w:rsidRPr="002B3C6E" w:rsidRDefault="002B3C6E" w:rsidP="002B3C6E">
      <w:pPr>
        <w:jc w:val="both"/>
      </w:pPr>
      <w:r w:rsidRPr="002B3C6E">
        <w:t xml:space="preserve">Tsiouris, V., Mavromati, N., Kiskinis, K., Mantzios, T., Homonnay, Z. G., Mato, T., Albert, M., Kiss, I., &amp; Georgopoulou, I. (n.d.). </w:t>
      </w:r>
      <w:r w:rsidRPr="002B3C6E">
        <w:rPr>
          <w:i/>
          <w:iCs/>
        </w:rPr>
        <w:t>A case of infectious laryngotracheitis in an organic broiler chicken farm in Greece</w:t>
      </w:r>
      <w:r w:rsidRPr="002B3C6E">
        <w:t xml:space="preserve"> [Case report].</w:t>
      </w:r>
    </w:p>
    <w:p w14:paraId="4BFB9E69" w14:textId="77777777" w:rsidR="002B3C6E" w:rsidRPr="002B3C6E" w:rsidRDefault="002B3C6E" w:rsidP="002B3C6E">
      <w:pPr>
        <w:jc w:val="both"/>
      </w:pPr>
      <w:r w:rsidRPr="002B3C6E">
        <w:t xml:space="preserve">Volkova, V., Thornton, D., Hubbard, S. A., Magee, D., Cummings, T., Luna, L., Watson, J., &amp; Wills, R. (2012). </w:t>
      </w:r>
      <w:r w:rsidRPr="002B3C6E">
        <w:rPr>
          <w:i/>
          <w:iCs/>
        </w:rPr>
        <w:t>Factors associated with introduction of infectious laryngotracheitis virus on broiler farms during a localized outbreak.</w:t>
      </w:r>
      <w:r w:rsidRPr="002B3C6E">
        <w:t xml:space="preserve"> </w:t>
      </w:r>
      <w:r w:rsidRPr="002B3C6E">
        <w:rPr>
          <w:i/>
          <w:iCs/>
        </w:rPr>
        <w:t>Avian Diseases, 56</w:t>
      </w:r>
      <w:r w:rsidRPr="002B3C6E">
        <w:t>, 521–528.</w:t>
      </w:r>
    </w:p>
    <w:p w14:paraId="0EF907E7" w14:textId="77777777" w:rsidR="002B3C6E" w:rsidRPr="002B3C6E" w:rsidRDefault="002B3C6E" w:rsidP="002B3C6E">
      <w:pPr>
        <w:jc w:val="both"/>
      </w:pPr>
      <w:r w:rsidRPr="002B3C6E">
        <w:lastRenderedPageBreak/>
        <w:t xml:space="preserve">Wolfrum, N. (2020). </w:t>
      </w:r>
      <w:r w:rsidRPr="002B3C6E">
        <w:rPr>
          <w:i/>
          <w:iCs/>
        </w:rPr>
        <w:t>Infectious laryngotracheitis: An update on current approaches for prevention of an old disease.</w:t>
      </w:r>
      <w:r w:rsidRPr="002B3C6E">
        <w:t xml:space="preserve"> </w:t>
      </w:r>
      <w:r w:rsidRPr="002B3C6E">
        <w:rPr>
          <w:i/>
          <w:iCs/>
        </w:rPr>
        <w:t>Journal of Animal Science, 98</w:t>
      </w:r>
      <w:r w:rsidRPr="002B3C6E">
        <w:t>, S27–S35.</w:t>
      </w:r>
    </w:p>
    <w:p w14:paraId="02B0CFA9" w14:textId="77777777" w:rsidR="002B3C6E" w:rsidRDefault="002B3C6E" w:rsidP="002B3C6E">
      <w:pPr>
        <w:jc w:val="both"/>
      </w:pPr>
      <w:r w:rsidRPr="002B3C6E">
        <w:t xml:space="preserve">Yang, Z., Murata, S., Fujisawa, S., Takehara, M., Katakura, K., Hmoon, M. M., Win, S. Y., Bawm, S., Konnai, S., &amp; Ohashi, K. (2020). </w:t>
      </w:r>
      <w:r w:rsidRPr="002B3C6E">
        <w:rPr>
          <w:i/>
          <w:iCs/>
        </w:rPr>
        <w:t>Molecular detection and genetic characterization of infectious laryngotracheitis virus in poultry in Myanmar.</w:t>
      </w:r>
      <w:r w:rsidRPr="002B3C6E">
        <w:t xml:space="preserve"> </w:t>
      </w:r>
      <w:r w:rsidRPr="002B3C6E">
        <w:rPr>
          <w:i/>
          <w:iCs/>
        </w:rPr>
        <w:t>BMC Veterinary Research, 16</w:t>
      </w:r>
      <w:r w:rsidRPr="002B3C6E">
        <w:t>, 1–10. </w:t>
      </w:r>
    </w:p>
    <w:p w14:paraId="443F8512" w14:textId="77777777" w:rsidR="002B3C6E" w:rsidRDefault="002B3C6E" w:rsidP="002B3C6E">
      <w:pPr>
        <w:jc w:val="both"/>
      </w:pPr>
    </w:p>
    <w:p w14:paraId="75C77654" w14:textId="77777777" w:rsidR="002B3C6E" w:rsidRDefault="002B3C6E" w:rsidP="002B3C6E">
      <w:pPr>
        <w:jc w:val="both"/>
      </w:pPr>
    </w:p>
    <w:p w14:paraId="03C53BF0" w14:textId="77777777" w:rsidR="002B3C6E" w:rsidRDefault="002B3C6E" w:rsidP="002B3C6E">
      <w:pPr>
        <w:jc w:val="both"/>
      </w:pPr>
    </w:p>
    <w:p w14:paraId="26884D7E" w14:textId="77777777" w:rsidR="002B3C6E" w:rsidRDefault="002B3C6E" w:rsidP="002B3C6E">
      <w:pPr>
        <w:jc w:val="both"/>
      </w:pPr>
    </w:p>
    <w:p w14:paraId="5F3A56E1" w14:textId="77777777" w:rsidR="002B3C6E" w:rsidRDefault="002B3C6E" w:rsidP="002B3C6E">
      <w:pPr>
        <w:jc w:val="both"/>
      </w:pPr>
    </w:p>
    <w:p w14:paraId="66EA5AE6" w14:textId="77777777" w:rsidR="002B3C6E" w:rsidRDefault="002B3C6E" w:rsidP="002B3C6E">
      <w:pPr>
        <w:jc w:val="both"/>
      </w:pPr>
    </w:p>
    <w:p w14:paraId="7C48EE64" w14:textId="77777777" w:rsidR="002B3C6E" w:rsidRDefault="002B3C6E" w:rsidP="002B3C6E">
      <w:pPr>
        <w:jc w:val="both"/>
      </w:pPr>
    </w:p>
    <w:p w14:paraId="1A3F6212" w14:textId="77777777" w:rsidR="002B3C6E" w:rsidRDefault="002B3C6E" w:rsidP="002B3C6E">
      <w:pPr>
        <w:jc w:val="both"/>
      </w:pPr>
    </w:p>
    <w:p w14:paraId="3F5A3A71" w14:textId="77777777" w:rsidR="002B3C6E" w:rsidRDefault="002B3C6E" w:rsidP="002B3C6E">
      <w:pPr>
        <w:jc w:val="both"/>
      </w:pPr>
    </w:p>
    <w:p w14:paraId="021AC5D7" w14:textId="77777777" w:rsidR="002B3C6E" w:rsidRDefault="002B3C6E" w:rsidP="002B3C6E">
      <w:pPr>
        <w:jc w:val="both"/>
      </w:pPr>
    </w:p>
    <w:p w14:paraId="09989FA5" w14:textId="77777777" w:rsidR="002B3C6E" w:rsidRDefault="002B3C6E" w:rsidP="002B3C6E">
      <w:pPr>
        <w:jc w:val="both"/>
      </w:pPr>
    </w:p>
    <w:p w14:paraId="5D94051C" w14:textId="77777777" w:rsidR="002B3C6E" w:rsidRDefault="002B3C6E" w:rsidP="002B3C6E">
      <w:pPr>
        <w:jc w:val="both"/>
      </w:pPr>
    </w:p>
    <w:p w14:paraId="76ACEE34" w14:textId="77777777" w:rsidR="002B3C6E" w:rsidRDefault="002B3C6E" w:rsidP="002B3C6E">
      <w:pPr>
        <w:jc w:val="both"/>
      </w:pPr>
    </w:p>
    <w:p w14:paraId="71F55635" w14:textId="77777777" w:rsidR="002B3C6E" w:rsidRDefault="002B3C6E" w:rsidP="002B3C6E">
      <w:pPr>
        <w:jc w:val="both"/>
      </w:pPr>
    </w:p>
    <w:p w14:paraId="4E42F3D8" w14:textId="77777777" w:rsidR="002B3C6E" w:rsidRDefault="002B3C6E" w:rsidP="002B3C6E">
      <w:pPr>
        <w:jc w:val="both"/>
      </w:pPr>
    </w:p>
    <w:p w14:paraId="5E6EC421" w14:textId="77777777" w:rsidR="002B3C6E" w:rsidRDefault="002B3C6E" w:rsidP="002B3C6E">
      <w:pPr>
        <w:jc w:val="both"/>
      </w:pPr>
    </w:p>
    <w:p w14:paraId="3C4EBB3D" w14:textId="77777777" w:rsidR="002B3C6E" w:rsidRDefault="002B3C6E" w:rsidP="002B3C6E">
      <w:pPr>
        <w:jc w:val="both"/>
      </w:pPr>
    </w:p>
    <w:p w14:paraId="3636184F" w14:textId="77777777" w:rsidR="002B3C6E" w:rsidRDefault="002B3C6E" w:rsidP="002B3C6E">
      <w:pPr>
        <w:jc w:val="both"/>
      </w:pPr>
    </w:p>
    <w:p w14:paraId="03E35966" w14:textId="77777777" w:rsidR="002B3C6E" w:rsidRDefault="002B3C6E" w:rsidP="002B3C6E">
      <w:pPr>
        <w:jc w:val="both"/>
      </w:pPr>
    </w:p>
    <w:p w14:paraId="66997AB8" w14:textId="77777777" w:rsidR="002B3C6E" w:rsidRDefault="002B3C6E" w:rsidP="002B3C6E">
      <w:pPr>
        <w:jc w:val="both"/>
      </w:pPr>
    </w:p>
    <w:p w14:paraId="5D1D897C" w14:textId="77777777" w:rsidR="002B3C6E" w:rsidRDefault="002B3C6E" w:rsidP="002B3C6E">
      <w:pPr>
        <w:jc w:val="both"/>
      </w:pPr>
    </w:p>
    <w:p w14:paraId="4462792F" w14:textId="77777777" w:rsidR="002B3C6E" w:rsidRDefault="002B3C6E" w:rsidP="002B3C6E">
      <w:pPr>
        <w:jc w:val="both"/>
      </w:pPr>
    </w:p>
    <w:p w14:paraId="119FAF68" w14:textId="77777777" w:rsidR="002B3C6E" w:rsidRDefault="002B3C6E" w:rsidP="002B3C6E">
      <w:pPr>
        <w:jc w:val="both"/>
      </w:pPr>
    </w:p>
    <w:p w14:paraId="736D5A25" w14:textId="77777777" w:rsidR="002B3C6E" w:rsidRDefault="002B3C6E" w:rsidP="002B3C6E">
      <w:pPr>
        <w:jc w:val="both"/>
      </w:pPr>
    </w:p>
    <w:p w14:paraId="326D44BA" w14:textId="77777777" w:rsidR="002B3C6E" w:rsidRDefault="002B3C6E" w:rsidP="002B3C6E">
      <w:pPr>
        <w:jc w:val="both"/>
      </w:pPr>
    </w:p>
    <w:p w14:paraId="006DE893" w14:textId="77777777" w:rsidR="002B3C6E" w:rsidRDefault="002B3C6E" w:rsidP="002B3C6E">
      <w:pPr>
        <w:jc w:val="both"/>
      </w:pPr>
    </w:p>
    <w:p w14:paraId="3120A1BB" w14:textId="77777777" w:rsidR="002B3C6E" w:rsidRPr="002B3C6E" w:rsidRDefault="002B3C6E" w:rsidP="002B3C6E">
      <w:pPr>
        <w:jc w:val="both"/>
      </w:pPr>
    </w:p>
    <w:p w14:paraId="541B3659" w14:textId="77777777" w:rsidR="002B3C6E" w:rsidRPr="002B3C6E" w:rsidRDefault="002B3C6E" w:rsidP="002B3C6E">
      <w:pPr>
        <w:jc w:val="both"/>
      </w:pPr>
      <w:r w:rsidRPr="002B3C6E">
        <w:rPr>
          <w:b/>
          <w:bCs/>
        </w:rPr>
        <w:lastRenderedPageBreak/>
        <w:t>Advances and Clinical Applications of Ultrasonography in Swine Production</w:t>
      </w:r>
    </w:p>
    <w:p w14:paraId="3300D7C4" w14:textId="77777777" w:rsidR="002B3C6E" w:rsidRPr="002B3C6E" w:rsidRDefault="002B3C6E" w:rsidP="002B3C6E">
      <w:pPr>
        <w:jc w:val="both"/>
      </w:pPr>
      <w:r w:rsidRPr="002B3C6E">
        <w:t>Symeonidou Maria</w:t>
      </w:r>
      <w:r w:rsidRPr="002B3C6E">
        <w:rPr>
          <w:vertAlign w:val="superscript"/>
        </w:rPr>
        <w:t>1</w:t>
      </w:r>
      <w:r w:rsidRPr="002B3C6E">
        <w:t>, Chondrogianni Markella</w:t>
      </w:r>
      <w:r w:rsidRPr="002B3C6E">
        <w:rPr>
          <w:vertAlign w:val="superscript"/>
        </w:rPr>
        <w:t>1</w:t>
      </w:r>
      <w:r w:rsidRPr="002B3C6E">
        <w:t>, Bakirtzi Konstantina</w:t>
      </w:r>
      <w:r w:rsidRPr="002B3C6E">
        <w:rPr>
          <w:vertAlign w:val="superscript"/>
        </w:rPr>
        <w:t>1</w:t>
      </w:r>
      <w:r w:rsidRPr="002B3C6E">
        <w:t>, Papakonstantinou Georgios</w:t>
      </w:r>
      <w:r w:rsidRPr="002B3C6E">
        <w:rPr>
          <w:vertAlign w:val="superscript"/>
        </w:rPr>
        <w:t>2</w:t>
      </w:r>
      <w:r w:rsidRPr="002B3C6E">
        <w:t>, Stampinas Evangelos Georgios</w:t>
      </w:r>
      <w:r w:rsidRPr="002B3C6E">
        <w:rPr>
          <w:vertAlign w:val="superscript"/>
        </w:rPr>
        <w:t>3</w:t>
      </w:r>
    </w:p>
    <w:p w14:paraId="4262461B" w14:textId="77777777" w:rsidR="002B3C6E" w:rsidRPr="002B3C6E" w:rsidRDefault="002B3C6E">
      <w:pPr>
        <w:numPr>
          <w:ilvl w:val="0"/>
          <w:numId w:val="112"/>
        </w:numPr>
        <w:jc w:val="both"/>
      </w:pPr>
      <w:r w:rsidRPr="002B3C6E">
        <w:t>Undergraduate Student, Department of Veterinary Medicine, School of Health Sciences, University of Thessaly</w:t>
      </w:r>
    </w:p>
    <w:p w14:paraId="4F2853B9" w14:textId="77777777" w:rsidR="002B3C6E" w:rsidRPr="002B3C6E" w:rsidRDefault="002B3C6E">
      <w:pPr>
        <w:numPr>
          <w:ilvl w:val="0"/>
          <w:numId w:val="112"/>
        </w:numPr>
        <w:jc w:val="both"/>
      </w:pPr>
      <w:r w:rsidRPr="002B3C6E">
        <w:t>DVM, PhD, Assistant Professor, Pathology Clinic, Department of Veterinary Medicine, School of Health Sciences, University of Thessaly</w:t>
      </w:r>
    </w:p>
    <w:p w14:paraId="5920B8D9" w14:textId="77777777" w:rsidR="002B3C6E" w:rsidRPr="002B3C6E" w:rsidRDefault="002B3C6E">
      <w:pPr>
        <w:numPr>
          <w:ilvl w:val="0"/>
          <w:numId w:val="112"/>
        </w:numPr>
        <w:jc w:val="both"/>
      </w:pPr>
      <w:r w:rsidRPr="002B3C6E">
        <w:t>DVM, BSc, MSc, PhDc, Laboratory of Anatomy, Histology, Embryology, Department of Veterinary Medicine, School of Health Sciences, University of Thessaly</w:t>
      </w:r>
    </w:p>
    <w:p w14:paraId="57603219" w14:textId="77777777" w:rsidR="002B3C6E" w:rsidRPr="002B3C6E" w:rsidRDefault="002B3C6E" w:rsidP="002B3C6E">
      <w:pPr>
        <w:jc w:val="both"/>
      </w:pPr>
    </w:p>
    <w:p w14:paraId="206EDE0C" w14:textId="77777777" w:rsidR="002B3C6E" w:rsidRPr="002B3C6E" w:rsidRDefault="002B3C6E" w:rsidP="002B3C6E">
      <w:pPr>
        <w:jc w:val="both"/>
      </w:pPr>
      <w:r w:rsidRPr="002B3C6E">
        <w:rPr>
          <w:b/>
          <w:bCs/>
        </w:rPr>
        <w:t>Abstract</w:t>
      </w:r>
    </w:p>
    <w:p w14:paraId="58493A97" w14:textId="77777777" w:rsidR="002B3C6E" w:rsidRDefault="002B3C6E" w:rsidP="002B3C6E">
      <w:pPr>
        <w:jc w:val="both"/>
      </w:pPr>
      <w:r w:rsidRPr="002B3C6E">
        <w:t>Ultrasonography has become a key-tool for diagnosing and managing reproduction in pigs. It is a non-invasive, rapid, and practical method for evaluating the reproductive and urinary systems of gilts and sows. Initially used primarily for pregnancy detection, advances in image quality, probe technology, and equipment portability have significantly expanded its applications. Modern ultrasonography enables detailed assessment of uterine and ovarian structures in non-pregnant animals, monitoring of fetal development, and detection of clinically important diseases such as metritis, endometritis, cystitis, and ovarian disorders. Real-time B-mode and Doppler ultrasound technologies provide valuable diagnostic information during routine reproductive examinations. Early and accurate diagnosis of these conditions improves reproductive performance, herd management, and overall productivity. In addition, ultrasonography supports practical on-farm decision-making, including optimized breeding strategies, reduction of non-productive days, and implementation of targeted therapeutic interventions. These benefits contribute to improved efficiency and economic sustainability in swine production systems. Emerging technologies, such as portable Doppler devices, automated image analysis, and artificial intelligence, continue to enhance diagnostic accuracy and expand the role of ultrasonography in precision livestock farming. Consequently, its adoption by progressive producers is increasing, establishing ultrasonography as a primary tool in evidence-based reproductive management for modern swine production.</w:t>
      </w:r>
    </w:p>
    <w:p w14:paraId="7195764D" w14:textId="77777777" w:rsidR="002B3C6E" w:rsidRPr="002B3C6E" w:rsidRDefault="002B3C6E" w:rsidP="002B3C6E">
      <w:pPr>
        <w:jc w:val="both"/>
      </w:pPr>
    </w:p>
    <w:p w14:paraId="0C599098" w14:textId="77777777" w:rsidR="002B3C6E" w:rsidRPr="002B3C6E" w:rsidRDefault="002B3C6E" w:rsidP="002B3C6E">
      <w:pPr>
        <w:jc w:val="both"/>
      </w:pPr>
      <w:r w:rsidRPr="002B3C6E">
        <w:rPr>
          <w:b/>
          <w:bCs/>
        </w:rPr>
        <w:t>Bibliography</w:t>
      </w:r>
    </w:p>
    <w:p w14:paraId="7E1EF0F1" w14:textId="0DE85838" w:rsidR="002B3C6E" w:rsidRPr="002B3C6E" w:rsidRDefault="002B3C6E" w:rsidP="002B3C6E">
      <w:pPr>
        <w:jc w:val="both"/>
      </w:pPr>
      <w:r w:rsidRPr="002B3C6E">
        <w:t xml:space="preserve">Kauffold, J., Rautenberg, T., Hoffmann, G., Beynon, N., Schellenberg, I., &amp; Sobiraj, A. (2005). </w:t>
      </w:r>
      <w:r w:rsidRPr="002B3C6E">
        <w:rPr>
          <w:i/>
          <w:iCs/>
        </w:rPr>
        <w:t>A field study into the appropriateness of transcutaneous ultrasonography in the diagnoses of uterine disorders in reproductively failed pigs.</w:t>
      </w:r>
      <w:r w:rsidRPr="002B3C6E">
        <w:t> Theriogenology, 64(7), 1546-1558. </w:t>
      </w:r>
    </w:p>
    <w:p w14:paraId="34F78935" w14:textId="258D13B8" w:rsidR="002B3C6E" w:rsidRPr="002B3C6E" w:rsidRDefault="002B3C6E" w:rsidP="002B3C6E">
      <w:pPr>
        <w:jc w:val="both"/>
      </w:pPr>
      <w:r w:rsidRPr="002B3C6E">
        <w:t xml:space="preserve">Knox, R. V., &amp; Althouse, G. C. (1999). </w:t>
      </w:r>
      <w:r w:rsidRPr="002B3C6E">
        <w:rPr>
          <w:i/>
          <w:iCs/>
        </w:rPr>
        <w:t>Visualizing the reproductive tract of the female pig using real-time ultrasonography.</w:t>
      </w:r>
      <w:r w:rsidRPr="002B3C6E">
        <w:t> Journal of Swine Health and Production, 7(5), 207-215.</w:t>
      </w:r>
    </w:p>
    <w:p w14:paraId="175784EE" w14:textId="77777777" w:rsidR="002B3C6E" w:rsidRPr="002B3C6E" w:rsidRDefault="002B3C6E" w:rsidP="002B3C6E">
      <w:pPr>
        <w:jc w:val="both"/>
      </w:pPr>
      <w:r w:rsidRPr="002B3C6E">
        <w:t xml:space="preserve">Papatsiros, V. (2022). </w:t>
      </w:r>
      <w:r w:rsidRPr="002B3C6E">
        <w:rPr>
          <w:i/>
          <w:iCs/>
        </w:rPr>
        <w:t>Health and welfare management of high prolific sows</w:t>
      </w:r>
      <w:r w:rsidRPr="002B3C6E">
        <w:t xml:space="preserve"> [Undergraduate textbook]. Kallipos, Open Academic Editions. </w:t>
      </w:r>
    </w:p>
    <w:p w14:paraId="3A02BAD2" w14:textId="4BE9589D" w:rsidR="002B3C6E" w:rsidRDefault="002B3C6E">
      <w:r>
        <w:br w:type="page"/>
      </w:r>
    </w:p>
    <w:p w14:paraId="29228434" w14:textId="77777777" w:rsidR="002B3C6E" w:rsidRPr="002B3C6E" w:rsidRDefault="002B3C6E" w:rsidP="002B3C6E">
      <w:pPr>
        <w:jc w:val="both"/>
      </w:pPr>
      <w:r w:rsidRPr="002B3C6E">
        <w:rPr>
          <w:b/>
          <w:bCs/>
        </w:rPr>
        <w:lastRenderedPageBreak/>
        <w:t>Total Intravenous Anesthesia (TIVA) with Target-Controlled Infusion (TCI) of Propofol</w:t>
      </w:r>
    </w:p>
    <w:p w14:paraId="2C367AFD" w14:textId="77777777" w:rsidR="002B3C6E" w:rsidRPr="002B3C6E" w:rsidRDefault="002B3C6E" w:rsidP="002B3C6E">
      <w:pPr>
        <w:jc w:val="both"/>
      </w:pPr>
      <w:r w:rsidRPr="002B3C6E">
        <w:t>Ioannis Potamianos¹, Vasilis Zapridis², Georgios Kazakos³</w:t>
      </w:r>
    </w:p>
    <w:p w14:paraId="4118F9F3" w14:textId="77777777" w:rsidR="002B3C6E" w:rsidRPr="002B3C6E" w:rsidRDefault="002B3C6E">
      <w:pPr>
        <w:numPr>
          <w:ilvl w:val="0"/>
          <w:numId w:val="113"/>
        </w:numPr>
        <w:jc w:val="both"/>
      </w:pPr>
      <w:r w:rsidRPr="002B3C6E">
        <w:t>Undergraduate Student, Department of Veterinary Medicine, School of Health Sciences, Aristotle University of Thessaloniki</w:t>
      </w:r>
    </w:p>
    <w:p w14:paraId="7639C866" w14:textId="77777777" w:rsidR="002B3C6E" w:rsidRPr="002B3C6E" w:rsidRDefault="002B3C6E">
      <w:pPr>
        <w:numPr>
          <w:ilvl w:val="0"/>
          <w:numId w:val="113"/>
        </w:numPr>
        <w:jc w:val="both"/>
      </w:pPr>
      <w:r w:rsidRPr="002B3C6E">
        <w:t> ECVAA Resident &amp; MSc Student in Veterinary Anaesthesiology</w:t>
      </w:r>
    </w:p>
    <w:p w14:paraId="21C9EB31" w14:textId="77777777" w:rsidR="002B3C6E" w:rsidRPr="002B3C6E" w:rsidRDefault="002B3C6E">
      <w:pPr>
        <w:numPr>
          <w:ilvl w:val="0"/>
          <w:numId w:val="113"/>
        </w:numPr>
        <w:jc w:val="both"/>
      </w:pPr>
      <w:r w:rsidRPr="002B3C6E">
        <w:t>Professor of Surgery and Anesthesiology – Intensive Care, Department of Veterinary Medicine, School of Health Sciences, Aristotle University of Thessaloniki</w:t>
      </w:r>
    </w:p>
    <w:p w14:paraId="5A506D46" w14:textId="77777777" w:rsidR="002B3C6E" w:rsidRPr="002B3C6E" w:rsidRDefault="002B3C6E" w:rsidP="002B3C6E">
      <w:pPr>
        <w:jc w:val="both"/>
      </w:pPr>
    </w:p>
    <w:p w14:paraId="5A7CF24A" w14:textId="77777777" w:rsidR="002B3C6E" w:rsidRPr="002B3C6E" w:rsidRDefault="002B3C6E" w:rsidP="002B3C6E">
      <w:pPr>
        <w:jc w:val="both"/>
      </w:pPr>
      <w:r w:rsidRPr="002B3C6E">
        <w:rPr>
          <w:b/>
          <w:bCs/>
        </w:rPr>
        <w:t>Abstract</w:t>
      </w:r>
    </w:p>
    <w:p w14:paraId="0667F540" w14:textId="77777777" w:rsidR="002B3C6E" w:rsidRPr="002B3C6E" w:rsidRDefault="002B3C6E" w:rsidP="002B3C6E">
      <w:pPr>
        <w:jc w:val="both"/>
      </w:pPr>
      <w:r w:rsidRPr="002B3C6E">
        <w:t>Total intravenous anesthesia (TIVA) with target-controlled infusion of propofol offers a refined approach in veterinary anesthesiology. Unlike conventional methods, it eliminates the use of inhalant anesthetics, providing rapid recovery, and significant environmental benefits by preventing the release of harmful gases into the atmosphere. The method is based on the simTIVA.vet software, which calculates the concentration of propofol in the blood and cerebral cortex in real-time, ensuring scientific precision regarding the depth of anesthesia. This technique combines clinical accuracy with cost-effectiveness, making it ideal for the modern veterinary practice. Ultimately, it represents the future of anesthesiology, as contemporary trends gradually shift away from inhalant anesthetics toward total intravenous anesthesia.</w:t>
      </w:r>
    </w:p>
    <w:p w14:paraId="5D384F19" w14:textId="77777777" w:rsidR="002B3C6E" w:rsidRPr="002B3C6E" w:rsidRDefault="002B3C6E" w:rsidP="002B3C6E">
      <w:pPr>
        <w:jc w:val="both"/>
      </w:pPr>
    </w:p>
    <w:p w14:paraId="543F4A6C" w14:textId="77777777" w:rsidR="002B3C6E" w:rsidRPr="002B3C6E" w:rsidRDefault="002B3C6E" w:rsidP="002B3C6E">
      <w:pPr>
        <w:jc w:val="both"/>
      </w:pPr>
      <w:r w:rsidRPr="002B3C6E">
        <w:rPr>
          <w:b/>
          <w:bCs/>
        </w:rPr>
        <w:t>Bibliography</w:t>
      </w:r>
    </w:p>
    <w:p w14:paraId="5A281F5B" w14:textId="46C6F36E" w:rsidR="002B3C6E" w:rsidRPr="002B3C6E" w:rsidRDefault="002B3C6E" w:rsidP="002B3C6E">
      <w:pPr>
        <w:jc w:val="both"/>
      </w:pPr>
      <w:r w:rsidRPr="002B3C6E">
        <w:t xml:space="preserve">Beths, T. (2008). </w:t>
      </w:r>
      <w:r w:rsidRPr="002B3C6E">
        <w:rPr>
          <w:i/>
          <w:iCs/>
        </w:rPr>
        <w:t>Total intravenous anaesthesia in dogs: development of a target controlled infusion (TCI) scheme for propofol</w:t>
      </w:r>
      <w:r w:rsidRPr="002B3C6E">
        <w:t xml:space="preserve"> (Doctoral dissertation, University of Glasgow).</w:t>
      </w:r>
    </w:p>
    <w:p w14:paraId="6E7C6AFD" w14:textId="5975A484" w:rsidR="002B3C6E" w:rsidRPr="002B3C6E" w:rsidRDefault="002B3C6E" w:rsidP="002B3C6E">
      <w:pPr>
        <w:jc w:val="both"/>
      </w:pPr>
      <w:r w:rsidRPr="002B3C6E">
        <w:t xml:space="preserve">Absalom, A. R., &amp; Mason, K. P. (2017). </w:t>
      </w:r>
      <w:r w:rsidRPr="002B3C6E">
        <w:rPr>
          <w:i/>
          <w:iCs/>
        </w:rPr>
        <w:t>Total intravenous anesthesia and target controlled infusions.</w:t>
      </w:r>
      <w:r w:rsidRPr="002B3C6E">
        <w:t xml:space="preserve"> Springer.</w:t>
      </w:r>
    </w:p>
    <w:p w14:paraId="37AE2F5B" w14:textId="113548D4" w:rsidR="002B3C6E" w:rsidRPr="002B3C6E" w:rsidRDefault="002B3C6E" w:rsidP="002B3C6E">
      <w:pPr>
        <w:jc w:val="both"/>
      </w:pPr>
      <w:r w:rsidRPr="002B3C6E">
        <w:t xml:space="preserve">Eleveld, D. J., Colin, P., Absalom, A. R., &amp; Struys, M. M. (2018). </w:t>
      </w:r>
      <w:r w:rsidRPr="002B3C6E">
        <w:rPr>
          <w:i/>
          <w:iCs/>
        </w:rPr>
        <w:t>Pharmacokinetic–pharmacodynamic model for propofol for broad application in anaesthesia and sedation.</w:t>
      </w:r>
      <w:r w:rsidRPr="002B3C6E">
        <w:t xml:space="preserve"> </w:t>
      </w:r>
      <w:r w:rsidRPr="002B3C6E">
        <w:rPr>
          <w:i/>
          <w:iCs/>
        </w:rPr>
        <w:t>British journal of anaesthesia</w:t>
      </w:r>
      <w:r w:rsidRPr="002B3C6E">
        <w:t xml:space="preserve">, </w:t>
      </w:r>
      <w:r w:rsidRPr="002B3C6E">
        <w:rPr>
          <w:i/>
          <w:iCs/>
        </w:rPr>
        <w:t>120</w:t>
      </w:r>
      <w:r w:rsidRPr="002B3C6E">
        <w:t>(5), 942-959. </w:t>
      </w:r>
    </w:p>
    <w:p w14:paraId="305B790C" w14:textId="77777777" w:rsidR="002B3C6E" w:rsidRPr="002B3C6E" w:rsidRDefault="002B3C6E" w:rsidP="002B3C6E">
      <w:pPr>
        <w:jc w:val="both"/>
      </w:pPr>
      <w:r w:rsidRPr="002B3C6E">
        <w:t xml:space="preserve">Musk, G. C., Pang, D. S., Beths, T., &amp; Flaherty, D. A. (2005). </w:t>
      </w:r>
      <w:r w:rsidRPr="002B3C6E">
        <w:rPr>
          <w:i/>
          <w:iCs/>
        </w:rPr>
        <w:t>Target</w:t>
      </w:r>
      <w:r w:rsidRPr="002B3C6E">
        <w:rPr>
          <w:rFonts w:ascii="Cambria Math" w:hAnsi="Cambria Math" w:cs="Cambria Math"/>
          <w:i/>
          <w:iCs/>
        </w:rPr>
        <w:t>‐</w:t>
      </w:r>
      <w:r w:rsidRPr="002B3C6E">
        <w:rPr>
          <w:i/>
          <w:iCs/>
        </w:rPr>
        <w:t>controlled infusion of propofol in dogs</w:t>
      </w:r>
      <w:r w:rsidRPr="002B3C6E">
        <w:rPr>
          <w:rFonts w:ascii="Aptos" w:hAnsi="Aptos" w:cs="Aptos"/>
          <w:i/>
          <w:iCs/>
        </w:rPr>
        <w:t>–</w:t>
      </w:r>
      <w:r w:rsidRPr="002B3C6E">
        <w:rPr>
          <w:i/>
          <w:iCs/>
        </w:rPr>
        <w:t>evaluation of four targets for induction of anaesthesia.</w:t>
      </w:r>
      <w:r w:rsidRPr="002B3C6E">
        <w:t xml:space="preserve"> </w:t>
      </w:r>
      <w:r w:rsidRPr="002B3C6E">
        <w:rPr>
          <w:i/>
          <w:iCs/>
        </w:rPr>
        <w:t>Veterinary Record</w:t>
      </w:r>
      <w:r w:rsidRPr="002B3C6E">
        <w:t xml:space="preserve">, </w:t>
      </w:r>
      <w:r w:rsidRPr="002B3C6E">
        <w:rPr>
          <w:i/>
          <w:iCs/>
        </w:rPr>
        <w:t>157</w:t>
      </w:r>
      <w:r w:rsidRPr="002B3C6E">
        <w:t>(24), 766-770. </w:t>
      </w:r>
    </w:p>
    <w:p w14:paraId="5FAB2DCE" w14:textId="44379D92" w:rsidR="002B3C6E" w:rsidRPr="002B3C6E" w:rsidRDefault="002B3C6E" w:rsidP="002B3C6E">
      <w:pPr>
        <w:jc w:val="both"/>
      </w:pPr>
      <w:r w:rsidRPr="002B3C6E">
        <w:t xml:space="preserve">Walsh, C. T. (2018). </w:t>
      </w:r>
      <w:r w:rsidRPr="002B3C6E">
        <w:rPr>
          <w:i/>
          <w:iCs/>
        </w:rPr>
        <w:t>Propofol: milk of amnesia.</w:t>
      </w:r>
      <w:r w:rsidRPr="002B3C6E">
        <w:t xml:space="preserve"> </w:t>
      </w:r>
      <w:r w:rsidRPr="002B3C6E">
        <w:rPr>
          <w:i/>
          <w:iCs/>
        </w:rPr>
        <w:t>Cell</w:t>
      </w:r>
      <w:r w:rsidRPr="002B3C6E">
        <w:t xml:space="preserve">, </w:t>
      </w:r>
      <w:r w:rsidRPr="002B3C6E">
        <w:rPr>
          <w:i/>
          <w:iCs/>
        </w:rPr>
        <w:t>175</w:t>
      </w:r>
      <w:r w:rsidRPr="002B3C6E">
        <w:t>(1), 10-13.  </w:t>
      </w:r>
    </w:p>
    <w:p w14:paraId="0C19BBEE" w14:textId="24A4B87E" w:rsidR="002B3C6E" w:rsidRPr="002B3C6E" w:rsidRDefault="002B3C6E" w:rsidP="002B3C6E">
      <w:pPr>
        <w:jc w:val="both"/>
      </w:pPr>
      <w:r w:rsidRPr="002B3C6E">
        <w:rPr>
          <w:i/>
          <w:iCs/>
        </w:rPr>
        <w:t>"Δεξμεδετομιδίνη (Dexmedetomidine)."</w:t>
      </w:r>
      <w:r w:rsidRPr="002B3C6E">
        <w:t xml:space="preserve"> </w:t>
      </w:r>
      <w:r w:rsidRPr="002B3C6E">
        <w:rPr>
          <w:i/>
          <w:iCs/>
        </w:rPr>
        <w:t>Γαληνός Vet</w:t>
      </w:r>
      <w:r w:rsidRPr="002B3C6E">
        <w:t xml:space="preserve">, 2024, </w:t>
      </w:r>
      <w:hyperlink r:id="rId140" w:history="1">
        <w:r w:rsidRPr="002B3C6E">
          <w:rPr>
            <w:rStyle w:val="-"/>
          </w:rPr>
          <w:t>.</w:t>
        </w:r>
      </w:hyperlink>
    </w:p>
    <w:p w14:paraId="30740699" w14:textId="5E467411" w:rsidR="002B3C6E" w:rsidRPr="002B3C6E" w:rsidRDefault="002B3C6E" w:rsidP="002B3C6E">
      <w:pPr>
        <w:jc w:val="both"/>
      </w:pPr>
      <w:r w:rsidRPr="002B3C6E">
        <w:rPr>
          <w:i/>
          <w:iCs/>
        </w:rPr>
        <w:t>"Μεθαδόνη (Methadone)."</w:t>
      </w:r>
      <w:r w:rsidRPr="002B3C6E">
        <w:t xml:space="preserve"> Γαληνός Vet, 2024, </w:t>
      </w:r>
      <w:hyperlink r:id="rId141" w:history="1">
        <w:r w:rsidRPr="002B3C6E">
          <w:rPr>
            <w:rStyle w:val="-"/>
          </w:rPr>
          <w:t>.</w:t>
        </w:r>
      </w:hyperlink>
    </w:p>
    <w:p w14:paraId="73528BBB" w14:textId="4FDF9627" w:rsidR="002B3C6E" w:rsidRPr="002B3C6E" w:rsidRDefault="002B3C6E" w:rsidP="002B3C6E">
      <w:pPr>
        <w:jc w:val="both"/>
      </w:pPr>
      <w:r w:rsidRPr="002B3C6E">
        <w:t xml:space="preserve">Duval Neto, G. F. (Ed.). (2014). </w:t>
      </w:r>
      <w:r w:rsidRPr="002B3C6E">
        <w:rPr>
          <w:i/>
          <w:iCs/>
        </w:rPr>
        <w:t xml:space="preserve">Occupational well-being in anesthesiologists </w:t>
      </w:r>
      <w:r w:rsidRPr="002B3C6E">
        <w:t>(Update in 2018). Brazilian Society of Anesthesiology.</w:t>
      </w:r>
    </w:p>
    <w:p w14:paraId="40C78B21" w14:textId="77777777" w:rsidR="002B3C6E" w:rsidRPr="002B3C6E" w:rsidRDefault="002B3C6E" w:rsidP="002B3C6E">
      <w:pPr>
        <w:jc w:val="both"/>
      </w:pPr>
      <w:r w:rsidRPr="002B3C6E">
        <w:rPr>
          <w:i/>
          <w:iCs/>
        </w:rPr>
        <w:t>"Προποφόλη (Propofol)."</w:t>
      </w:r>
      <w:r w:rsidRPr="002B3C6E">
        <w:t xml:space="preserve"> Γαληνός, 2024.</w:t>
      </w:r>
    </w:p>
    <w:p w14:paraId="79E7E37A" w14:textId="4F90382C" w:rsidR="002B3C6E" w:rsidRPr="002B3C6E" w:rsidRDefault="002B3C6E" w:rsidP="002B3C6E">
      <w:pPr>
        <w:jc w:val="both"/>
      </w:pPr>
      <w:r w:rsidRPr="002B3C6E">
        <w:rPr>
          <w:b/>
          <w:bCs/>
        </w:rPr>
        <w:lastRenderedPageBreak/>
        <w:t>Retrospective Study of Anesthetic Management in Surgical Cases of Portosystemic Shunt Reconstruction</w:t>
      </w:r>
    </w:p>
    <w:p w14:paraId="5D38B311" w14:textId="10F4CE88" w:rsidR="002B3C6E" w:rsidRPr="002B3C6E" w:rsidRDefault="002B3C6E" w:rsidP="002B3C6E">
      <w:pPr>
        <w:jc w:val="both"/>
      </w:pPr>
      <w:r w:rsidRPr="002B3C6E">
        <w:t>Stavridis Fotios</w:t>
      </w:r>
      <w:r w:rsidRPr="002B3C6E">
        <w:rPr>
          <w:vertAlign w:val="superscript"/>
        </w:rPr>
        <w:t>1</w:t>
      </w:r>
      <w:r w:rsidRPr="002B3C6E">
        <w:t>, Skampas Nikitas-Myronas, Anagnostou Tilemachos</w:t>
      </w:r>
      <w:r w:rsidRPr="002B3C6E">
        <w:rPr>
          <w:vertAlign w:val="superscript"/>
        </w:rPr>
        <w:t>2</w:t>
      </w:r>
    </w:p>
    <w:p w14:paraId="633A8A29" w14:textId="77777777" w:rsidR="002B3C6E" w:rsidRPr="002B3C6E" w:rsidRDefault="002B3C6E">
      <w:pPr>
        <w:numPr>
          <w:ilvl w:val="0"/>
          <w:numId w:val="114"/>
        </w:numPr>
        <w:jc w:val="both"/>
      </w:pPr>
      <w:r w:rsidRPr="002B3C6E">
        <w:t>Undergraduate Student, Department of Veterinary Medicine, School of Health Sciences, Aristotle University of Thessaloniki</w:t>
      </w:r>
    </w:p>
    <w:p w14:paraId="57D331D1" w14:textId="77777777" w:rsidR="002B3C6E" w:rsidRPr="002B3C6E" w:rsidRDefault="002B3C6E">
      <w:pPr>
        <w:numPr>
          <w:ilvl w:val="0"/>
          <w:numId w:val="114"/>
        </w:numPr>
        <w:jc w:val="both"/>
      </w:pPr>
      <w:r w:rsidRPr="002B3C6E">
        <w:t>Professor, Anaesthesia and Intensive Care Unit, Companion Animal Clinic, Department of Veterinary Medicine, School of Health Sciences, Aristotle University of Thessaloniki</w:t>
      </w:r>
    </w:p>
    <w:p w14:paraId="5C2B007B" w14:textId="77777777" w:rsidR="002B3C6E" w:rsidRPr="002B3C6E" w:rsidRDefault="002B3C6E" w:rsidP="002B3C6E">
      <w:pPr>
        <w:jc w:val="both"/>
      </w:pPr>
    </w:p>
    <w:p w14:paraId="78BE5B8D" w14:textId="77777777" w:rsidR="002B3C6E" w:rsidRPr="002B3C6E" w:rsidRDefault="002B3C6E" w:rsidP="002B3C6E">
      <w:pPr>
        <w:jc w:val="both"/>
      </w:pPr>
      <w:r w:rsidRPr="002B3C6E">
        <w:rPr>
          <w:b/>
          <w:bCs/>
        </w:rPr>
        <w:t>Abstract</w:t>
      </w:r>
    </w:p>
    <w:p w14:paraId="39CB2D81" w14:textId="77777777" w:rsidR="002B3C6E" w:rsidRDefault="002B3C6E" w:rsidP="002B3C6E">
      <w:pPr>
        <w:jc w:val="both"/>
      </w:pPr>
      <w:r w:rsidRPr="002B3C6E">
        <w:t>Portοsystemic shunts, whether extrahepatic or intrahepatic, are acquired or congenital vascular abnormalities that divert blood into the systemic circulation, bypassing the hepatic sinusoids. The liver is an organ in which many of the drugs used for premedication, induction, and maintenance of anesthesia, as well as for analgesia, are metabolized. Knowledge of the pharmacokinetics and pharmacodynamics of anesthetic agents, along with proper preparation for potential complications that may arise during such surgical procedures, are essential prerequisites for a successful outcome. In the present study, the anesthetic protocols used in cases from the Companion Animal Clinic of Aristotle University of Thessaloniki between 2018 and 2026 are reported, and the outcomes of these cases are discussed.</w:t>
      </w:r>
    </w:p>
    <w:p w14:paraId="1C1DC14C" w14:textId="77777777" w:rsidR="002B3C6E" w:rsidRPr="002B3C6E" w:rsidRDefault="002B3C6E" w:rsidP="002B3C6E">
      <w:pPr>
        <w:jc w:val="both"/>
      </w:pPr>
    </w:p>
    <w:p w14:paraId="429D7C50" w14:textId="77777777" w:rsidR="002B3C6E" w:rsidRPr="002B3C6E" w:rsidRDefault="002B3C6E" w:rsidP="002B3C6E">
      <w:pPr>
        <w:jc w:val="both"/>
      </w:pPr>
      <w:r w:rsidRPr="002B3C6E">
        <w:rPr>
          <w:b/>
          <w:bCs/>
        </w:rPr>
        <w:t>Bibliography</w:t>
      </w:r>
    </w:p>
    <w:p w14:paraId="3A311DD2" w14:textId="3C8D2F71" w:rsidR="002B3C6E" w:rsidRPr="002B3C6E" w:rsidRDefault="002B3C6E" w:rsidP="002B3C6E">
      <w:pPr>
        <w:jc w:val="both"/>
      </w:pPr>
      <w:r w:rsidRPr="002B3C6E">
        <w:t xml:space="preserve">Broome, C. J., Walsh, V. P., &amp; Braddock, J. A. (2004). </w:t>
      </w:r>
      <w:r w:rsidRPr="002B3C6E">
        <w:rPr>
          <w:i/>
          <w:iCs/>
        </w:rPr>
        <w:t>Congenital portosystemic shunts in dogs and cats. New Zealand veterinary journal, 52(4), 154-162.</w:t>
      </w:r>
    </w:p>
    <w:p w14:paraId="2589A491" w14:textId="0F61C9AF" w:rsidR="002B3C6E" w:rsidRPr="002B3C6E" w:rsidRDefault="002B3C6E" w:rsidP="002B3C6E">
      <w:pPr>
        <w:jc w:val="both"/>
      </w:pPr>
      <w:r w:rsidRPr="002B3C6E">
        <w:t xml:space="preserve">Erjavec, V., &amp; Lukanc, B. (2023). </w:t>
      </w:r>
      <w:r w:rsidRPr="002B3C6E">
        <w:rPr>
          <w:i/>
          <w:iCs/>
        </w:rPr>
        <w:t>Portosystemic shunts in cats. Proceed-ings of Socratic Lectures. 2023, 8; 34-39.</w:t>
      </w:r>
    </w:p>
    <w:p w14:paraId="07A9715A" w14:textId="35830AED" w:rsidR="002B3C6E" w:rsidRPr="002B3C6E" w:rsidRDefault="002B3C6E" w:rsidP="002B3C6E">
      <w:pPr>
        <w:jc w:val="both"/>
      </w:pPr>
      <w:r w:rsidRPr="002B3C6E">
        <w:t xml:space="preserve">Takeuchi, R., Ishigaki, K., Yoshida, O., Heishima, T., Iida, K., &amp; Asano, K. (2024). </w:t>
      </w:r>
      <w:r w:rsidRPr="002B3C6E">
        <w:rPr>
          <w:i/>
          <w:iCs/>
        </w:rPr>
        <w:t>Single Posthepatic Portosystemic Shunt Communicated With Internal Thoracic Vein and Azygos Continuation of the Caudal Vena Cava in a Dog. Veterinary Medicine and Science, 10(6), e70057.</w:t>
      </w:r>
    </w:p>
    <w:p w14:paraId="40088B5C" w14:textId="7F470374" w:rsidR="002B3C6E" w:rsidRPr="002B3C6E" w:rsidRDefault="002B3C6E" w:rsidP="002B3C6E">
      <w:pPr>
        <w:jc w:val="both"/>
      </w:pPr>
      <w:r w:rsidRPr="002B3C6E">
        <w:t xml:space="preserve">Konstantinidis, A. O., Patsikas, M. N., Papazoglou, L. G., &amp; Adamama-Moraitou, K. K. (2023). </w:t>
      </w:r>
      <w:r w:rsidRPr="002B3C6E">
        <w:rPr>
          <w:i/>
          <w:iCs/>
        </w:rPr>
        <w:t>Congenital portosystemic shunts in dogs and cats: classification, pathophysiology, clinical presentation and diagnosis. Veterinary sciences, 10(2), 160.</w:t>
      </w:r>
    </w:p>
    <w:p w14:paraId="22D70F4E" w14:textId="77777777" w:rsidR="002B3C6E" w:rsidRPr="002B3C6E" w:rsidRDefault="002B3C6E" w:rsidP="002B3C6E">
      <w:pPr>
        <w:jc w:val="both"/>
      </w:pPr>
      <w:r w:rsidRPr="002B3C6E">
        <w:t xml:space="preserve">Konstantinidis, A. O., Adamama-Moraitou, K. K., Patsikas, M. N., &amp; Papazoglou, L. G. (2023). </w:t>
      </w:r>
      <w:r w:rsidRPr="002B3C6E">
        <w:rPr>
          <w:i/>
          <w:iCs/>
        </w:rPr>
        <w:t>Congenital portosystemic shunts in dogs and cats: treatment, complications and prognosis. Veterinary sciences, 10(5), 346.</w:t>
      </w:r>
    </w:p>
    <w:p w14:paraId="2F72F6BC" w14:textId="77777777" w:rsidR="002B3C6E" w:rsidRDefault="002B3C6E" w:rsidP="002B3C6E">
      <w:pPr>
        <w:jc w:val="both"/>
      </w:pPr>
    </w:p>
    <w:p w14:paraId="12852140" w14:textId="77777777" w:rsidR="002B3C6E" w:rsidRDefault="002B3C6E" w:rsidP="002B3C6E">
      <w:pPr>
        <w:jc w:val="both"/>
      </w:pPr>
    </w:p>
    <w:p w14:paraId="3612C5DF" w14:textId="77777777" w:rsidR="002B3C6E" w:rsidRDefault="002B3C6E" w:rsidP="002B3C6E">
      <w:pPr>
        <w:jc w:val="both"/>
      </w:pPr>
    </w:p>
    <w:p w14:paraId="20D52550" w14:textId="77777777" w:rsidR="002B3C6E" w:rsidRDefault="002B3C6E" w:rsidP="002B3C6E">
      <w:pPr>
        <w:jc w:val="both"/>
      </w:pPr>
    </w:p>
    <w:p w14:paraId="46FD515C" w14:textId="77777777" w:rsidR="002B3C6E" w:rsidRPr="002B3C6E" w:rsidRDefault="002B3C6E" w:rsidP="002B3C6E">
      <w:pPr>
        <w:jc w:val="both"/>
      </w:pPr>
    </w:p>
    <w:p w14:paraId="68704424" w14:textId="77777777" w:rsidR="002B3C6E" w:rsidRPr="002B3C6E" w:rsidRDefault="002B3C6E" w:rsidP="002B3C6E">
      <w:pPr>
        <w:jc w:val="both"/>
      </w:pPr>
      <w:r w:rsidRPr="002B3C6E">
        <w:rPr>
          <w:b/>
          <w:bCs/>
        </w:rPr>
        <w:lastRenderedPageBreak/>
        <w:t>Clinical Approach and Anesthetic Management of the Polytraumatised Dog: 2 clinical cases</w:t>
      </w:r>
    </w:p>
    <w:p w14:paraId="35F2FB9C" w14:textId="77777777" w:rsidR="002B3C6E" w:rsidRPr="002B3C6E" w:rsidRDefault="002B3C6E" w:rsidP="002B3C6E">
      <w:pPr>
        <w:jc w:val="both"/>
      </w:pPr>
      <w:r w:rsidRPr="002B3C6E">
        <w:t>Karpontini Aikaterini</w:t>
      </w:r>
      <w:r w:rsidRPr="002B3C6E">
        <w:rPr>
          <w:vertAlign w:val="superscript"/>
        </w:rPr>
        <w:t>1</w:t>
      </w:r>
      <w:r w:rsidRPr="002B3C6E">
        <w:t>, Michou Maria-Angeliki</w:t>
      </w:r>
      <w:r w:rsidRPr="002B3C6E">
        <w:rPr>
          <w:vertAlign w:val="superscript"/>
        </w:rPr>
        <w:t>1</w:t>
      </w:r>
      <w:r w:rsidRPr="002B3C6E">
        <w:t>, Anagnostou Tilemachos</w:t>
      </w:r>
      <w:r w:rsidRPr="002B3C6E">
        <w:rPr>
          <w:vertAlign w:val="superscript"/>
        </w:rPr>
        <w:t>2</w:t>
      </w:r>
    </w:p>
    <w:p w14:paraId="45AB640B" w14:textId="77777777" w:rsidR="002B3C6E" w:rsidRPr="002B3C6E" w:rsidRDefault="002B3C6E">
      <w:pPr>
        <w:numPr>
          <w:ilvl w:val="0"/>
          <w:numId w:val="115"/>
        </w:numPr>
        <w:jc w:val="both"/>
      </w:pPr>
      <w:r w:rsidRPr="002B3C6E">
        <w:t>Undergraduate student, Department of Veterinary Medicine, School of Health Sciences, Aristotle University of Thessaloniki</w:t>
      </w:r>
    </w:p>
    <w:p w14:paraId="5B29C1B3" w14:textId="77777777" w:rsidR="002B3C6E" w:rsidRPr="002B3C6E" w:rsidRDefault="002B3C6E">
      <w:pPr>
        <w:numPr>
          <w:ilvl w:val="0"/>
          <w:numId w:val="115"/>
        </w:numPr>
        <w:jc w:val="both"/>
      </w:pPr>
      <w:r w:rsidRPr="002B3C6E">
        <w:t> Professor, Department of Veterinary Medicine, School of Health Sciences, Aristotle University of Thessaloniki </w:t>
      </w:r>
    </w:p>
    <w:p w14:paraId="6BF8E9B5" w14:textId="77777777" w:rsidR="002B3C6E" w:rsidRPr="002B3C6E" w:rsidRDefault="002B3C6E" w:rsidP="002B3C6E">
      <w:pPr>
        <w:jc w:val="both"/>
      </w:pPr>
    </w:p>
    <w:p w14:paraId="472AC45B" w14:textId="77777777" w:rsidR="002B3C6E" w:rsidRPr="002B3C6E" w:rsidRDefault="002B3C6E" w:rsidP="002B3C6E">
      <w:pPr>
        <w:jc w:val="both"/>
      </w:pPr>
      <w:r w:rsidRPr="002B3C6E">
        <w:rPr>
          <w:b/>
          <w:bCs/>
        </w:rPr>
        <w:t>Abstract</w:t>
      </w:r>
    </w:p>
    <w:p w14:paraId="4EBBBDC9" w14:textId="77777777" w:rsidR="002B3C6E" w:rsidRPr="002B3C6E" w:rsidRDefault="002B3C6E" w:rsidP="002B3C6E">
      <w:pPr>
        <w:jc w:val="both"/>
      </w:pPr>
      <w:r w:rsidRPr="002B3C6E">
        <w:t>The management of the polytraumatized patient in emergency settings represents one of the most challenging aspects of contemporary veterinary practice. The need for rapid decision-making, effective prioritization, and a tailored, patient-centered approach underscores the importance of implementing evidence-based protocols. This study presents a systematic approach to initial stabilization, based on international guidelines (BSAVA) and structured protocols such as ABCDE, with particular emphasis on the stabilization of vital functions prior to any interventional procedure. Reference is made to 2 clinical cases: 1) a stray dog with pneumothorax and spinal cord injury after a motor vehicle accident. The injury was managed conservatively and 2) a small-breed dog, attacked by a bigger one, the result was a laryngeal rupture and suspected pulmonary contusion, in the clinic emergency surgery was performed intermitted by repeated episodes of cardiopulmonary arrest. Moreover, concepts such as “Triad of Death” and “First- Second Hit” are analysed. Their usage as clinical decision-making guides is highlighted, ensuring that the procedure doesn’t further jeopardise the patient’s health.</w:t>
      </w:r>
    </w:p>
    <w:p w14:paraId="136CA2FC" w14:textId="77777777" w:rsidR="002B3C6E" w:rsidRPr="002B3C6E" w:rsidRDefault="002B3C6E" w:rsidP="002B3C6E">
      <w:pPr>
        <w:jc w:val="both"/>
      </w:pPr>
    </w:p>
    <w:p w14:paraId="49B564A7" w14:textId="77777777" w:rsidR="002B3C6E" w:rsidRPr="002B3C6E" w:rsidRDefault="002B3C6E" w:rsidP="002B3C6E">
      <w:pPr>
        <w:jc w:val="both"/>
      </w:pPr>
      <w:r w:rsidRPr="002B3C6E">
        <w:rPr>
          <w:b/>
          <w:bCs/>
        </w:rPr>
        <w:t>Bibliography</w:t>
      </w:r>
    </w:p>
    <w:p w14:paraId="7F8CF7EF" w14:textId="03FDAB61" w:rsidR="002B3C6E" w:rsidRPr="002B3C6E" w:rsidRDefault="002B3C6E" w:rsidP="002B3C6E">
      <w:pPr>
        <w:jc w:val="both"/>
      </w:pPr>
      <w:r w:rsidRPr="002B3C6E">
        <w:t xml:space="preserve">King, L. G., &amp; Boag, A. (Eds.). (2018). </w:t>
      </w:r>
      <w:r w:rsidRPr="002B3C6E">
        <w:rPr>
          <w:i/>
          <w:iCs/>
        </w:rPr>
        <w:t xml:space="preserve">BSAVA Manual of Canine and Feline Emergency and Critical </w:t>
      </w:r>
      <w:r w:rsidR="0072531A" w:rsidRPr="002B3C6E">
        <w:rPr>
          <w:i/>
          <w:iCs/>
        </w:rPr>
        <w:t>Care (</w:t>
      </w:r>
      <w:r w:rsidRPr="002B3C6E">
        <w:rPr>
          <w:i/>
          <w:iCs/>
        </w:rPr>
        <w:t>3rd ed.).</w:t>
      </w:r>
      <w:r w:rsidRPr="002B3C6E">
        <w:t xml:space="preserve"> British Small Animal Veterinary Association.</w:t>
      </w:r>
    </w:p>
    <w:p w14:paraId="3D51496C" w14:textId="35A45ABE" w:rsidR="002B3C6E" w:rsidRPr="002B3C6E" w:rsidRDefault="002B3C6E" w:rsidP="002B3C6E">
      <w:pPr>
        <w:jc w:val="both"/>
      </w:pPr>
      <w:r w:rsidRPr="002B3C6E">
        <w:t xml:space="preserve">Silverstein, D. C., &amp; Hopper, K. (Eds.). (2023). </w:t>
      </w:r>
      <w:r w:rsidRPr="002B3C6E">
        <w:rPr>
          <w:i/>
          <w:iCs/>
        </w:rPr>
        <w:t>Small Animal Critical Care Medicine (3rd ed.).</w:t>
      </w:r>
      <w:r w:rsidRPr="002B3C6E">
        <w:t xml:space="preserve"> Elsevier.</w:t>
      </w:r>
    </w:p>
    <w:p w14:paraId="64444E14" w14:textId="7D39EED5" w:rsidR="002B3C6E" w:rsidRPr="002B3C6E" w:rsidRDefault="002B3C6E" w:rsidP="002B3C6E">
      <w:pPr>
        <w:jc w:val="both"/>
      </w:pPr>
      <w:r w:rsidRPr="002B3C6E">
        <w:t xml:space="preserve">Shih, A., &amp; Martins, A. (2022). </w:t>
      </w:r>
      <w:r w:rsidRPr="002B3C6E">
        <w:rPr>
          <w:i/>
          <w:iCs/>
        </w:rPr>
        <w:t>Disorders Related to Trauma</w:t>
      </w:r>
      <w:r w:rsidRPr="002B3C6E">
        <w:t xml:space="preserve">. In R. Snyder &amp; R. A. Johnson (Eds.), </w:t>
      </w:r>
      <w:r w:rsidRPr="002B3C6E">
        <w:rPr>
          <w:i/>
          <w:iCs/>
        </w:rPr>
        <w:t>Canine and Feline Anesthesia and Co-Existing Disease</w:t>
      </w:r>
      <w:r w:rsidRPr="002B3C6E">
        <w:t xml:space="preserve"> (2nd ed., pp. 313-324). Wiley-Blackwell.</w:t>
      </w:r>
    </w:p>
    <w:p w14:paraId="26DD86D7" w14:textId="10213B05" w:rsidR="002B3C6E" w:rsidRPr="002B3C6E" w:rsidRDefault="002B3C6E" w:rsidP="002B3C6E">
      <w:pPr>
        <w:jc w:val="both"/>
      </w:pPr>
      <w:r w:rsidRPr="002B3C6E">
        <w:t xml:space="preserve">Alexandra </w:t>
      </w:r>
      <w:r w:rsidR="0072531A" w:rsidRPr="002B3C6E">
        <w:t>Pfaff,</w:t>
      </w:r>
      <w:r w:rsidRPr="002B3C6E">
        <w:t xml:space="preserve"> Emmanuelle M. </w:t>
      </w:r>
      <w:r w:rsidR="0072531A" w:rsidRPr="002B3C6E">
        <w:t>Butty,</w:t>
      </w:r>
      <w:r w:rsidRPr="002B3C6E">
        <w:t xml:space="preserve"> Elizabeth A. </w:t>
      </w:r>
      <w:r w:rsidR="0072531A" w:rsidRPr="002B3C6E">
        <w:t>Rozanski,</w:t>
      </w:r>
      <w:r w:rsidRPr="002B3C6E">
        <w:t xml:space="preserve"> Armelle M. </w:t>
      </w:r>
      <w:r w:rsidR="0072531A" w:rsidRPr="002B3C6E">
        <w:t>deLaforcade,</w:t>
      </w:r>
      <w:r w:rsidRPr="002B3C6E">
        <w:t xml:space="preserve"> Jacqueline N. </w:t>
      </w:r>
      <w:r w:rsidR="0072531A" w:rsidRPr="002B3C6E">
        <w:t>Hicks,</w:t>
      </w:r>
      <w:r w:rsidRPr="002B3C6E">
        <w:t xml:space="preserve"> Noa Berlin (2025). </w:t>
      </w:r>
      <w:r w:rsidRPr="002B3C6E">
        <w:rPr>
          <w:i/>
          <w:iCs/>
        </w:rPr>
        <w:t>Retrospective Evaluation of Risk Factors and Outcome in Dogs With and Without Fluid Overload During Hospitalization.</w:t>
      </w:r>
    </w:p>
    <w:p w14:paraId="317D206B" w14:textId="65E1DDF2" w:rsidR="002B3C6E" w:rsidRPr="002B3C6E" w:rsidRDefault="002B3C6E" w:rsidP="002B3C6E">
      <w:pPr>
        <w:jc w:val="both"/>
      </w:pPr>
      <w:r w:rsidRPr="002B3C6E">
        <w:t xml:space="preserve">Mariana Pardo, Erin Spencer, Adesola Odunayo, Mary L. Ramirez, Elke Rudloff, Heidi Shafford, Ann Weil, Ewan Wolff (2024). </w:t>
      </w:r>
      <w:r w:rsidRPr="002B3C6E">
        <w:rPr>
          <w:i/>
          <w:iCs/>
        </w:rPr>
        <w:t>2024 AAHA Fluid Therapy Guidelines for Dogs and Cats.</w:t>
      </w:r>
    </w:p>
    <w:p w14:paraId="2851858F" w14:textId="77777777" w:rsidR="002B3C6E" w:rsidRPr="002B3C6E" w:rsidRDefault="002B3C6E" w:rsidP="002B3C6E">
      <w:pPr>
        <w:jc w:val="both"/>
      </w:pPr>
      <w:r w:rsidRPr="002B3C6E">
        <w:t xml:space="preserve">Justine A. Lee, Lisa L. Powell (2013). </w:t>
      </w:r>
      <w:r w:rsidRPr="002B3C6E">
        <w:rPr>
          <w:i/>
          <w:iCs/>
        </w:rPr>
        <w:t xml:space="preserve">Emergency care. </w:t>
      </w:r>
      <w:r w:rsidRPr="002B3C6E">
        <w:t>Veterinary clinics of North</w:t>
      </w:r>
    </w:p>
    <w:p w14:paraId="5A7D8CE0" w14:textId="77777777" w:rsidR="002B3C6E" w:rsidRPr="002B3C6E" w:rsidRDefault="002B3C6E" w:rsidP="002B3C6E">
      <w:pPr>
        <w:jc w:val="both"/>
      </w:pPr>
      <w:r w:rsidRPr="002B3C6E">
        <w:t>America: Small animal practice. </w:t>
      </w:r>
    </w:p>
    <w:p w14:paraId="51F960C7" w14:textId="250C706C" w:rsidR="0072531A" w:rsidRDefault="0072531A">
      <w:r>
        <w:br w:type="page"/>
      </w:r>
    </w:p>
    <w:p w14:paraId="71985E45" w14:textId="282E0369" w:rsidR="0072531A" w:rsidRPr="002617A2" w:rsidRDefault="0072531A" w:rsidP="0072531A">
      <w:pPr>
        <w:jc w:val="both"/>
      </w:pPr>
      <w:r w:rsidRPr="0072531A">
        <w:rPr>
          <w:b/>
          <w:bCs/>
        </w:rPr>
        <w:lastRenderedPageBreak/>
        <w:t>Νεοπλασίες στα Κατοικίδια Κουνέλια: Επιδημιολογικά Πρότυπα και Διαγνωστικές Στρατηγικές</w:t>
      </w:r>
    </w:p>
    <w:p w14:paraId="7D6576BF" w14:textId="77777777" w:rsidR="0072531A" w:rsidRPr="0072531A" w:rsidRDefault="0072531A" w:rsidP="0072531A">
      <w:pPr>
        <w:jc w:val="both"/>
      </w:pPr>
      <w:r w:rsidRPr="0072531A">
        <w:t>Μπιτσακάκη Αικατερίνη</w:t>
      </w:r>
      <w:r w:rsidRPr="0072531A">
        <w:rPr>
          <w:vertAlign w:val="superscript"/>
        </w:rPr>
        <w:t>1</w:t>
      </w:r>
      <w:r w:rsidRPr="0072531A">
        <w:t>, Σβάρνα Φωτεινή</w:t>
      </w:r>
      <w:r w:rsidRPr="0072531A">
        <w:rPr>
          <w:vertAlign w:val="superscript"/>
        </w:rPr>
        <w:t>1</w:t>
      </w:r>
      <w:r w:rsidRPr="0072531A">
        <w:t>, Τσέρνου Δέσποινα-Μαρία</w:t>
      </w:r>
      <w:r w:rsidRPr="0072531A">
        <w:rPr>
          <w:vertAlign w:val="superscript"/>
        </w:rPr>
        <w:t>1</w:t>
      </w:r>
      <w:r w:rsidRPr="0072531A">
        <w:t xml:space="preserve"> , Κομνηνού Αναστασία</w:t>
      </w:r>
      <w:r w:rsidRPr="0072531A">
        <w:rPr>
          <w:vertAlign w:val="superscript"/>
        </w:rPr>
        <w:t>2   </w:t>
      </w:r>
    </w:p>
    <w:p w14:paraId="38897CFE" w14:textId="77777777" w:rsidR="0072531A" w:rsidRPr="0072531A" w:rsidRDefault="0072531A">
      <w:pPr>
        <w:numPr>
          <w:ilvl w:val="0"/>
          <w:numId w:val="116"/>
        </w:numPr>
        <w:jc w:val="both"/>
      </w:pPr>
      <w:r w:rsidRPr="0072531A">
        <w:t>Προπτυχιακή φοιτήτρια, Τμήμα Κτηνιατρικής, Σχολή Επιστημών Υγείας, Αριστοτέλειο Πανεπιστήμιο Θεσσαλονίκης</w:t>
      </w:r>
    </w:p>
    <w:p w14:paraId="0D8CDCA4" w14:textId="77777777" w:rsidR="0072531A" w:rsidRPr="0072531A" w:rsidRDefault="0072531A">
      <w:pPr>
        <w:numPr>
          <w:ilvl w:val="0"/>
          <w:numId w:val="116"/>
        </w:numPr>
        <w:jc w:val="both"/>
      </w:pPr>
      <w:r w:rsidRPr="0072531A">
        <w:t>Καθηγήτρια, Τμήμα Κτηνιατρικής, Σχολή Επιστημών Υγείας, Αριστοτέλειο Πανεπιστήμιο Θεσσαλονίκης</w:t>
      </w:r>
    </w:p>
    <w:p w14:paraId="6FF9342D" w14:textId="77777777" w:rsidR="0072531A" w:rsidRPr="0072531A" w:rsidRDefault="0072531A" w:rsidP="0072531A">
      <w:pPr>
        <w:jc w:val="both"/>
      </w:pPr>
    </w:p>
    <w:p w14:paraId="46538FD1" w14:textId="77777777" w:rsidR="0072531A" w:rsidRPr="0072531A" w:rsidRDefault="0072531A" w:rsidP="0072531A">
      <w:pPr>
        <w:jc w:val="both"/>
      </w:pPr>
      <w:r w:rsidRPr="0072531A">
        <w:rPr>
          <w:b/>
          <w:bCs/>
        </w:rPr>
        <w:t>Περίληψη</w:t>
      </w:r>
    </w:p>
    <w:p w14:paraId="0EC12D4E" w14:textId="77777777" w:rsidR="0072531A" w:rsidRPr="0072531A" w:rsidRDefault="0072531A" w:rsidP="0072531A">
      <w:pPr>
        <w:jc w:val="both"/>
      </w:pPr>
      <w:r w:rsidRPr="0072531A">
        <w:t>Οι νεοπλασίες αποτελούν μία από τις συχνότερες αιτίες θανάτου σε κατοικίδια κουνέλια ηλικίας άνω των πέντε ετών. Η επιδημιολογία των νεοπλασματικών νοσημάτων στα ζώα αυτά παρουσιάζει σημαντικές διαφοροποιήσεις σε σύγκριση τόσο με άλλα ζώα συντροφιάς, όσο και με κουνέλια εργαστηρίου ή εκτροφής. Τα πρωτογενή νεοπλάσματα στα κουνέλια δύνανται να εκδηλωθούν σε οποιοδήποτε οργανικό σύστημα· ωστόσο, παρατηρούνται συχνότερα στο αναπαραγωγικό, το αιμοποιητικό και το καλυπτήριο σύστημα. Μεταξύ των πλέον συχνών νεοπλασμάτων περιλαμβάνονται το αδενοκαρκίνωμα της μήτρας, το λέμφωμα, το θύμωμα,   οι νεοπλασίες των μαστών και του δέρματος. Η εμφάνιση τους σχετίζεται στενά με την ηλικία, ενώ ιδιαίτερη προδιάθεση εμφανίζουν τα ακέραια θηλυκά, κυρίως για νεοπλάσματα του αναπαραγωγικού συστήματος και των μαστών, ενώ συχνά παίζει ρόλο και η φυλή. Οι ιδιαιτερότητες της φυσιολογίας και της ανατομίας των κουνελιών επηρεάζουν τόσο την παθογένεια όσο και τη διαγνωστική και θεραπευτική προσέγγιση των νοσημάτων αυτών. Η διάγνωση βασίζεται  στον συνδυασμό εργαστηριακών εξετάσεων  (αιματολογικών, βιοχημικών κ.α), και απεικονιστικών τεχνικών. Παράλληλα η  κυτταρολογική και ιστοπαθολογική εξέταση  είναι καθοριστική για την ταυτοποίηση των όγκων.  Η ενημέρωση τόσο των κτηνιάτρων όσο και των ιδιοκτητών σχετικά με τα νεοπλασματικά νοσήματα των κουνελιών είναι καθοριστικής σημασίας τόσο για την πρόληψη, μέσω της έγκαιρης στείρωσης των θηλυκών, όσο και για την έγκαιρη διάγνωση και την ορθή θεραπευτική διαχείριση. </w:t>
      </w:r>
    </w:p>
    <w:p w14:paraId="23F3BDCA" w14:textId="77777777" w:rsidR="0072531A" w:rsidRPr="0072531A" w:rsidRDefault="0072531A" w:rsidP="0072531A">
      <w:pPr>
        <w:jc w:val="both"/>
      </w:pPr>
    </w:p>
    <w:p w14:paraId="58C4A78D" w14:textId="77777777" w:rsidR="0072531A" w:rsidRPr="0072531A" w:rsidRDefault="0072531A" w:rsidP="0072531A">
      <w:pPr>
        <w:jc w:val="both"/>
      </w:pPr>
      <w:r w:rsidRPr="0072531A">
        <w:rPr>
          <w:b/>
          <w:bCs/>
        </w:rPr>
        <w:t>Βιβλιογραφία</w:t>
      </w:r>
    </w:p>
    <w:p w14:paraId="0B5CBCC5" w14:textId="77777777" w:rsidR="0072531A" w:rsidRPr="0072531A" w:rsidRDefault="0072531A" w:rsidP="0072531A">
      <w:pPr>
        <w:jc w:val="both"/>
      </w:pPr>
      <w:r w:rsidRPr="0072531A">
        <w:t xml:space="preserve">Bertram, C. A., et al. (2020). </w:t>
      </w:r>
      <w:r w:rsidRPr="0072531A">
        <w:rPr>
          <w:i/>
          <w:iCs/>
        </w:rPr>
        <w:t>Neoplasia and tumor-like lesions in pet rabbits (Oryctolagus cuniculus): A retrospective analysis of cases between 1995 and 2019.</w:t>
      </w:r>
      <w:r w:rsidRPr="0072531A">
        <w:t xml:space="preserve"> Veterinary Pathology, 58(5), 901–911.</w:t>
      </w:r>
    </w:p>
    <w:p w14:paraId="7FC27E4C" w14:textId="77777777" w:rsidR="0072531A" w:rsidRPr="0072531A" w:rsidRDefault="0072531A" w:rsidP="0072531A">
      <w:pPr>
        <w:jc w:val="both"/>
      </w:pPr>
      <w:r w:rsidRPr="0072531A">
        <w:t xml:space="preserve">Hill, F. I., et al. (2024). </w:t>
      </w:r>
      <w:r w:rsidRPr="0072531A">
        <w:rPr>
          <w:i/>
          <w:iCs/>
        </w:rPr>
        <w:t>Neoplastic and non-neoplastic lesions in biopsy samples from pet rabbits in Hong Kong: A retrospective analysis, 2019-2022.</w:t>
      </w:r>
      <w:r w:rsidRPr="0072531A">
        <w:t xml:space="preserve"> Journal of Veterinary Diagnostic Investigation, 36(5), 701–710.</w:t>
      </w:r>
      <w:hyperlink r:id="rId142" w:history="1">
        <w:r w:rsidRPr="0072531A">
          <w:rPr>
            <w:rStyle w:val="-"/>
          </w:rPr>
          <w:t> </w:t>
        </w:r>
      </w:hyperlink>
    </w:p>
    <w:p w14:paraId="6374144E" w14:textId="77777777" w:rsidR="0072531A" w:rsidRPr="0072531A" w:rsidRDefault="0072531A" w:rsidP="0072531A">
      <w:pPr>
        <w:jc w:val="both"/>
      </w:pPr>
      <w:r w:rsidRPr="0072531A">
        <w:t xml:space="preserve">Lee, A., &amp; Berg, K. J. (2026). </w:t>
      </w:r>
      <w:r w:rsidRPr="0072531A">
        <w:rPr>
          <w:i/>
          <w:iCs/>
        </w:rPr>
        <w:t>Recent advances in rabbit oncology.</w:t>
      </w:r>
      <w:r w:rsidRPr="0072531A">
        <w:t xml:space="preserve"> Veterinary Clinics of North America: Exotic Animal Practice. Advance online publication.</w:t>
      </w:r>
      <w:hyperlink r:id="rId143" w:history="1">
        <w:r w:rsidRPr="0072531A">
          <w:rPr>
            <w:rStyle w:val="-"/>
            <w:i/>
            <w:iCs/>
          </w:rPr>
          <w:t> </w:t>
        </w:r>
      </w:hyperlink>
    </w:p>
    <w:p w14:paraId="773BE759" w14:textId="77777777" w:rsidR="0072531A" w:rsidRPr="0072531A" w:rsidRDefault="0072531A" w:rsidP="0072531A">
      <w:pPr>
        <w:jc w:val="both"/>
      </w:pPr>
      <w:r w:rsidRPr="0072531A">
        <w:t xml:space="preserve">Pornsukarom, S., et al. (2023). </w:t>
      </w:r>
      <w:r w:rsidRPr="0072531A">
        <w:rPr>
          <w:i/>
          <w:iCs/>
        </w:rPr>
        <w:t>Analysis of occurrence and risk factors associated with pet rabbits’ tumors in central Thailand.</w:t>
      </w:r>
      <w:r w:rsidRPr="0072531A">
        <w:t xml:space="preserve"> Journal of Veterinary Medical Science, 85(12), 1341–1347.</w:t>
      </w:r>
      <w:hyperlink r:id="rId144" w:history="1">
        <w:r w:rsidRPr="0072531A">
          <w:rPr>
            <w:rStyle w:val="-"/>
          </w:rPr>
          <w:t> </w:t>
        </w:r>
      </w:hyperlink>
    </w:p>
    <w:p w14:paraId="50273A91" w14:textId="77777777" w:rsidR="0072531A" w:rsidRPr="0072531A" w:rsidRDefault="0072531A" w:rsidP="0072531A">
      <w:pPr>
        <w:jc w:val="both"/>
      </w:pPr>
      <w:r w:rsidRPr="0072531A">
        <w:t xml:space="preserve">Robertson, J. A., et al. (2022). </w:t>
      </w:r>
      <w:r w:rsidRPr="0072531A">
        <w:rPr>
          <w:i/>
          <w:iCs/>
        </w:rPr>
        <w:t>Clinical and pathological findings of rabbits with lymphoma: 16 cases (1996–2019).</w:t>
      </w:r>
      <w:r w:rsidRPr="0072531A">
        <w:t xml:space="preserve"> Journal of the American Veterinary Medical Association, 260(9), 1–10.</w:t>
      </w:r>
      <w:hyperlink r:id="rId145" w:history="1">
        <w:r w:rsidRPr="0072531A">
          <w:rPr>
            <w:rStyle w:val="-"/>
          </w:rPr>
          <w:t> </w:t>
        </w:r>
      </w:hyperlink>
    </w:p>
    <w:p w14:paraId="0BFEA29F" w14:textId="77777777" w:rsidR="0072531A" w:rsidRPr="0072531A" w:rsidRDefault="0072531A" w:rsidP="0072531A">
      <w:pPr>
        <w:jc w:val="both"/>
      </w:pPr>
      <w:r w:rsidRPr="0072531A">
        <w:lastRenderedPageBreak/>
        <w:t xml:space="preserve">Shiga, T., et al. (2022). </w:t>
      </w:r>
      <w:r w:rsidRPr="0072531A">
        <w:rPr>
          <w:i/>
          <w:iCs/>
        </w:rPr>
        <w:t>Age at death and cause of death of pet rabbits (Oryctolagus cuniculus) seen at an exotic animal clinic in Tokyo, Japan: A retrospective study of 898 cases (2006–2020).</w:t>
      </w:r>
      <w:r w:rsidRPr="0072531A">
        <w:t xml:space="preserve"> Journal of Exotic Pet Medicine,</w:t>
      </w:r>
      <w:r w:rsidRPr="0072531A">
        <w:rPr>
          <w:i/>
          <w:iCs/>
        </w:rPr>
        <w:t xml:space="preserve"> </w:t>
      </w:r>
      <w:r w:rsidRPr="0072531A">
        <w:t>43, 35–39.</w:t>
      </w:r>
      <w:hyperlink r:id="rId146" w:history="1">
        <w:r w:rsidRPr="0072531A">
          <w:rPr>
            <w:rStyle w:val="-"/>
          </w:rPr>
          <w:t> </w:t>
        </w:r>
      </w:hyperlink>
    </w:p>
    <w:p w14:paraId="42B16E5A" w14:textId="77777777" w:rsidR="0072531A" w:rsidRDefault="0072531A" w:rsidP="0072531A">
      <w:pPr>
        <w:jc w:val="both"/>
      </w:pPr>
      <w:r w:rsidRPr="0072531A">
        <w:t xml:space="preserve">Van Zeeland, Y. (2017). </w:t>
      </w:r>
      <w:r w:rsidRPr="0072531A">
        <w:rPr>
          <w:i/>
          <w:iCs/>
        </w:rPr>
        <w:t>Rabbit oncology</w:t>
      </w:r>
      <w:r w:rsidRPr="0072531A">
        <w:t>. Veterinary Clinics of North America: Exotic Animal Practice, 20(1), 135–182.</w:t>
      </w:r>
    </w:p>
    <w:p w14:paraId="7315BC35" w14:textId="77777777" w:rsidR="0072531A" w:rsidRDefault="0072531A" w:rsidP="0072531A">
      <w:pPr>
        <w:jc w:val="both"/>
      </w:pPr>
    </w:p>
    <w:p w14:paraId="3A0BDB4A" w14:textId="77777777" w:rsidR="0072531A" w:rsidRDefault="0072531A" w:rsidP="0072531A">
      <w:pPr>
        <w:jc w:val="both"/>
      </w:pPr>
    </w:p>
    <w:p w14:paraId="3639F341" w14:textId="77777777" w:rsidR="0072531A" w:rsidRDefault="0072531A" w:rsidP="0072531A">
      <w:pPr>
        <w:jc w:val="both"/>
      </w:pPr>
    </w:p>
    <w:p w14:paraId="75D7977B" w14:textId="77777777" w:rsidR="0072531A" w:rsidRDefault="0072531A" w:rsidP="0072531A">
      <w:pPr>
        <w:jc w:val="both"/>
      </w:pPr>
    </w:p>
    <w:p w14:paraId="79FED796" w14:textId="77777777" w:rsidR="0072531A" w:rsidRDefault="0072531A" w:rsidP="0072531A">
      <w:pPr>
        <w:jc w:val="both"/>
      </w:pPr>
    </w:p>
    <w:p w14:paraId="12EA148D" w14:textId="77777777" w:rsidR="0072531A" w:rsidRDefault="0072531A" w:rsidP="0072531A">
      <w:pPr>
        <w:jc w:val="both"/>
      </w:pPr>
    </w:p>
    <w:p w14:paraId="134EF301" w14:textId="77777777" w:rsidR="0072531A" w:rsidRDefault="0072531A" w:rsidP="0072531A">
      <w:pPr>
        <w:jc w:val="both"/>
      </w:pPr>
    </w:p>
    <w:p w14:paraId="160D0E4E" w14:textId="77777777" w:rsidR="0072531A" w:rsidRDefault="0072531A" w:rsidP="0072531A">
      <w:pPr>
        <w:jc w:val="both"/>
      </w:pPr>
    </w:p>
    <w:p w14:paraId="7B9CE0B3" w14:textId="77777777" w:rsidR="0072531A" w:rsidRDefault="0072531A" w:rsidP="0072531A">
      <w:pPr>
        <w:jc w:val="both"/>
      </w:pPr>
    </w:p>
    <w:p w14:paraId="60881A52" w14:textId="77777777" w:rsidR="0072531A" w:rsidRDefault="0072531A" w:rsidP="0072531A">
      <w:pPr>
        <w:jc w:val="both"/>
      </w:pPr>
    </w:p>
    <w:p w14:paraId="5D4193BC" w14:textId="77777777" w:rsidR="0072531A" w:rsidRDefault="0072531A" w:rsidP="0072531A">
      <w:pPr>
        <w:jc w:val="both"/>
      </w:pPr>
    </w:p>
    <w:p w14:paraId="5E371104" w14:textId="77777777" w:rsidR="0072531A" w:rsidRDefault="0072531A" w:rsidP="0072531A">
      <w:pPr>
        <w:jc w:val="both"/>
      </w:pPr>
    </w:p>
    <w:p w14:paraId="3FB63952" w14:textId="77777777" w:rsidR="0072531A" w:rsidRDefault="0072531A" w:rsidP="0072531A">
      <w:pPr>
        <w:jc w:val="both"/>
      </w:pPr>
    </w:p>
    <w:p w14:paraId="43E85264" w14:textId="77777777" w:rsidR="0072531A" w:rsidRDefault="0072531A" w:rsidP="0072531A">
      <w:pPr>
        <w:jc w:val="both"/>
      </w:pPr>
    </w:p>
    <w:p w14:paraId="1A705D17" w14:textId="77777777" w:rsidR="0072531A" w:rsidRDefault="0072531A" w:rsidP="0072531A">
      <w:pPr>
        <w:jc w:val="both"/>
      </w:pPr>
    </w:p>
    <w:p w14:paraId="6E72FE2C" w14:textId="77777777" w:rsidR="0072531A" w:rsidRDefault="0072531A" w:rsidP="0072531A">
      <w:pPr>
        <w:jc w:val="both"/>
      </w:pPr>
    </w:p>
    <w:p w14:paraId="751F5C65" w14:textId="77777777" w:rsidR="0072531A" w:rsidRDefault="0072531A" w:rsidP="0072531A">
      <w:pPr>
        <w:jc w:val="both"/>
      </w:pPr>
    </w:p>
    <w:p w14:paraId="60526C48" w14:textId="77777777" w:rsidR="0072531A" w:rsidRDefault="0072531A" w:rsidP="0072531A">
      <w:pPr>
        <w:jc w:val="both"/>
      </w:pPr>
    </w:p>
    <w:p w14:paraId="057C13A5" w14:textId="77777777" w:rsidR="0072531A" w:rsidRDefault="0072531A" w:rsidP="0072531A">
      <w:pPr>
        <w:jc w:val="both"/>
      </w:pPr>
    </w:p>
    <w:p w14:paraId="1D3B28B0" w14:textId="77777777" w:rsidR="0072531A" w:rsidRDefault="0072531A" w:rsidP="0072531A">
      <w:pPr>
        <w:jc w:val="both"/>
      </w:pPr>
    </w:p>
    <w:p w14:paraId="41E66BF5" w14:textId="77777777" w:rsidR="0072531A" w:rsidRDefault="0072531A" w:rsidP="0072531A">
      <w:pPr>
        <w:jc w:val="both"/>
      </w:pPr>
    </w:p>
    <w:p w14:paraId="0826E6B8" w14:textId="77777777" w:rsidR="0072531A" w:rsidRDefault="0072531A" w:rsidP="0072531A">
      <w:pPr>
        <w:jc w:val="both"/>
      </w:pPr>
    </w:p>
    <w:p w14:paraId="2CC49076" w14:textId="77777777" w:rsidR="0072531A" w:rsidRDefault="0072531A" w:rsidP="0072531A">
      <w:pPr>
        <w:jc w:val="both"/>
      </w:pPr>
    </w:p>
    <w:p w14:paraId="2F5CC8B9" w14:textId="77777777" w:rsidR="0072531A" w:rsidRDefault="0072531A" w:rsidP="0072531A">
      <w:pPr>
        <w:jc w:val="both"/>
      </w:pPr>
    </w:p>
    <w:p w14:paraId="66080E10" w14:textId="77777777" w:rsidR="0072531A" w:rsidRDefault="0072531A" w:rsidP="0072531A">
      <w:pPr>
        <w:jc w:val="both"/>
      </w:pPr>
    </w:p>
    <w:p w14:paraId="38924137" w14:textId="77777777" w:rsidR="0072531A" w:rsidRDefault="0072531A" w:rsidP="0072531A">
      <w:pPr>
        <w:jc w:val="both"/>
      </w:pPr>
    </w:p>
    <w:p w14:paraId="736E57DC" w14:textId="77777777" w:rsidR="0072531A" w:rsidRPr="0072531A" w:rsidRDefault="0072531A" w:rsidP="0072531A">
      <w:pPr>
        <w:jc w:val="both"/>
      </w:pPr>
    </w:p>
    <w:p w14:paraId="2BE33C34" w14:textId="77777777" w:rsidR="0072531A" w:rsidRPr="0072531A" w:rsidRDefault="0072531A" w:rsidP="0072531A">
      <w:pPr>
        <w:jc w:val="both"/>
      </w:pPr>
      <w:r w:rsidRPr="0072531A">
        <w:rPr>
          <w:b/>
          <w:bCs/>
        </w:rPr>
        <w:lastRenderedPageBreak/>
        <w:t>Αλγαισθητική Οδός – Ουδός του Πόνου </w:t>
      </w:r>
    </w:p>
    <w:p w14:paraId="478951A2" w14:textId="77777777" w:rsidR="0072531A" w:rsidRPr="0072531A" w:rsidRDefault="0072531A" w:rsidP="0072531A">
      <w:pPr>
        <w:jc w:val="both"/>
      </w:pPr>
      <w:r w:rsidRPr="0072531A">
        <w:t>Νταβαρούκα Δήμητρα</w:t>
      </w:r>
      <w:r w:rsidRPr="0072531A">
        <w:rPr>
          <w:vertAlign w:val="superscript"/>
        </w:rPr>
        <w:t>1</w:t>
      </w:r>
      <w:r w:rsidRPr="0072531A">
        <w:t xml:space="preserve"> , Πετράκου Ανθούλα Μαρία</w:t>
      </w:r>
      <w:r w:rsidRPr="0072531A">
        <w:rPr>
          <w:vertAlign w:val="superscript"/>
        </w:rPr>
        <w:t>1</w:t>
      </w:r>
      <w:r w:rsidRPr="0072531A">
        <w:t>, Φλουράκη Ευγενία</w:t>
      </w:r>
      <w:r w:rsidRPr="0072531A">
        <w:rPr>
          <w:vertAlign w:val="superscript"/>
        </w:rPr>
        <w:t>2</w:t>
      </w:r>
      <w:r w:rsidRPr="0072531A">
        <w:t> </w:t>
      </w:r>
    </w:p>
    <w:p w14:paraId="7A0D9D46" w14:textId="77777777" w:rsidR="0072531A" w:rsidRPr="0072531A" w:rsidRDefault="0072531A">
      <w:pPr>
        <w:numPr>
          <w:ilvl w:val="0"/>
          <w:numId w:val="117"/>
        </w:numPr>
        <w:jc w:val="both"/>
      </w:pPr>
      <w:r w:rsidRPr="0072531A">
        <w:t>Προπτυχιακή φοιτήτρια, Τμήμα Κτηνιατρικής, Σχολή Επιστημών Υγείας, Πανεπιστήμιο Θεσσαλίας </w:t>
      </w:r>
    </w:p>
    <w:p w14:paraId="77577612" w14:textId="77777777" w:rsidR="0072531A" w:rsidRPr="0072531A" w:rsidRDefault="0072531A">
      <w:pPr>
        <w:numPr>
          <w:ilvl w:val="0"/>
          <w:numId w:val="117"/>
        </w:numPr>
        <w:jc w:val="both"/>
      </w:pPr>
      <w:r w:rsidRPr="0072531A">
        <w:t>Αναπληρώτρια Καθηγήτρια Εντατικής Θεραπείας και Αναισθησιολογίας Ζώων , Τμήμα Κτηνιατρικής, Σχολή Επιστημών Υγείας, Πανεπιστήμιο Θεσσαλίας </w:t>
      </w:r>
    </w:p>
    <w:p w14:paraId="71598340" w14:textId="77777777" w:rsidR="0072531A" w:rsidRPr="0072531A" w:rsidRDefault="0072531A" w:rsidP="0072531A">
      <w:pPr>
        <w:jc w:val="both"/>
      </w:pPr>
    </w:p>
    <w:p w14:paraId="120D320D" w14:textId="77777777" w:rsidR="0072531A" w:rsidRPr="0072531A" w:rsidRDefault="0072531A" w:rsidP="0072531A">
      <w:pPr>
        <w:jc w:val="both"/>
      </w:pPr>
      <w:r w:rsidRPr="0072531A">
        <w:rPr>
          <w:b/>
          <w:bCs/>
        </w:rPr>
        <w:t>Περίληψη</w:t>
      </w:r>
    </w:p>
    <w:p w14:paraId="1F45E3AF" w14:textId="77777777" w:rsidR="0072531A" w:rsidRPr="0072531A" w:rsidRDefault="0072531A" w:rsidP="0072531A">
      <w:pPr>
        <w:jc w:val="both"/>
      </w:pPr>
      <w:r w:rsidRPr="0072531A">
        <w:t>Ο πόνος ορίζεται ως μια δυσάρεστη αισθητική και συναισθηματική εμπειρία που σχετίζεται με πραγματική ή δυνητική ιστική βλάβη. Η αλγαισθητική οδός οργανώνεται σε αλυσίδα τριών νευρώνων: ο πρωτοταγής περιφερικός αισθητικός νευρώνας (Aδ και C ίνες) ανιχνεύει μηχανικά, θερμικά ή χημικά ερεθίσματα· ο δευτεροταγής στο οπίσθιο κέρας του νωτιαίου μυελού ολοκληρώνει και τροποποιεί το σήμα· ο τριτοταγής προβάλλει στον θάλαμο και τον εγκεφαλικό φλοιό, όπου το ερέθισμα γίνεται συνειδητή εμπειρία. Κατά μήκος της αλγαισθητικής οδού λαμβάνουν χώρα οι διεργασίες της μεταγωγής, αγωγής, μετάδοσης, τροποποίησης, προβολής και αντίληψης των επώδυνων ερεθισμάτων. Ο πόνος διακρίνεται σε οξύ, που εμφανίζεται μετά από τραύμα ή χειρουργική επέμβαση, με κύριο προστατευτικό ρόλο, και σε χρόνιο, που επιμένει πέρα από το αναμενόμενο διάστημα επούλωσης και χαρακτηρίζεται από δυσανάλογη διάρκεια και ένταση. Παράλληλα, ο φυσιολογικός πόνος έχει υψηλό ουδό, είναι εντοπισμένος και λειτουργεί ως προειδοποιητικός μηχανισμός, ενώ ο παθολογικός πόνος προκύπτει από φλεγμονή ή νευρική βλάβη, συνοδεύεται από υπεραλγησία και αλλοδυνία και αντανακλά δυσλειτουργία της νευρικής επεξεργασίας, απαιτώντας πολυμορφική και προληπτική αντιμετώπιση. Σημαντικό είναι να διακρίνεται ο πόνος από την αλγαισθησία, καθώς η δεύτερη αφορά τη νευρωνική επεξεργασία των βλαπτικών ερεθισμάτων, ενώ ο πόνος προϋποθέτει συνειδητή αντίληψη και συμμετοχή ανώτερων εγκεφαλικών κέντρων. </w:t>
      </w:r>
    </w:p>
    <w:p w14:paraId="573C6493" w14:textId="77777777" w:rsidR="0072531A" w:rsidRPr="0072531A" w:rsidRDefault="0072531A" w:rsidP="0072531A">
      <w:pPr>
        <w:jc w:val="both"/>
      </w:pPr>
    </w:p>
    <w:p w14:paraId="42EB377D" w14:textId="77777777" w:rsidR="0072531A" w:rsidRPr="0072531A" w:rsidRDefault="0072531A" w:rsidP="0072531A">
      <w:pPr>
        <w:jc w:val="both"/>
      </w:pPr>
      <w:r w:rsidRPr="0072531A">
        <w:rPr>
          <w:b/>
          <w:bCs/>
        </w:rPr>
        <w:t>Βιβλιογραφία</w:t>
      </w:r>
    </w:p>
    <w:p w14:paraId="54BC9951" w14:textId="77777777" w:rsidR="0072531A" w:rsidRPr="0072531A" w:rsidRDefault="0072531A" w:rsidP="0072531A">
      <w:pPr>
        <w:jc w:val="both"/>
      </w:pPr>
      <w:r w:rsidRPr="0072531A">
        <w:t xml:space="preserve">Duke-Novakovski, T., de Vries, M. &amp; Seymour, C. (eds.) (2016). </w:t>
      </w:r>
      <w:r w:rsidRPr="0072531A">
        <w:rPr>
          <w:i/>
          <w:iCs/>
        </w:rPr>
        <w:t>BSAVA Manual of Canine and Feline Anaesthesia and Analgesia</w:t>
      </w:r>
      <w:r w:rsidRPr="0072531A">
        <w:t>. 3rd ed. Gloucester: British Small Animal Veterinary Association. </w:t>
      </w:r>
    </w:p>
    <w:p w14:paraId="62528946" w14:textId="77777777" w:rsidR="0072531A" w:rsidRPr="0072531A" w:rsidRDefault="0072531A" w:rsidP="0072531A">
      <w:pPr>
        <w:jc w:val="both"/>
      </w:pPr>
      <w:r w:rsidRPr="0072531A">
        <w:t xml:space="preserve">Gruen, M. E., Lascelles, B. D. X., Colleran, E., Gottlieb, A., Johnson, J., Lotsikas, P., Marcellin-Little, D., &amp; Wright, B. (2022). </w:t>
      </w:r>
      <w:r w:rsidRPr="0072531A">
        <w:rPr>
          <w:i/>
          <w:iCs/>
        </w:rPr>
        <w:t>2022 AAHA pain management guidelines for dogs and cats.</w:t>
      </w:r>
      <w:r w:rsidRPr="0072531A">
        <w:t xml:space="preserve"> Journal of the American Animal Hospital Association, 58(1), 55–76.</w:t>
      </w:r>
    </w:p>
    <w:p w14:paraId="13691BE6" w14:textId="77777777" w:rsidR="0072531A" w:rsidRPr="0072531A" w:rsidRDefault="0072531A" w:rsidP="0072531A">
      <w:pPr>
        <w:jc w:val="both"/>
      </w:pPr>
      <w:r w:rsidRPr="0072531A">
        <w:t xml:space="preserve">Lamont, L. A., Tranquilli, W. J., &amp; Grimm, K. A. (2000). </w:t>
      </w:r>
      <w:r w:rsidRPr="0072531A">
        <w:rPr>
          <w:i/>
          <w:iCs/>
        </w:rPr>
        <w:t>Physiology of pain.</w:t>
      </w:r>
      <w:r w:rsidRPr="0072531A">
        <w:t xml:space="preserve"> Veterinary Clinics of North America: Small Animal Practice, 30(4), 703–728. </w:t>
      </w:r>
    </w:p>
    <w:p w14:paraId="425FF563" w14:textId="77777777" w:rsidR="0072531A" w:rsidRPr="0072531A" w:rsidRDefault="0072531A" w:rsidP="0072531A">
      <w:pPr>
        <w:jc w:val="both"/>
      </w:pPr>
      <w:r w:rsidRPr="0072531A">
        <w:t xml:space="preserve">Meintjes, R. A. (2012). </w:t>
      </w:r>
      <w:r w:rsidRPr="0072531A">
        <w:rPr>
          <w:i/>
          <w:iCs/>
        </w:rPr>
        <w:t>An overview of the physiology of pain for the veterinarian.</w:t>
      </w:r>
      <w:r w:rsidRPr="0072531A">
        <w:t xml:space="preserve"> The Veterinary Journal, 193(2), 289–293. </w:t>
      </w:r>
    </w:p>
    <w:p w14:paraId="76559E98" w14:textId="77777777" w:rsidR="0072531A" w:rsidRPr="0072531A" w:rsidRDefault="0072531A" w:rsidP="0072531A">
      <w:pPr>
        <w:jc w:val="both"/>
      </w:pPr>
      <w:r w:rsidRPr="0072531A">
        <w:t xml:space="preserve">Pedersen, T. R., Berendt, M., &amp; Rusbridge, C. (2025). </w:t>
      </w:r>
      <w:r w:rsidRPr="0072531A">
        <w:rPr>
          <w:i/>
          <w:iCs/>
        </w:rPr>
        <w:t>Neuroanatomy of spinal nociception and pain in dogs and cats: A practical review for the veterinary clinician.</w:t>
      </w:r>
      <w:r w:rsidRPr="0072531A">
        <w:t xml:space="preserve"> Frontiers in Veterinary Science, 12, 1534685. </w:t>
      </w:r>
    </w:p>
    <w:p w14:paraId="4DB21FEF" w14:textId="77777777" w:rsidR="0072531A" w:rsidRPr="0072531A" w:rsidRDefault="0072531A" w:rsidP="0072531A">
      <w:pPr>
        <w:jc w:val="both"/>
      </w:pPr>
      <w:r w:rsidRPr="0072531A">
        <w:lastRenderedPageBreak/>
        <w:t xml:space="preserve">Robertson, S. A. (2002). </w:t>
      </w:r>
      <w:r w:rsidRPr="0072531A">
        <w:rPr>
          <w:i/>
          <w:iCs/>
        </w:rPr>
        <w:t>What is pain?</w:t>
      </w:r>
      <w:r w:rsidRPr="0072531A">
        <w:t xml:space="preserve"> Journal of the American Veterinary Medical Association, 221(2), 202–205. </w:t>
      </w:r>
    </w:p>
    <w:p w14:paraId="457FF143" w14:textId="77777777" w:rsidR="0072531A" w:rsidRPr="0072531A" w:rsidRDefault="0072531A" w:rsidP="0072531A">
      <w:pPr>
        <w:jc w:val="both"/>
      </w:pPr>
      <w:r w:rsidRPr="0072531A">
        <w:t xml:space="preserve">Sator-Katzenschlager, S. (2014). </w:t>
      </w:r>
      <w:r w:rsidRPr="0072531A">
        <w:rPr>
          <w:i/>
          <w:iCs/>
        </w:rPr>
        <w:t>Pain and neuroplasticity.</w:t>
      </w:r>
      <w:r w:rsidRPr="0072531A">
        <w:t xml:space="preserve"> Revista Médica Clínica Las Condes, 25(4), 699–706. </w:t>
      </w:r>
    </w:p>
    <w:p w14:paraId="58575E39" w14:textId="77777777" w:rsidR="0072531A" w:rsidRDefault="0072531A" w:rsidP="0072531A">
      <w:pPr>
        <w:jc w:val="both"/>
      </w:pPr>
      <w:r w:rsidRPr="0072531A">
        <w:t xml:space="preserve">Short, C. E. (1998). </w:t>
      </w:r>
      <w:r w:rsidRPr="0072531A">
        <w:rPr>
          <w:i/>
          <w:iCs/>
        </w:rPr>
        <w:t>Fundamentals of pain perception in animals.</w:t>
      </w:r>
      <w:r w:rsidRPr="0072531A">
        <w:t xml:space="preserve"> Applied Animal Behaviour Science, 59(2–3), 125–133. </w:t>
      </w:r>
    </w:p>
    <w:p w14:paraId="4D415214" w14:textId="77777777" w:rsidR="0072531A" w:rsidRDefault="0072531A" w:rsidP="0072531A">
      <w:pPr>
        <w:jc w:val="both"/>
      </w:pPr>
    </w:p>
    <w:p w14:paraId="5D122F7E" w14:textId="77777777" w:rsidR="0072531A" w:rsidRDefault="0072531A" w:rsidP="0072531A">
      <w:pPr>
        <w:jc w:val="both"/>
      </w:pPr>
    </w:p>
    <w:p w14:paraId="3DEE1D1E" w14:textId="77777777" w:rsidR="0072531A" w:rsidRDefault="0072531A" w:rsidP="0072531A">
      <w:pPr>
        <w:jc w:val="both"/>
      </w:pPr>
    </w:p>
    <w:p w14:paraId="1411883F" w14:textId="77777777" w:rsidR="0072531A" w:rsidRDefault="0072531A" w:rsidP="0072531A">
      <w:pPr>
        <w:jc w:val="both"/>
      </w:pPr>
    </w:p>
    <w:p w14:paraId="678413A0" w14:textId="77777777" w:rsidR="0072531A" w:rsidRDefault="0072531A" w:rsidP="0072531A">
      <w:pPr>
        <w:jc w:val="both"/>
      </w:pPr>
    </w:p>
    <w:p w14:paraId="69613091" w14:textId="77777777" w:rsidR="0072531A" w:rsidRDefault="0072531A" w:rsidP="0072531A">
      <w:pPr>
        <w:jc w:val="both"/>
      </w:pPr>
    </w:p>
    <w:p w14:paraId="68F0B065" w14:textId="77777777" w:rsidR="0072531A" w:rsidRDefault="0072531A" w:rsidP="0072531A">
      <w:pPr>
        <w:jc w:val="both"/>
      </w:pPr>
    </w:p>
    <w:p w14:paraId="06B44002" w14:textId="77777777" w:rsidR="0072531A" w:rsidRDefault="0072531A" w:rsidP="0072531A">
      <w:pPr>
        <w:jc w:val="both"/>
      </w:pPr>
    </w:p>
    <w:p w14:paraId="72F2E3CD" w14:textId="77777777" w:rsidR="0072531A" w:rsidRDefault="0072531A" w:rsidP="0072531A">
      <w:pPr>
        <w:jc w:val="both"/>
      </w:pPr>
    </w:p>
    <w:p w14:paraId="66A99155" w14:textId="77777777" w:rsidR="0072531A" w:rsidRDefault="0072531A" w:rsidP="0072531A">
      <w:pPr>
        <w:jc w:val="both"/>
      </w:pPr>
    </w:p>
    <w:p w14:paraId="3F683C25" w14:textId="77777777" w:rsidR="0072531A" w:rsidRDefault="0072531A" w:rsidP="0072531A">
      <w:pPr>
        <w:jc w:val="both"/>
      </w:pPr>
    </w:p>
    <w:p w14:paraId="2EECD18D" w14:textId="77777777" w:rsidR="0072531A" w:rsidRDefault="0072531A" w:rsidP="0072531A">
      <w:pPr>
        <w:jc w:val="both"/>
      </w:pPr>
    </w:p>
    <w:p w14:paraId="1CE6D682" w14:textId="77777777" w:rsidR="0072531A" w:rsidRDefault="0072531A" w:rsidP="0072531A">
      <w:pPr>
        <w:jc w:val="both"/>
      </w:pPr>
    </w:p>
    <w:p w14:paraId="04897FD3" w14:textId="77777777" w:rsidR="0072531A" w:rsidRDefault="0072531A" w:rsidP="0072531A">
      <w:pPr>
        <w:jc w:val="both"/>
      </w:pPr>
    </w:p>
    <w:p w14:paraId="61E70678" w14:textId="77777777" w:rsidR="0072531A" w:rsidRDefault="0072531A" w:rsidP="0072531A">
      <w:pPr>
        <w:jc w:val="both"/>
      </w:pPr>
    </w:p>
    <w:p w14:paraId="7394EA67" w14:textId="77777777" w:rsidR="0072531A" w:rsidRDefault="0072531A" w:rsidP="0072531A">
      <w:pPr>
        <w:jc w:val="both"/>
      </w:pPr>
    </w:p>
    <w:p w14:paraId="732DB7AE" w14:textId="77777777" w:rsidR="0072531A" w:rsidRDefault="0072531A" w:rsidP="0072531A">
      <w:pPr>
        <w:jc w:val="both"/>
      </w:pPr>
    </w:p>
    <w:p w14:paraId="7A0F8DA2" w14:textId="77777777" w:rsidR="0072531A" w:rsidRDefault="0072531A" w:rsidP="0072531A">
      <w:pPr>
        <w:jc w:val="both"/>
      </w:pPr>
    </w:p>
    <w:p w14:paraId="02982040" w14:textId="77777777" w:rsidR="0072531A" w:rsidRDefault="0072531A" w:rsidP="0072531A">
      <w:pPr>
        <w:jc w:val="both"/>
      </w:pPr>
    </w:p>
    <w:p w14:paraId="7ABECE33" w14:textId="77777777" w:rsidR="0072531A" w:rsidRDefault="0072531A" w:rsidP="0072531A">
      <w:pPr>
        <w:jc w:val="both"/>
      </w:pPr>
    </w:p>
    <w:p w14:paraId="6E70D183" w14:textId="77777777" w:rsidR="0072531A" w:rsidRDefault="0072531A" w:rsidP="0072531A">
      <w:pPr>
        <w:jc w:val="both"/>
      </w:pPr>
    </w:p>
    <w:p w14:paraId="3985A4D7" w14:textId="77777777" w:rsidR="0072531A" w:rsidRDefault="0072531A" w:rsidP="0072531A">
      <w:pPr>
        <w:jc w:val="both"/>
      </w:pPr>
    </w:p>
    <w:p w14:paraId="5CB5F3F6" w14:textId="77777777" w:rsidR="0072531A" w:rsidRDefault="0072531A" w:rsidP="0072531A">
      <w:pPr>
        <w:jc w:val="both"/>
      </w:pPr>
    </w:p>
    <w:p w14:paraId="4C8DA686" w14:textId="77777777" w:rsidR="0072531A" w:rsidRDefault="0072531A" w:rsidP="0072531A">
      <w:pPr>
        <w:jc w:val="both"/>
      </w:pPr>
    </w:p>
    <w:p w14:paraId="6491F092" w14:textId="77777777" w:rsidR="0072531A" w:rsidRPr="002617A2" w:rsidRDefault="0072531A" w:rsidP="0072531A">
      <w:pPr>
        <w:jc w:val="both"/>
      </w:pPr>
    </w:p>
    <w:p w14:paraId="5765B0B4" w14:textId="77777777" w:rsidR="0072531A" w:rsidRPr="002617A2" w:rsidRDefault="0072531A" w:rsidP="0072531A">
      <w:pPr>
        <w:jc w:val="both"/>
      </w:pPr>
    </w:p>
    <w:p w14:paraId="2AC6841B" w14:textId="646F7CEC" w:rsidR="0072531A" w:rsidRPr="002617A2" w:rsidRDefault="0072531A" w:rsidP="0072531A">
      <w:pPr>
        <w:jc w:val="both"/>
      </w:pPr>
      <w:r w:rsidRPr="0072531A">
        <w:rPr>
          <w:b/>
          <w:bCs/>
        </w:rPr>
        <w:lastRenderedPageBreak/>
        <w:t>Θεραπευτική Προσέγγιση Πρωτογενούς Ανοσολογικής Αιμολυτικής Αναιμίας σε Σκύλο</w:t>
      </w:r>
    </w:p>
    <w:p w14:paraId="1CC6B9A8" w14:textId="65ABE8D3" w:rsidR="0072531A" w:rsidRPr="002617A2" w:rsidRDefault="0072531A" w:rsidP="0072531A">
      <w:pPr>
        <w:jc w:val="both"/>
      </w:pPr>
      <w:r w:rsidRPr="0072531A">
        <w:t>Γραικούσης Αντώνιος</w:t>
      </w:r>
      <w:r w:rsidRPr="0072531A">
        <w:rPr>
          <w:vertAlign w:val="superscript"/>
        </w:rPr>
        <w:t>1</w:t>
      </w:r>
      <w:r w:rsidRPr="0072531A">
        <w:t>, Κολοκούτσα Χαρίκλεια</w:t>
      </w:r>
      <w:r w:rsidRPr="0072531A">
        <w:rPr>
          <w:vertAlign w:val="superscript"/>
        </w:rPr>
        <w:t>1</w:t>
      </w:r>
      <w:r w:rsidRPr="0072531A">
        <w:t>, Τσιμπογιάννη Αθηνά</w:t>
      </w:r>
      <w:r w:rsidRPr="0072531A">
        <w:rPr>
          <w:vertAlign w:val="superscript"/>
        </w:rPr>
        <w:t>2</w:t>
      </w:r>
      <w:r w:rsidRPr="0072531A">
        <w:t>, Κωνσταντινίδης Αλέξανδρος</w:t>
      </w:r>
      <w:r w:rsidRPr="0072531A">
        <w:rPr>
          <w:vertAlign w:val="superscript"/>
        </w:rPr>
        <w:t>3</w:t>
      </w:r>
    </w:p>
    <w:p w14:paraId="0ECD1E34" w14:textId="77777777" w:rsidR="0072531A" w:rsidRPr="0072531A" w:rsidRDefault="0072531A">
      <w:pPr>
        <w:numPr>
          <w:ilvl w:val="0"/>
          <w:numId w:val="118"/>
        </w:numPr>
        <w:jc w:val="both"/>
      </w:pPr>
      <w:r w:rsidRPr="0072531A">
        <w:t>Προπτυχιακός/-ή Φοιτητής/-τρια, Τμήμα Κτηνιατρικής, Σχολή Επιστημών Υγείας, Αριστοτέλειο Πανεπιστήμιο Θεσσαλονίκης</w:t>
      </w:r>
    </w:p>
    <w:p w14:paraId="6E0C5EE5" w14:textId="77777777" w:rsidR="0072531A" w:rsidRPr="0072531A" w:rsidRDefault="0072531A">
      <w:pPr>
        <w:numPr>
          <w:ilvl w:val="0"/>
          <w:numId w:val="118"/>
        </w:numPr>
        <w:jc w:val="both"/>
      </w:pPr>
      <w:r w:rsidRPr="0072531A">
        <w:t>Κτηνίατρος, Μεταπτυχιακή Φοιτήτρια, Κλινική των Ζώων Συντροφιάς, Τμήμα Κτηνιατρικής, ΑΠΘ</w:t>
      </w:r>
    </w:p>
    <w:p w14:paraId="6BA16542" w14:textId="77777777" w:rsidR="0072531A" w:rsidRPr="0072531A" w:rsidRDefault="0072531A">
      <w:pPr>
        <w:numPr>
          <w:ilvl w:val="0"/>
          <w:numId w:val="118"/>
        </w:numPr>
        <w:jc w:val="both"/>
      </w:pPr>
      <w:r w:rsidRPr="0072531A">
        <w:t>Κτηνίατρος, Διδάκτορας, Επιστημονικός συνεργάτης, Κλινική των Ζώων Συντροφιάς, Τμήμα Κτηνιατρικής, ΑΠΘ</w:t>
      </w:r>
    </w:p>
    <w:p w14:paraId="29B68EBD" w14:textId="77777777" w:rsidR="0072531A" w:rsidRPr="0072531A" w:rsidRDefault="0072531A" w:rsidP="0072531A">
      <w:pPr>
        <w:jc w:val="both"/>
      </w:pPr>
    </w:p>
    <w:p w14:paraId="5B8EA294" w14:textId="77777777" w:rsidR="0072531A" w:rsidRPr="0072531A" w:rsidRDefault="0072531A" w:rsidP="0072531A">
      <w:pPr>
        <w:jc w:val="both"/>
      </w:pPr>
      <w:r w:rsidRPr="0072531A">
        <w:rPr>
          <w:b/>
          <w:bCs/>
        </w:rPr>
        <w:t>Περίληψη</w:t>
      </w:r>
    </w:p>
    <w:p w14:paraId="09FFF145" w14:textId="77777777" w:rsidR="0072531A" w:rsidRPr="0072531A" w:rsidRDefault="0072531A" w:rsidP="0072531A">
      <w:pPr>
        <w:jc w:val="both"/>
      </w:pPr>
      <w:r w:rsidRPr="0072531A">
        <w:rPr>
          <w:b/>
          <w:bCs/>
        </w:rPr>
        <w:t>Εισαγωγή</w:t>
      </w:r>
    </w:p>
    <w:p w14:paraId="3AD78DF4" w14:textId="6E1E47FD" w:rsidR="0072531A" w:rsidRPr="002617A2" w:rsidRDefault="0072531A" w:rsidP="0072531A">
      <w:pPr>
        <w:jc w:val="both"/>
      </w:pPr>
      <w:r w:rsidRPr="0072531A">
        <w:t>Η πρωτογενής ανοσολογική αιμολυτική αναιμία αποτελεί συχνή αιτία νοσηρότητας και θνησιμότητας στο σκύλο και συχνά απαιτεί επιθετική και πολυπαραγοντική ανοσοκατασταλτική θεραπεία. Περιγράφεται η θεραπευτική διαχείριση σκύλου με σοβαρή πρωτογενή ανοσολογική αιμολυτική αναιμία.</w:t>
      </w:r>
    </w:p>
    <w:p w14:paraId="7A6D91B8" w14:textId="77777777" w:rsidR="0072531A" w:rsidRPr="0072531A" w:rsidRDefault="0072531A" w:rsidP="0072531A">
      <w:pPr>
        <w:jc w:val="both"/>
      </w:pPr>
      <w:r w:rsidRPr="0072531A">
        <w:rPr>
          <w:b/>
          <w:bCs/>
        </w:rPr>
        <w:t>Κλινικό περιστατικό</w:t>
      </w:r>
      <w:r w:rsidRPr="0072531A">
        <w:rPr>
          <w:b/>
          <w:bCs/>
        </w:rPr>
        <w:tab/>
      </w:r>
    </w:p>
    <w:p w14:paraId="587C3601" w14:textId="77777777" w:rsidR="0072531A" w:rsidRPr="0072531A" w:rsidRDefault="0072531A" w:rsidP="0072531A">
      <w:pPr>
        <w:jc w:val="both"/>
      </w:pPr>
      <w:r w:rsidRPr="0072531A">
        <w:t>Σκύλος ακαθόριστης φυλής, θηλυκός στειρωμένος, 3 ετών προσκομίστηκε σε λήθαργο με ιστορικό πρωτογενούς ανοσολογικής αιμολυτικής αναιμίας, υπό αγωγή με δεξαμεθαζόνη, παρά την οποία παρατηρήθηκε επιδείνωση της αναιμίας. Στην κλινική εξέταση διαπιστώθηκε μέτρια ωχρότητα των βλεννογόνων. Στην αιματολογική εξέταση βρέθηκε σοβαρή αναιμία (αιματοκρίτης 3,3%). Ο ασθενής έλαβε δύο μεταγγίσεις συμπυκνωμένων ερυθρών αιμοσφαιρίων και η θεραπεία τροποποιήθηκε σε πρεδνιζολόνη (3 mg/kg/ημέρα), μυκοφαινολάτη (10 mg/kg ανά 12 ώρες) και κλοπιδογρέλη (1,8 mg/kg). Τρεις ημέρες μετά ο αιματοκρίτης ανέβηκε στο 30,6% και ο σκύλος έλαβε εξιτήριο κλινικά υγιής.</w:t>
      </w:r>
    </w:p>
    <w:p w14:paraId="1480B36C" w14:textId="77777777" w:rsidR="0072531A" w:rsidRPr="002617A2" w:rsidRDefault="0072531A" w:rsidP="0072531A">
      <w:pPr>
        <w:jc w:val="both"/>
      </w:pPr>
      <w:r w:rsidRPr="0072531A">
        <w:rPr>
          <w:b/>
          <w:bCs/>
        </w:rPr>
        <w:t>Αποτελέσματα</w:t>
      </w:r>
      <w:r w:rsidRPr="0072531A">
        <w:rPr>
          <w:b/>
          <w:bCs/>
          <w:u w:val="single"/>
        </w:rPr>
        <w:br/>
      </w:r>
      <w:r w:rsidRPr="0072531A">
        <w:t>Επανεξέταση του ασθενούς λαμβάνει χώρα ανά τρείς εβδομάδες. Η σταθεροποίηση του αιματοκρίτη σε επίπεδα 33-37,5 % επέτρεψε διαδοχικές μειώσεις της δόσης της πρεδνιζολόνης, έως 1,5 mg/kg/ημέρα. Τρεις εβδομάδες αργότερα από την τελευταία μείωση, παρατηρήθηκε σημαντική πτώση του αιματοκρίτη, γεγονός που κατέδειξε ανεπαρκή έλεγχο της νόσου με την υπάρχουσα αγωγή και οδήγησε σε αύξηση της πρεδνιζολόνης σε 2 mg/kg/ημέρα. Δύο μήνες μετά ο αιματοκρίτης είναι 32,2%. Ο ασθενής πλέον παρουσιάζει έντονη πρόσθια οργανομεγαλία και δερματικές αλλοιώσεις συμβατές με δυστροφική τιτάνωση, πιθανώς σχετιζόμενες με τη μακροχρόνια χορήγηση κορτικοστεροειδών. Στην αγωγή προστέθηκε κυκλοσπορίνη (10 mg/kg ανά 12 ώρες) και μειώθηκε η δόση πρεδνιζολόνης, με σκοπό την σταδιακή απομάκρυνση της από την αγωγή.</w:t>
      </w:r>
    </w:p>
    <w:p w14:paraId="56C724D1" w14:textId="286FEC1C" w:rsidR="0072531A" w:rsidRPr="0072531A" w:rsidRDefault="0072531A" w:rsidP="0072531A">
      <w:pPr>
        <w:jc w:val="both"/>
      </w:pPr>
      <w:r w:rsidRPr="0072531A">
        <w:rPr>
          <w:b/>
          <w:bCs/>
        </w:rPr>
        <w:t>Συμπεράσματα</w:t>
      </w:r>
    </w:p>
    <w:p w14:paraId="30DC4A8E" w14:textId="77777777" w:rsidR="0072531A" w:rsidRPr="0072531A" w:rsidRDefault="0072531A" w:rsidP="0072531A">
      <w:pPr>
        <w:jc w:val="both"/>
      </w:pPr>
      <w:r w:rsidRPr="0072531A">
        <w:t>Η ανοσολογική αιμολυτική αναιμία αποτελεί ένα νόσημα που χρήζει απαιτητικό θεραπευτικό έλεγχο. Η μονοθεραπεία με κορτικοστεροειδή ενδέχεται να μην</w:t>
      </w:r>
    </w:p>
    <w:p w14:paraId="0E250141" w14:textId="19155781" w:rsidR="0072531A" w:rsidRPr="002617A2" w:rsidRDefault="0072531A" w:rsidP="0072531A">
      <w:pPr>
        <w:jc w:val="both"/>
      </w:pPr>
      <w:r w:rsidRPr="0072531A">
        <w:lastRenderedPageBreak/>
        <w:t>επαρκεί, ιδιαίτερα σε περιπτώσεις υποτροπής ή ανεπαρκούς ανταπόκρισης, καθιστώντας συχνά αναγκαία τη χορήγηση συνδυαστικής ανοσοκατασταλτικής αγωγής. Παράλληλα, η χρήση των φαρμάκων αυτών ενέχει τον κίνδυνο ανεπιθύμητων ενεργειών, καθιστώντας απαραίτητη τη στενή και συστηματική παρακολούθηση.</w:t>
      </w:r>
    </w:p>
    <w:p w14:paraId="173320E1" w14:textId="77777777" w:rsidR="0072531A" w:rsidRPr="002617A2" w:rsidRDefault="0072531A" w:rsidP="0072531A">
      <w:pPr>
        <w:jc w:val="both"/>
      </w:pPr>
    </w:p>
    <w:p w14:paraId="3CADE205" w14:textId="77777777" w:rsidR="0072531A" w:rsidRPr="0072531A" w:rsidRDefault="0072531A" w:rsidP="0072531A">
      <w:pPr>
        <w:jc w:val="both"/>
      </w:pPr>
      <w:r w:rsidRPr="0072531A">
        <w:rPr>
          <w:b/>
          <w:bCs/>
        </w:rPr>
        <w:t>Βιβλιογραφία </w:t>
      </w:r>
    </w:p>
    <w:p w14:paraId="18DB752C" w14:textId="77777777" w:rsidR="0072531A" w:rsidRDefault="0072531A" w:rsidP="0072531A">
      <w:pPr>
        <w:jc w:val="both"/>
      </w:pPr>
      <w:r w:rsidRPr="0072531A">
        <w:t>Garden, Oliver A., et al. (2019) "</w:t>
      </w:r>
      <w:r w:rsidRPr="0072531A">
        <w:rPr>
          <w:i/>
          <w:iCs/>
        </w:rPr>
        <w:t>ACVIM consensus statement on the diagnosis of immune-mediated hemolytic anemia in dogs and cats."</w:t>
      </w:r>
      <w:r w:rsidRPr="0072531A">
        <w:t> Journal of veterinary internal medicine 33.2: 313-334.</w:t>
      </w:r>
    </w:p>
    <w:p w14:paraId="035AC0FB" w14:textId="572B4B1B" w:rsidR="0072531A" w:rsidRPr="002617A2" w:rsidRDefault="0072531A" w:rsidP="0072531A">
      <w:pPr>
        <w:jc w:val="both"/>
      </w:pPr>
      <w:r>
        <w:t>Swann</w:t>
      </w:r>
      <w:r w:rsidRPr="0072531A">
        <w:t>, James W., et al. (2019) "</w:t>
      </w:r>
      <w:r w:rsidRPr="0072531A">
        <w:rPr>
          <w:i/>
          <w:iCs/>
        </w:rPr>
        <w:t>ACVIM consensus statement on the treatment of immune-mediated hemolytic anemia in dogs."</w:t>
      </w:r>
      <w:r w:rsidRPr="0072531A">
        <w:t> Journal of Veterinary Internal Medicine 33.3 : 1141-1172.</w:t>
      </w:r>
    </w:p>
    <w:p w14:paraId="5C13E6EE" w14:textId="77777777" w:rsidR="0072531A" w:rsidRPr="002617A2" w:rsidRDefault="0072531A" w:rsidP="0072531A">
      <w:pPr>
        <w:jc w:val="both"/>
      </w:pPr>
    </w:p>
    <w:p w14:paraId="4A838EAE" w14:textId="77777777" w:rsidR="0072531A" w:rsidRPr="002617A2" w:rsidRDefault="0072531A" w:rsidP="0072531A">
      <w:pPr>
        <w:jc w:val="both"/>
      </w:pPr>
    </w:p>
    <w:p w14:paraId="546CFC48" w14:textId="77777777" w:rsidR="0072531A" w:rsidRPr="002617A2" w:rsidRDefault="0072531A" w:rsidP="0072531A">
      <w:pPr>
        <w:jc w:val="both"/>
      </w:pPr>
    </w:p>
    <w:p w14:paraId="3ACC81F6" w14:textId="77777777" w:rsidR="0072531A" w:rsidRPr="002617A2" w:rsidRDefault="0072531A" w:rsidP="0072531A">
      <w:pPr>
        <w:jc w:val="both"/>
      </w:pPr>
    </w:p>
    <w:p w14:paraId="41C08B10" w14:textId="77777777" w:rsidR="0072531A" w:rsidRPr="002617A2" w:rsidRDefault="0072531A" w:rsidP="0072531A">
      <w:pPr>
        <w:jc w:val="both"/>
      </w:pPr>
    </w:p>
    <w:p w14:paraId="31488226" w14:textId="77777777" w:rsidR="0072531A" w:rsidRPr="002617A2" w:rsidRDefault="0072531A" w:rsidP="0072531A">
      <w:pPr>
        <w:jc w:val="both"/>
      </w:pPr>
    </w:p>
    <w:p w14:paraId="66F3B910" w14:textId="77777777" w:rsidR="0072531A" w:rsidRPr="002617A2" w:rsidRDefault="0072531A" w:rsidP="0072531A">
      <w:pPr>
        <w:jc w:val="both"/>
      </w:pPr>
    </w:p>
    <w:p w14:paraId="028D1338" w14:textId="77777777" w:rsidR="0072531A" w:rsidRPr="002617A2" w:rsidRDefault="0072531A" w:rsidP="0072531A">
      <w:pPr>
        <w:jc w:val="both"/>
      </w:pPr>
    </w:p>
    <w:p w14:paraId="670D9B58" w14:textId="77777777" w:rsidR="0072531A" w:rsidRPr="002617A2" w:rsidRDefault="0072531A" w:rsidP="0072531A">
      <w:pPr>
        <w:jc w:val="both"/>
      </w:pPr>
    </w:p>
    <w:p w14:paraId="6B540C06" w14:textId="77777777" w:rsidR="0072531A" w:rsidRPr="002617A2" w:rsidRDefault="0072531A" w:rsidP="0072531A">
      <w:pPr>
        <w:jc w:val="both"/>
      </w:pPr>
    </w:p>
    <w:p w14:paraId="42FD942E" w14:textId="77777777" w:rsidR="0072531A" w:rsidRPr="002617A2" w:rsidRDefault="0072531A" w:rsidP="0072531A">
      <w:pPr>
        <w:jc w:val="both"/>
      </w:pPr>
    </w:p>
    <w:p w14:paraId="19B15A7A" w14:textId="77777777" w:rsidR="0072531A" w:rsidRPr="002617A2" w:rsidRDefault="0072531A" w:rsidP="0072531A">
      <w:pPr>
        <w:jc w:val="both"/>
      </w:pPr>
    </w:p>
    <w:p w14:paraId="51EA0B10" w14:textId="77777777" w:rsidR="0072531A" w:rsidRPr="002617A2" w:rsidRDefault="0072531A" w:rsidP="0072531A">
      <w:pPr>
        <w:jc w:val="both"/>
      </w:pPr>
    </w:p>
    <w:p w14:paraId="047AEC5E" w14:textId="77777777" w:rsidR="0072531A" w:rsidRPr="002617A2" w:rsidRDefault="0072531A" w:rsidP="0072531A">
      <w:pPr>
        <w:jc w:val="both"/>
      </w:pPr>
    </w:p>
    <w:p w14:paraId="46C8790C" w14:textId="77777777" w:rsidR="0072531A" w:rsidRPr="002617A2" w:rsidRDefault="0072531A" w:rsidP="0072531A">
      <w:pPr>
        <w:jc w:val="both"/>
      </w:pPr>
    </w:p>
    <w:p w14:paraId="59CF41E1" w14:textId="040C4C2A" w:rsidR="0072531A" w:rsidRPr="002617A2" w:rsidRDefault="0072531A" w:rsidP="0072531A">
      <w:pPr>
        <w:jc w:val="both"/>
      </w:pPr>
    </w:p>
    <w:p w14:paraId="3856122B" w14:textId="77777777" w:rsidR="0072531A" w:rsidRPr="002617A2" w:rsidRDefault="0072531A" w:rsidP="0072531A">
      <w:pPr>
        <w:jc w:val="both"/>
      </w:pPr>
    </w:p>
    <w:p w14:paraId="020FCDD4" w14:textId="77777777" w:rsidR="0072531A" w:rsidRPr="002617A2" w:rsidRDefault="0072531A" w:rsidP="0072531A">
      <w:pPr>
        <w:jc w:val="both"/>
      </w:pPr>
    </w:p>
    <w:p w14:paraId="50F4D3A5" w14:textId="77777777" w:rsidR="0072531A" w:rsidRPr="002617A2" w:rsidRDefault="0072531A" w:rsidP="0072531A">
      <w:pPr>
        <w:jc w:val="both"/>
      </w:pPr>
    </w:p>
    <w:p w14:paraId="485EDF6F" w14:textId="77777777" w:rsidR="0072531A" w:rsidRPr="002617A2" w:rsidRDefault="0072531A" w:rsidP="0072531A">
      <w:pPr>
        <w:jc w:val="both"/>
      </w:pPr>
    </w:p>
    <w:p w14:paraId="10D31CA5" w14:textId="77777777" w:rsidR="0072531A" w:rsidRPr="002617A2" w:rsidRDefault="0072531A" w:rsidP="0072531A">
      <w:pPr>
        <w:jc w:val="both"/>
      </w:pPr>
    </w:p>
    <w:p w14:paraId="7A5EFA67" w14:textId="77777777" w:rsidR="0072531A" w:rsidRPr="002617A2" w:rsidRDefault="0072531A" w:rsidP="0072531A">
      <w:pPr>
        <w:jc w:val="both"/>
      </w:pPr>
    </w:p>
    <w:p w14:paraId="16C55EDA" w14:textId="77777777" w:rsidR="0072531A" w:rsidRPr="0072531A" w:rsidRDefault="0072531A" w:rsidP="0072531A">
      <w:pPr>
        <w:jc w:val="both"/>
      </w:pPr>
      <w:r w:rsidRPr="0072531A">
        <w:rPr>
          <w:b/>
          <w:bCs/>
        </w:rPr>
        <w:lastRenderedPageBreak/>
        <w:t>Λοιμώδης Περιτονίτιδα της Γάτας: Συνοπτική Παρουσίαση και Συγκριτική Ανάλυση των Μακροσκοπικών και Μικροσκοπικών Αλλοιώσεων των Δύο Μορφών του Νοσήματος</w:t>
      </w:r>
    </w:p>
    <w:p w14:paraId="2CD49010" w14:textId="28B94212" w:rsidR="0072531A" w:rsidRPr="0072531A" w:rsidRDefault="0072531A" w:rsidP="0072531A">
      <w:pPr>
        <w:jc w:val="both"/>
      </w:pPr>
      <w:r w:rsidRPr="0072531A">
        <w:t> Γούκος  Βασίλειος</w:t>
      </w:r>
      <w:r w:rsidRPr="0072531A">
        <w:rPr>
          <w:vertAlign w:val="superscript"/>
        </w:rPr>
        <w:t>1</w:t>
      </w:r>
      <w:r w:rsidRPr="0072531A">
        <w:t>, Μαρούδα Χριστίνα</w:t>
      </w:r>
      <w:r w:rsidRPr="0072531A">
        <w:rPr>
          <w:vertAlign w:val="superscript"/>
        </w:rPr>
        <w:t>2</w:t>
      </w:r>
    </w:p>
    <w:p w14:paraId="71A7787F" w14:textId="77777777" w:rsidR="0072531A" w:rsidRPr="0072531A" w:rsidRDefault="0072531A">
      <w:pPr>
        <w:numPr>
          <w:ilvl w:val="0"/>
          <w:numId w:val="119"/>
        </w:numPr>
        <w:jc w:val="both"/>
      </w:pPr>
      <w:r w:rsidRPr="0072531A">
        <w:t>Προπτυχιακός Φοιτητής, Τμήμα Κτηνιατρικής, Σχολή Επιστημών Υγείας, Αριστοτέλειο Πανεπιστήμιο Θεσσαλονίκης</w:t>
      </w:r>
    </w:p>
    <w:p w14:paraId="40C6934D" w14:textId="77777777" w:rsidR="0072531A" w:rsidRPr="0072531A" w:rsidRDefault="0072531A">
      <w:pPr>
        <w:numPr>
          <w:ilvl w:val="0"/>
          <w:numId w:val="119"/>
        </w:numPr>
        <w:jc w:val="both"/>
      </w:pPr>
      <w:r w:rsidRPr="0072531A">
        <w:t>Επίκουρη Καθηγήτρια, Εργαστήριο Παθολογικής Ανατομικής, Τμήμα Κτηνιατρικής, Σχολή Επιστημών Υγείας, Αριστοτέλειο Πανεπιστήμιο Θεσσαλονίκης</w:t>
      </w:r>
    </w:p>
    <w:p w14:paraId="1D0DD1DB" w14:textId="77777777" w:rsidR="0072531A" w:rsidRPr="0072531A" w:rsidRDefault="0072531A" w:rsidP="0072531A">
      <w:pPr>
        <w:jc w:val="both"/>
      </w:pPr>
    </w:p>
    <w:p w14:paraId="36389314" w14:textId="77777777" w:rsidR="0072531A" w:rsidRPr="0072531A" w:rsidRDefault="0072531A" w:rsidP="0072531A">
      <w:pPr>
        <w:jc w:val="both"/>
      </w:pPr>
      <w:r w:rsidRPr="0072531A">
        <w:rPr>
          <w:b/>
          <w:bCs/>
        </w:rPr>
        <w:t>Περίληψη</w:t>
      </w:r>
    </w:p>
    <w:p w14:paraId="336F3BE9" w14:textId="77777777" w:rsidR="0072531A" w:rsidRPr="0072531A" w:rsidRDefault="0072531A" w:rsidP="0072531A">
      <w:pPr>
        <w:jc w:val="both"/>
      </w:pPr>
      <w:r w:rsidRPr="0072531A">
        <w:t>Η Λοιμώδης Περιτονίτιδα της γάτας (Feline Infectious Peritonitis, FIP) αποτελεί μία ιογενή, συστηματική και δυνητικά θανατηφόρο νόσο των κατοικίδιων και άγριων αιλουροειδών. Οφείλεται σε λοιμογόνο στέλεχος του εντερικού κορωνοϊού της γάτας (FCoV). Κλινικά, διακρίνονται δύο τύποι του νοσήματος: α) ο υγρός ή εξιδρωματικός, που χαρακτηρίζεται από συγκέντρωση υγρού στις κοιλότητες (θωρακική και περιτοναϊκή) και β) ο ξηρός ή παρεγχυματικός, που χαρακτηρίζεται από την παρουσία κοκκιωματωδών αλλοιώσεων στα όργανα. Και οι δύο μορφές χαρακτηρίζονται από πολυσυστηματική προσβολή, διαφοροποιούνται όμως ως προς τις μακροσκοπικές και μικροσκοπικές αλλοιώσεις και σχετίζονται με τον τύπο της ανοσολογικής απόκρισης του οργανισμού. Σκοπός της εργασίας είναι η συγκριτική παρουσίαση των μορφολογικών αλλοιώσεων του “Ξηρού” και “Υγρού” τύπου, με στόχο τον πρακτικό διαχωρισμό τους στην κλινική πράξη, καθώς και η συνοπτική αναφορά στην παθογένεια και τη βασική διαγνωστική προσέγγιση του νοσήματος.</w:t>
      </w:r>
    </w:p>
    <w:p w14:paraId="4D5A24B9" w14:textId="77777777" w:rsidR="0072531A" w:rsidRPr="0072531A" w:rsidRDefault="0072531A" w:rsidP="0072531A">
      <w:pPr>
        <w:jc w:val="both"/>
      </w:pPr>
      <w:r w:rsidRPr="0072531A">
        <w:br/>
      </w:r>
    </w:p>
    <w:p w14:paraId="163FA733" w14:textId="77777777" w:rsidR="0072531A" w:rsidRPr="0072531A" w:rsidRDefault="0072531A" w:rsidP="0072531A">
      <w:pPr>
        <w:jc w:val="both"/>
      </w:pPr>
      <w:r w:rsidRPr="0072531A">
        <w:rPr>
          <w:b/>
          <w:bCs/>
        </w:rPr>
        <w:t>Βιβλιογραφία</w:t>
      </w:r>
    </w:p>
    <w:p w14:paraId="06A36515" w14:textId="662881BB" w:rsidR="0072531A" w:rsidRPr="0072531A" w:rsidRDefault="0072531A" w:rsidP="0072531A">
      <w:pPr>
        <w:jc w:val="both"/>
      </w:pPr>
      <w:r w:rsidRPr="0072531A">
        <w:t xml:space="preserve">Hartmann K. </w:t>
      </w:r>
      <w:r w:rsidRPr="0072531A">
        <w:rPr>
          <w:i/>
          <w:iCs/>
        </w:rPr>
        <w:t>Feline infectious peritonitis.</w:t>
      </w:r>
      <w:r w:rsidRPr="0072531A">
        <w:t xml:space="preserve"> Vet Clin North Am Small Anim Pract. (2005);35(1):39–vi. </w:t>
      </w:r>
    </w:p>
    <w:p w14:paraId="7B43323B" w14:textId="3B05D0EE" w:rsidR="0072531A" w:rsidRPr="0072531A" w:rsidRDefault="0072531A" w:rsidP="0072531A">
      <w:pPr>
        <w:jc w:val="both"/>
      </w:pPr>
      <w:r w:rsidRPr="0072531A">
        <w:t xml:space="preserve">Solikhah TI, Agustin QAD, Damaratri RA, Siwi DAF, Rafi'uttaqi GN, Hartadi VA &amp;, Solikhah GP.(2024). </w:t>
      </w:r>
      <w:r w:rsidRPr="0072531A">
        <w:rPr>
          <w:i/>
          <w:iCs/>
        </w:rPr>
        <w:t>A review of feline infectious peritonitis virus infection.</w:t>
      </w:r>
      <w:r w:rsidRPr="0072531A">
        <w:t xml:space="preserve"> Vet World. </w:t>
      </w:r>
    </w:p>
    <w:p w14:paraId="5BEAF0ED" w14:textId="77777777" w:rsidR="0072531A" w:rsidRDefault="0072531A" w:rsidP="0072531A">
      <w:pPr>
        <w:jc w:val="both"/>
      </w:pPr>
      <w:r w:rsidRPr="0072531A">
        <w:t xml:space="preserve">Uzal, F. A., Plattner, B. L., &amp; Hostetter, J. M. (2016). </w:t>
      </w:r>
      <w:r w:rsidRPr="0072531A">
        <w:rPr>
          <w:i/>
          <w:iCs/>
        </w:rPr>
        <w:t>Alimentary system</w:t>
      </w:r>
      <w:r w:rsidRPr="0072531A">
        <w:t xml:space="preserve">. In M. G. Maxie (Ed.), </w:t>
      </w:r>
      <w:r w:rsidRPr="0072531A">
        <w:rPr>
          <w:i/>
          <w:iCs/>
        </w:rPr>
        <w:t>Jubb, Kennedy, and Palmer’s pathology of domestic animals</w:t>
      </w:r>
      <w:r w:rsidRPr="0072531A">
        <w:t xml:space="preserve"> (Vol. 2). St. Louis, MO: Elsevier.</w:t>
      </w:r>
    </w:p>
    <w:p w14:paraId="7F6B36EB" w14:textId="77777777" w:rsidR="0072531A" w:rsidRDefault="0072531A" w:rsidP="0072531A">
      <w:pPr>
        <w:jc w:val="both"/>
      </w:pPr>
    </w:p>
    <w:p w14:paraId="21B964AF" w14:textId="77777777" w:rsidR="0072531A" w:rsidRDefault="0072531A" w:rsidP="0072531A">
      <w:pPr>
        <w:jc w:val="both"/>
      </w:pPr>
    </w:p>
    <w:p w14:paraId="36B5AB06" w14:textId="77777777" w:rsidR="0072531A" w:rsidRDefault="0072531A" w:rsidP="0072531A">
      <w:pPr>
        <w:jc w:val="both"/>
      </w:pPr>
    </w:p>
    <w:p w14:paraId="1F01DBEF" w14:textId="77777777" w:rsidR="0072531A" w:rsidRDefault="0072531A" w:rsidP="0072531A">
      <w:pPr>
        <w:jc w:val="both"/>
      </w:pPr>
    </w:p>
    <w:p w14:paraId="4FC9D0B9" w14:textId="77777777" w:rsidR="0072531A" w:rsidRDefault="0072531A" w:rsidP="0072531A">
      <w:pPr>
        <w:jc w:val="both"/>
      </w:pPr>
    </w:p>
    <w:p w14:paraId="55A4B25F" w14:textId="77777777" w:rsidR="0072531A" w:rsidRDefault="0072531A" w:rsidP="0072531A">
      <w:pPr>
        <w:jc w:val="both"/>
      </w:pPr>
    </w:p>
    <w:p w14:paraId="1E14412E" w14:textId="77777777" w:rsidR="0072531A" w:rsidRPr="0072531A" w:rsidRDefault="0072531A" w:rsidP="0072531A">
      <w:pPr>
        <w:jc w:val="both"/>
      </w:pPr>
    </w:p>
    <w:p w14:paraId="5F2998BA" w14:textId="77777777" w:rsidR="0072531A" w:rsidRPr="0072531A" w:rsidRDefault="0072531A" w:rsidP="0072531A">
      <w:pPr>
        <w:jc w:val="both"/>
      </w:pPr>
      <w:r w:rsidRPr="0072531A">
        <w:rPr>
          <w:b/>
          <w:bCs/>
        </w:rPr>
        <w:lastRenderedPageBreak/>
        <w:t>FeCocktail: Εμβόλιο Νέας Γενιάς κατά του PRRSV.</w:t>
      </w:r>
    </w:p>
    <w:p w14:paraId="59D4EF3C" w14:textId="77777777" w:rsidR="0072531A" w:rsidRPr="0072531A" w:rsidRDefault="0072531A" w:rsidP="0072531A">
      <w:pPr>
        <w:jc w:val="both"/>
      </w:pPr>
      <w:r w:rsidRPr="0072531A">
        <w:t>Χατζηθεοδώρου Γεώργιος – Ραφαήλ</w:t>
      </w:r>
      <w:r w:rsidRPr="0072531A">
        <w:rPr>
          <w:vertAlign w:val="superscript"/>
        </w:rPr>
        <w:t>1</w:t>
      </w:r>
      <w:r w:rsidRPr="0072531A">
        <w:t>, Παπακωνσταντίνου Γεώργιος</w:t>
      </w:r>
      <w:r w:rsidRPr="0072531A">
        <w:rPr>
          <w:vertAlign w:val="superscript"/>
        </w:rPr>
        <w:t>2</w:t>
      </w:r>
    </w:p>
    <w:p w14:paraId="58EABE91" w14:textId="77777777" w:rsidR="0072531A" w:rsidRPr="0072531A" w:rsidRDefault="0072531A">
      <w:pPr>
        <w:numPr>
          <w:ilvl w:val="0"/>
          <w:numId w:val="120"/>
        </w:numPr>
        <w:jc w:val="both"/>
      </w:pPr>
      <w:r w:rsidRPr="0072531A">
        <w:t>Προπτυχιακός Φοιτητής, Τμήμα Κτηνιατρικής, Σχολή Επιστημών Υγείας, Πανεπιστήμιο Θεσσαλίας</w:t>
      </w:r>
    </w:p>
    <w:p w14:paraId="409D9E7C" w14:textId="77777777" w:rsidR="0072531A" w:rsidRPr="0072531A" w:rsidRDefault="0072531A">
      <w:pPr>
        <w:numPr>
          <w:ilvl w:val="0"/>
          <w:numId w:val="120"/>
        </w:numPr>
        <w:jc w:val="both"/>
      </w:pPr>
      <w:r w:rsidRPr="0072531A">
        <w:t>Επίκουρος Καθηγητής, D.V.M., Ph.D., Παθολογία Χοίρων, Τμήμα Κτηνιατρικής, Σχολή Επιστημών Υγείας, Πανεπιστήμιο Θεσσαλίας</w:t>
      </w:r>
    </w:p>
    <w:p w14:paraId="6AD4420A" w14:textId="77777777" w:rsidR="0072531A" w:rsidRPr="0072531A" w:rsidRDefault="0072531A" w:rsidP="0072531A">
      <w:pPr>
        <w:ind w:left="720"/>
        <w:jc w:val="both"/>
      </w:pPr>
    </w:p>
    <w:p w14:paraId="79D5E4C4" w14:textId="77777777" w:rsidR="0072531A" w:rsidRPr="0072531A" w:rsidRDefault="0072531A" w:rsidP="0072531A">
      <w:pPr>
        <w:jc w:val="both"/>
      </w:pPr>
      <w:r w:rsidRPr="0072531A">
        <w:rPr>
          <w:b/>
          <w:bCs/>
        </w:rPr>
        <w:t>Περίληψη</w:t>
      </w:r>
    </w:p>
    <w:p w14:paraId="1DB63EB9" w14:textId="77777777" w:rsidR="0072531A" w:rsidRPr="002617A2" w:rsidRDefault="0072531A" w:rsidP="0072531A">
      <w:pPr>
        <w:jc w:val="both"/>
      </w:pPr>
      <w:r w:rsidRPr="0072531A">
        <w:t>Ο Ιός του Αναπαραγωγικού και Αναπνευστικού Συνδρόμου των Χοίρων (Porcine Reproductive and Respiratory Syndrome Virus, PRRSV) αποτελεί έναν από τους σημαντικότερους ιικούς παθογόνους παράγοντες που επηρεάζουν την παγκόσμια χοιροτροφία, προκαλώντας αναπαραγωγικές διαταραχές στις χοιρομητέρες και αναπνευστική νόσο στα χοιρίδια, με αποτέλεσμα σημαντικές οικονομικές απώλειες. Καθώς τα υπάρχοντα εμβόλια (Modified Live Virus, MLV) έχουν περιορισμούς στην ασφάλεια και στην προστασία, η παρούσα μελέτη εισάγει το FeCocktail: ένα καινοτόμο εμβόλιο νανοσωματιδίων φερριτίνης, σχεδιασμένο να ενισχύει την ανοσολογική απόκριση έναντι του PRRSV. Το εμβόλιο περιλαμβάνει ανασυνδυασμένα ιικά γονίδια από τις δομικές γλυκοπρωτεΐνες GP3, GP4 και GP5. Τα νανοσωματίδια φερριτίνης χρησιμοποιήθηκαν ως βιοσυμβατοί φορείς, αξιοποιώντας το σύστημα SpyCatcher/SpyTag «Plug-and-Display» για τη σταθερή και πολυδύναμη παρουσίαση των αντιγόνων. Τα αποτελέσματα ανοσοποίησης έδειξαν ότι το FeCocktail επάγει ισχυρές χυμικές και κυτταρικές ανοσολογικές αποκρίσεις, με σημαντική παραγωγή κυτταροκινών (IFN-γ, IL-4 και IL-2) από CD3</w:t>
      </w:r>
      <w:r w:rsidRPr="0072531A">
        <w:rPr>
          <w:rFonts w:ascii="Cambria Math" w:hAnsi="Cambria Math" w:cs="Cambria Math"/>
        </w:rPr>
        <w:t>⁺</w:t>
      </w:r>
      <w:r w:rsidRPr="0072531A">
        <w:t>CD4</w:t>
      </w:r>
      <w:r w:rsidRPr="0072531A">
        <w:rPr>
          <w:rFonts w:ascii="Cambria Math" w:hAnsi="Cambria Math" w:cs="Cambria Math"/>
        </w:rPr>
        <w:t>⁺</w:t>
      </w:r>
      <w:r w:rsidRPr="0072531A">
        <w:t xml:space="preserve"> </w:t>
      </w:r>
      <w:r w:rsidRPr="0072531A">
        <w:rPr>
          <w:rFonts w:ascii="Aptos" w:hAnsi="Aptos" w:cs="Aptos"/>
        </w:rPr>
        <w:t>και</w:t>
      </w:r>
      <w:r w:rsidRPr="0072531A">
        <w:t xml:space="preserve"> CD3</w:t>
      </w:r>
      <w:r w:rsidRPr="0072531A">
        <w:rPr>
          <w:rFonts w:ascii="Cambria Math" w:hAnsi="Cambria Math" w:cs="Cambria Math"/>
        </w:rPr>
        <w:t>⁺</w:t>
      </w:r>
      <w:r w:rsidRPr="0072531A">
        <w:t>CD8</w:t>
      </w:r>
      <w:r w:rsidRPr="0072531A">
        <w:rPr>
          <w:rFonts w:ascii="Cambria Math" w:hAnsi="Cambria Math" w:cs="Cambria Math"/>
        </w:rPr>
        <w:t>⁺</w:t>
      </w:r>
      <w:r w:rsidRPr="0072531A">
        <w:t xml:space="preserve"> </w:t>
      </w:r>
      <w:r w:rsidRPr="0072531A">
        <w:rPr>
          <w:rFonts w:ascii="Aptos" w:hAnsi="Aptos" w:cs="Aptos"/>
        </w:rPr>
        <w:t>Τ</w:t>
      </w:r>
      <w:r w:rsidRPr="0072531A">
        <w:t xml:space="preserve"> </w:t>
      </w:r>
      <w:r w:rsidRPr="0072531A">
        <w:rPr>
          <w:rFonts w:ascii="Aptos" w:hAnsi="Aptos" w:cs="Aptos"/>
        </w:rPr>
        <w:t>λεμφοκύτταρα</w:t>
      </w:r>
      <w:r w:rsidRPr="0072531A">
        <w:t xml:space="preserve">. </w:t>
      </w:r>
      <w:r w:rsidRPr="0072531A">
        <w:rPr>
          <w:rFonts w:ascii="Aptos" w:hAnsi="Aptos" w:cs="Aptos"/>
        </w:rPr>
        <w:t>Μετά</w:t>
      </w:r>
      <w:r w:rsidRPr="0072531A">
        <w:t xml:space="preserve"> </w:t>
      </w:r>
      <w:r w:rsidRPr="0072531A">
        <w:rPr>
          <w:rFonts w:ascii="Aptos" w:hAnsi="Aptos" w:cs="Aptos"/>
        </w:rPr>
        <w:t>από</w:t>
      </w:r>
      <w:r w:rsidRPr="0072531A">
        <w:t xml:space="preserve"> </w:t>
      </w:r>
      <w:r w:rsidRPr="0072531A">
        <w:rPr>
          <w:rFonts w:ascii="Aptos" w:hAnsi="Aptos" w:cs="Aptos"/>
        </w:rPr>
        <w:t>πρόκληση</w:t>
      </w:r>
      <w:r w:rsidRPr="0072531A">
        <w:t xml:space="preserve"> </w:t>
      </w:r>
      <w:r w:rsidRPr="0072531A">
        <w:rPr>
          <w:rFonts w:ascii="Aptos" w:hAnsi="Aptos" w:cs="Aptos"/>
        </w:rPr>
        <w:t>με</w:t>
      </w:r>
      <w:r w:rsidRPr="0072531A">
        <w:t xml:space="preserve"> </w:t>
      </w:r>
      <w:r w:rsidRPr="0072531A">
        <w:rPr>
          <w:rFonts w:ascii="Aptos" w:hAnsi="Aptos" w:cs="Aptos"/>
        </w:rPr>
        <w:t>τον</w:t>
      </w:r>
      <w:r w:rsidRPr="0072531A">
        <w:t xml:space="preserve"> </w:t>
      </w:r>
      <w:r w:rsidRPr="0072531A">
        <w:rPr>
          <w:rFonts w:ascii="Aptos" w:hAnsi="Aptos" w:cs="Aptos"/>
        </w:rPr>
        <w:t>ιό</w:t>
      </w:r>
      <w:r w:rsidRPr="0072531A">
        <w:t xml:space="preserve">, </w:t>
      </w:r>
      <w:r w:rsidRPr="0072531A">
        <w:rPr>
          <w:rFonts w:ascii="Aptos" w:hAnsi="Aptos" w:cs="Aptos"/>
        </w:rPr>
        <w:t>τα</w:t>
      </w:r>
      <w:r w:rsidRPr="0072531A">
        <w:t xml:space="preserve"> </w:t>
      </w:r>
      <w:r w:rsidRPr="0072531A">
        <w:rPr>
          <w:rFonts w:ascii="Aptos" w:hAnsi="Aptos" w:cs="Aptos"/>
        </w:rPr>
        <w:t>εμβολιασμένα</w:t>
      </w:r>
      <w:r w:rsidRPr="0072531A">
        <w:t xml:space="preserve"> </w:t>
      </w:r>
      <w:r w:rsidRPr="0072531A">
        <w:rPr>
          <w:rFonts w:ascii="Aptos" w:hAnsi="Aptos" w:cs="Aptos"/>
        </w:rPr>
        <w:t>χοιρίδια</w:t>
      </w:r>
      <w:r w:rsidRPr="0072531A">
        <w:t xml:space="preserve"> </w:t>
      </w:r>
      <w:r w:rsidRPr="0072531A">
        <w:rPr>
          <w:rFonts w:ascii="Aptos" w:hAnsi="Aptos" w:cs="Aptos"/>
        </w:rPr>
        <w:t>εμφάνισαν</w:t>
      </w:r>
      <w:r w:rsidRPr="0072531A">
        <w:t xml:space="preserve"> </w:t>
      </w:r>
      <w:r w:rsidRPr="0072531A">
        <w:rPr>
          <w:rFonts w:ascii="Aptos" w:hAnsi="Aptos" w:cs="Aptos"/>
        </w:rPr>
        <w:t>σημαντικά</w:t>
      </w:r>
      <w:r w:rsidRPr="0072531A">
        <w:t xml:space="preserve"> </w:t>
      </w:r>
      <w:r w:rsidRPr="0072531A">
        <w:rPr>
          <w:rFonts w:ascii="Aptos" w:hAnsi="Aptos" w:cs="Aptos"/>
        </w:rPr>
        <w:t>χαμηλότερα</w:t>
      </w:r>
      <w:r w:rsidRPr="0072531A">
        <w:t xml:space="preserve"> </w:t>
      </w:r>
      <w:r w:rsidRPr="0072531A">
        <w:rPr>
          <w:rFonts w:ascii="Aptos" w:hAnsi="Aptos" w:cs="Aptos"/>
        </w:rPr>
        <w:t>ιικά</w:t>
      </w:r>
      <w:r w:rsidRPr="0072531A">
        <w:t xml:space="preserve"> </w:t>
      </w:r>
      <w:r w:rsidRPr="0072531A">
        <w:rPr>
          <w:rFonts w:ascii="Aptos" w:hAnsi="Aptos" w:cs="Aptos"/>
        </w:rPr>
        <w:t>φορτία</w:t>
      </w:r>
      <w:r w:rsidRPr="0072531A">
        <w:t xml:space="preserve"> </w:t>
      </w:r>
      <w:r w:rsidRPr="0072531A">
        <w:rPr>
          <w:rFonts w:ascii="Aptos" w:hAnsi="Aptos" w:cs="Aptos"/>
        </w:rPr>
        <w:t>και</w:t>
      </w:r>
      <w:r w:rsidRPr="0072531A">
        <w:t xml:space="preserve"> </w:t>
      </w:r>
      <w:r w:rsidRPr="0072531A">
        <w:rPr>
          <w:rFonts w:ascii="Aptos" w:hAnsi="Aptos" w:cs="Aptos"/>
        </w:rPr>
        <w:t>μειωμένες</w:t>
      </w:r>
      <w:r w:rsidRPr="0072531A">
        <w:t xml:space="preserve"> </w:t>
      </w:r>
      <w:r w:rsidRPr="0072531A">
        <w:rPr>
          <w:rFonts w:ascii="Aptos" w:hAnsi="Aptos" w:cs="Aptos"/>
        </w:rPr>
        <w:t>πνευμονικές</w:t>
      </w:r>
      <w:r w:rsidRPr="0072531A">
        <w:t xml:space="preserve"> </w:t>
      </w:r>
      <w:r w:rsidRPr="0072531A">
        <w:rPr>
          <w:rFonts w:ascii="Aptos" w:hAnsi="Aptos" w:cs="Aptos"/>
        </w:rPr>
        <w:t>αλλοιώσεις</w:t>
      </w:r>
      <w:r w:rsidRPr="0072531A">
        <w:t xml:space="preserve"> </w:t>
      </w:r>
      <w:r w:rsidRPr="0072531A">
        <w:rPr>
          <w:rFonts w:ascii="Aptos" w:hAnsi="Aptos" w:cs="Aptos"/>
        </w:rPr>
        <w:t>σε</w:t>
      </w:r>
      <w:r w:rsidRPr="0072531A">
        <w:t xml:space="preserve"> </w:t>
      </w:r>
      <w:r w:rsidRPr="0072531A">
        <w:rPr>
          <w:rFonts w:ascii="Aptos" w:hAnsi="Aptos" w:cs="Aptos"/>
        </w:rPr>
        <w:t>σύγκριση</w:t>
      </w:r>
      <w:r w:rsidRPr="0072531A">
        <w:t xml:space="preserve"> </w:t>
      </w:r>
      <w:r w:rsidRPr="0072531A">
        <w:rPr>
          <w:rFonts w:ascii="Aptos" w:hAnsi="Aptos" w:cs="Aptos"/>
        </w:rPr>
        <w:t>με</w:t>
      </w:r>
      <w:r w:rsidRPr="0072531A">
        <w:t xml:space="preserve"> </w:t>
      </w:r>
      <w:r w:rsidRPr="0072531A">
        <w:rPr>
          <w:rFonts w:ascii="Aptos" w:hAnsi="Aptos" w:cs="Aptos"/>
        </w:rPr>
        <w:t>τις</w:t>
      </w:r>
      <w:r w:rsidRPr="0072531A">
        <w:t xml:space="preserve"> </w:t>
      </w:r>
      <w:r w:rsidRPr="0072531A">
        <w:rPr>
          <w:rFonts w:ascii="Aptos" w:hAnsi="Aptos" w:cs="Aptos"/>
        </w:rPr>
        <w:t>ομάδες</w:t>
      </w:r>
      <w:r w:rsidRPr="0072531A">
        <w:t xml:space="preserve"> </w:t>
      </w:r>
      <w:r w:rsidRPr="0072531A">
        <w:rPr>
          <w:rFonts w:ascii="Aptos" w:hAnsi="Aptos" w:cs="Aptos"/>
        </w:rPr>
        <w:t>ελέγχου</w:t>
      </w:r>
      <w:r w:rsidRPr="0072531A">
        <w:t xml:space="preserve">, </w:t>
      </w:r>
      <w:r w:rsidRPr="0072531A">
        <w:rPr>
          <w:rFonts w:ascii="Aptos" w:hAnsi="Aptos" w:cs="Aptos"/>
        </w:rPr>
        <w:t>χωρίς</w:t>
      </w:r>
      <w:r w:rsidRPr="0072531A">
        <w:t xml:space="preserve"> </w:t>
      </w:r>
      <w:r w:rsidRPr="0072531A">
        <w:rPr>
          <w:rFonts w:ascii="Aptos" w:hAnsi="Aptos" w:cs="Aptos"/>
        </w:rPr>
        <w:t>να</w:t>
      </w:r>
      <w:r w:rsidRPr="0072531A">
        <w:t xml:space="preserve"> </w:t>
      </w:r>
      <w:r w:rsidRPr="0072531A">
        <w:rPr>
          <w:rFonts w:ascii="Aptos" w:hAnsi="Aptos" w:cs="Aptos"/>
        </w:rPr>
        <w:t>παρατηρηθούν</w:t>
      </w:r>
      <w:r w:rsidRPr="0072531A">
        <w:t xml:space="preserve"> </w:t>
      </w:r>
      <w:r w:rsidRPr="0072531A">
        <w:rPr>
          <w:rFonts w:ascii="Aptos" w:hAnsi="Aptos" w:cs="Aptos"/>
        </w:rPr>
        <w:t>κυτταροτοξικές</w:t>
      </w:r>
      <w:r w:rsidRPr="0072531A">
        <w:t xml:space="preserve"> </w:t>
      </w:r>
      <w:r w:rsidRPr="0072531A">
        <w:rPr>
          <w:rFonts w:ascii="Aptos" w:hAnsi="Aptos" w:cs="Aptos"/>
        </w:rPr>
        <w:t>επιδράσεις</w:t>
      </w:r>
      <w:r w:rsidRPr="0072531A">
        <w:t xml:space="preserve"> </w:t>
      </w:r>
      <w:r w:rsidRPr="0072531A">
        <w:rPr>
          <w:rFonts w:ascii="Aptos" w:hAnsi="Aptos" w:cs="Aptos"/>
        </w:rPr>
        <w:t>ή</w:t>
      </w:r>
      <w:r w:rsidRPr="0072531A">
        <w:t xml:space="preserve"> </w:t>
      </w:r>
      <w:r w:rsidRPr="0072531A">
        <w:rPr>
          <w:rFonts w:ascii="Aptos" w:hAnsi="Aptos" w:cs="Aptos"/>
        </w:rPr>
        <w:t>ανεπιθύμητες</w:t>
      </w:r>
      <w:r w:rsidRPr="0072531A">
        <w:t xml:space="preserve"> </w:t>
      </w:r>
      <w:r w:rsidRPr="0072531A">
        <w:rPr>
          <w:rFonts w:ascii="Aptos" w:hAnsi="Aptos" w:cs="Aptos"/>
        </w:rPr>
        <w:t>αντιδράσεις</w:t>
      </w:r>
      <w:r w:rsidRPr="0072531A">
        <w:t xml:space="preserve">. </w:t>
      </w:r>
      <w:r w:rsidRPr="0072531A">
        <w:rPr>
          <w:rFonts w:ascii="Aptos" w:hAnsi="Aptos" w:cs="Aptos"/>
        </w:rPr>
        <w:t>Συνολικά</w:t>
      </w:r>
      <w:r w:rsidRPr="0072531A">
        <w:t xml:space="preserve">, </w:t>
      </w:r>
      <w:r w:rsidRPr="0072531A">
        <w:rPr>
          <w:rFonts w:ascii="Aptos" w:hAnsi="Aptos" w:cs="Aptos"/>
        </w:rPr>
        <w:t>το</w:t>
      </w:r>
      <w:r w:rsidRPr="0072531A">
        <w:t xml:space="preserve"> FeCocktail </w:t>
      </w:r>
      <w:r w:rsidRPr="0072531A">
        <w:rPr>
          <w:rFonts w:ascii="Aptos" w:hAnsi="Aptos" w:cs="Aptos"/>
        </w:rPr>
        <w:t>αποτελεί</w:t>
      </w:r>
      <w:r w:rsidRPr="0072531A">
        <w:t xml:space="preserve"> </w:t>
      </w:r>
      <w:r w:rsidRPr="0072531A">
        <w:rPr>
          <w:rFonts w:ascii="Aptos" w:hAnsi="Aptos" w:cs="Aptos"/>
        </w:rPr>
        <w:t>μια</w:t>
      </w:r>
      <w:r w:rsidRPr="0072531A">
        <w:t xml:space="preserve"> </w:t>
      </w:r>
      <w:r w:rsidRPr="0072531A">
        <w:rPr>
          <w:rFonts w:ascii="Aptos" w:hAnsi="Aptos" w:cs="Aptos"/>
        </w:rPr>
        <w:t>ασφαλή</w:t>
      </w:r>
      <w:r w:rsidRPr="0072531A">
        <w:t xml:space="preserve"> </w:t>
      </w:r>
      <w:r w:rsidRPr="0072531A">
        <w:rPr>
          <w:rFonts w:ascii="Aptos" w:hAnsi="Aptos" w:cs="Aptos"/>
        </w:rPr>
        <w:t>και</w:t>
      </w:r>
      <w:r w:rsidRPr="0072531A">
        <w:t xml:space="preserve"> </w:t>
      </w:r>
      <w:r w:rsidRPr="0072531A">
        <w:rPr>
          <w:rFonts w:ascii="Aptos" w:hAnsi="Aptos" w:cs="Aptos"/>
        </w:rPr>
        <w:t>πολλά</w:t>
      </w:r>
      <w:r w:rsidRPr="0072531A">
        <w:t xml:space="preserve"> </w:t>
      </w:r>
      <w:r w:rsidRPr="0072531A">
        <w:rPr>
          <w:rFonts w:ascii="Aptos" w:hAnsi="Aptos" w:cs="Aptos"/>
        </w:rPr>
        <w:t>υποσχόμενη</w:t>
      </w:r>
      <w:r w:rsidRPr="0072531A">
        <w:t xml:space="preserve"> </w:t>
      </w:r>
      <w:r w:rsidRPr="0072531A">
        <w:rPr>
          <w:rFonts w:ascii="Aptos" w:hAnsi="Aptos" w:cs="Aptos"/>
        </w:rPr>
        <w:t>νανοσωματιδιακή</w:t>
      </w:r>
      <w:r w:rsidRPr="0072531A">
        <w:t xml:space="preserve"> </w:t>
      </w:r>
      <w:r w:rsidRPr="0072531A">
        <w:rPr>
          <w:rFonts w:ascii="Aptos" w:hAnsi="Aptos" w:cs="Aptos"/>
        </w:rPr>
        <w:t>εμβολιακή</w:t>
      </w:r>
      <w:r w:rsidRPr="0072531A">
        <w:t xml:space="preserve"> </w:t>
      </w:r>
      <w:r w:rsidRPr="0072531A">
        <w:rPr>
          <w:rFonts w:ascii="Aptos" w:hAnsi="Aptos" w:cs="Aptos"/>
        </w:rPr>
        <w:t>στρατηγική</w:t>
      </w:r>
      <w:r w:rsidRPr="0072531A">
        <w:t xml:space="preserve"> </w:t>
      </w:r>
      <w:r w:rsidRPr="0072531A">
        <w:rPr>
          <w:rFonts w:ascii="Aptos" w:hAnsi="Aptos" w:cs="Aptos"/>
        </w:rPr>
        <w:t>με</w:t>
      </w:r>
      <w:r w:rsidRPr="0072531A">
        <w:t xml:space="preserve"> </w:t>
      </w:r>
      <w:r w:rsidRPr="0072531A">
        <w:rPr>
          <w:rFonts w:ascii="Aptos" w:hAnsi="Aptos" w:cs="Aptos"/>
        </w:rPr>
        <w:t>δυνατότητα</w:t>
      </w:r>
      <w:r w:rsidRPr="0072531A">
        <w:t xml:space="preserve"> </w:t>
      </w:r>
      <w:r w:rsidRPr="0072531A">
        <w:rPr>
          <w:rFonts w:ascii="Aptos" w:hAnsi="Aptos" w:cs="Aptos"/>
        </w:rPr>
        <w:t>διασταυρούμενης</w:t>
      </w:r>
      <w:r w:rsidRPr="0072531A">
        <w:t xml:space="preserve"> </w:t>
      </w:r>
      <w:r w:rsidRPr="0072531A">
        <w:rPr>
          <w:rFonts w:ascii="Aptos" w:hAnsi="Aptos" w:cs="Aptos"/>
        </w:rPr>
        <w:t>προστασίας</w:t>
      </w:r>
      <w:r w:rsidRPr="0072531A">
        <w:t xml:space="preserve"> </w:t>
      </w:r>
      <w:r w:rsidRPr="0072531A">
        <w:rPr>
          <w:rFonts w:ascii="Aptos" w:hAnsi="Aptos" w:cs="Aptos"/>
        </w:rPr>
        <w:t>έναντι</w:t>
      </w:r>
      <w:r w:rsidRPr="0072531A">
        <w:t xml:space="preserve"> </w:t>
      </w:r>
      <w:r w:rsidRPr="0072531A">
        <w:rPr>
          <w:rFonts w:ascii="Aptos" w:hAnsi="Aptos" w:cs="Aptos"/>
        </w:rPr>
        <w:t>διαφορετικών</w:t>
      </w:r>
      <w:r w:rsidRPr="0072531A">
        <w:t xml:space="preserve"> </w:t>
      </w:r>
      <w:r w:rsidRPr="0072531A">
        <w:rPr>
          <w:rFonts w:ascii="Aptos" w:hAnsi="Aptos" w:cs="Aptos"/>
        </w:rPr>
        <w:t>στελεχών</w:t>
      </w:r>
      <w:r w:rsidRPr="0072531A">
        <w:t xml:space="preserve"> </w:t>
      </w:r>
      <w:r w:rsidRPr="0072531A">
        <w:rPr>
          <w:rFonts w:ascii="Aptos" w:hAnsi="Aptos" w:cs="Aptos"/>
        </w:rPr>
        <w:t>του</w:t>
      </w:r>
      <w:r w:rsidRPr="0072531A">
        <w:t xml:space="preserve"> PRRSV.</w:t>
      </w:r>
    </w:p>
    <w:p w14:paraId="6579C8DB" w14:textId="77777777" w:rsidR="0072531A" w:rsidRPr="002617A2" w:rsidRDefault="0072531A" w:rsidP="0072531A">
      <w:pPr>
        <w:jc w:val="both"/>
      </w:pPr>
    </w:p>
    <w:p w14:paraId="7390FB12" w14:textId="77777777" w:rsidR="0072531A" w:rsidRPr="0072531A" w:rsidRDefault="0072531A" w:rsidP="0072531A">
      <w:pPr>
        <w:jc w:val="both"/>
      </w:pPr>
      <w:r w:rsidRPr="0072531A">
        <w:rPr>
          <w:b/>
          <w:bCs/>
        </w:rPr>
        <w:t>Βιβλιογραφία</w:t>
      </w:r>
    </w:p>
    <w:p w14:paraId="1BFCE6C4" w14:textId="77777777" w:rsidR="0072531A" w:rsidRPr="0072531A" w:rsidRDefault="0072531A" w:rsidP="0072531A">
      <w:pPr>
        <w:jc w:val="both"/>
      </w:pPr>
      <w:r w:rsidRPr="0072531A">
        <w:t xml:space="preserve">Albina, E. (1997). </w:t>
      </w:r>
      <w:r w:rsidRPr="0072531A">
        <w:rPr>
          <w:i/>
          <w:iCs/>
        </w:rPr>
        <w:t>Epidemiology of porcine reproductive and respiratory syndrome (PRRS): An overview.</w:t>
      </w:r>
      <w:r w:rsidRPr="0072531A">
        <w:t> Veterinary Microbiology, 55(1-4), 309–316.</w:t>
      </w:r>
    </w:p>
    <w:p w14:paraId="502D9F2E" w14:textId="77777777" w:rsidR="0072531A" w:rsidRPr="0072531A" w:rsidRDefault="0072531A" w:rsidP="0072531A">
      <w:pPr>
        <w:jc w:val="both"/>
      </w:pPr>
      <w:r w:rsidRPr="0072531A">
        <w:t xml:space="preserve">Bruun, T. U. J., Andersson, A.-M. C., Draper, S. J., &amp; Howarth, M. (2018). </w:t>
      </w:r>
      <w:r w:rsidRPr="0072531A">
        <w:rPr>
          <w:i/>
          <w:iCs/>
        </w:rPr>
        <w:t>Engineering a Rugged Nanoscaffold To Enhance Plug-and-Display Vaccination.</w:t>
      </w:r>
      <w:r w:rsidRPr="0072531A">
        <w:t> ACS Nano, 12(9), 8855–8866. </w:t>
      </w:r>
    </w:p>
    <w:p w14:paraId="01408779" w14:textId="77777777" w:rsidR="0072531A" w:rsidRPr="0072531A" w:rsidRDefault="0072531A" w:rsidP="0072531A">
      <w:pPr>
        <w:jc w:val="both"/>
      </w:pPr>
      <w:r w:rsidRPr="0072531A">
        <w:t xml:space="preserve">Dokland, T. (2010). </w:t>
      </w:r>
      <w:r w:rsidRPr="0072531A">
        <w:rPr>
          <w:i/>
          <w:iCs/>
        </w:rPr>
        <w:t>The structural biology of PRRSV.</w:t>
      </w:r>
      <w:r w:rsidRPr="0072531A">
        <w:t> Virus Research, 154(1-2), 86–97. </w:t>
      </w:r>
    </w:p>
    <w:p w14:paraId="2399E5AE" w14:textId="77777777" w:rsidR="0072531A" w:rsidRPr="0072531A" w:rsidRDefault="0072531A" w:rsidP="0072531A">
      <w:pPr>
        <w:jc w:val="both"/>
      </w:pPr>
      <w:r w:rsidRPr="0072531A">
        <w:t xml:space="preserve">Gupta, A., Mumtaz, S., Li, C.-H., Hussain, I., &amp; Rotello, V. M. (2019). </w:t>
      </w:r>
      <w:r w:rsidRPr="0072531A">
        <w:rPr>
          <w:i/>
          <w:iCs/>
        </w:rPr>
        <w:t>Combatting antibiotic-resistant bacteria using nanomaterials</w:t>
      </w:r>
      <w:r w:rsidRPr="0072531A">
        <w:t>. Chemical Society Reviews, 48(2), 415–427. </w:t>
      </w:r>
    </w:p>
    <w:p w14:paraId="620D0AF1" w14:textId="77777777" w:rsidR="0072531A" w:rsidRPr="0072531A" w:rsidRDefault="0072531A" w:rsidP="0072531A">
      <w:pPr>
        <w:jc w:val="both"/>
      </w:pPr>
      <w:r w:rsidRPr="0072531A">
        <w:t xml:space="preserve">Lunney, J. K., Fang, Y., Ladinig, A., Chen, N., Li, Y., Rowland, B., &amp; Renukaradhya, G. J. (2016). </w:t>
      </w:r>
      <w:r w:rsidRPr="0072531A">
        <w:rPr>
          <w:i/>
          <w:iCs/>
        </w:rPr>
        <w:t>Porcine Reproductive and Respiratory Syndrome Virus (PRRSV): Pathogenesis and Interaction with the Immune System.</w:t>
      </w:r>
      <w:r w:rsidRPr="0072531A">
        <w:t> Annual Review of Animal Biosciences, 4(1), 129–154. </w:t>
      </w:r>
    </w:p>
    <w:p w14:paraId="2969B6E0" w14:textId="77777777" w:rsidR="0072531A" w:rsidRPr="0072531A" w:rsidRDefault="0072531A" w:rsidP="0072531A">
      <w:pPr>
        <w:jc w:val="both"/>
      </w:pPr>
      <w:r w:rsidRPr="0072531A">
        <w:lastRenderedPageBreak/>
        <w:t xml:space="preserve">Montaner-Tarbes, S., del Portillo, H. A., Montoya, M., &amp; Fraile, L. (2019). </w:t>
      </w:r>
      <w:r w:rsidRPr="0072531A">
        <w:rPr>
          <w:i/>
          <w:iCs/>
        </w:rPr>
        <w:t>Key Gaps in the Knowledge of the Porcine Respiratory Reproductive Syndrome Virus (PRRSV).</w:t>
      </w:r>
      <w:r w:rsidRPr="0072531A">
        <w:t> Frontiers in Veterinary Science, 6. </w:t>
      </w:r>
    </w:p>
    <w:p w14:paraId="57998026" w14:textId="77777777" w:rsidR="0072531A" w:rsidRPr="0072531A" w:rsidRDefault="0072531A" w:rsidP="0072531A">
      <w:pPr>
        <w:jc w:val="both"/>
      </w:pPr>
      <w:r w:rsidRPr="0072531A">
        <w:t xml:space="preserve">Shi, C., Liu, Y., Ding, Y., Zhang, Y., &amp; Zhang, J. (2015). </w:t>
      </w:r>
      <w:r w:rsidRPr="0072531A">
        <w:rPr>
          <w:i/>
          <w:iCs/>
        </w:rPr>
        <w:t>PRRSV receptors and their roles in virus infection</w:t>
      </w:r>
      <w:r w:rsidRPr="0072531A">
        <w:t>. Archives of Microbiology, 197(4), 503–512.</w:t>
      </w:r>
    </w:p>
    <w:p w14:paraId="36D6044D" w14:textId="77777777" w:rsidR="0072531A" w:rsidRPr="0072531A" w:rsidRDefault="0072531A" w:rsidP="0072531A">
      <w:pPr>
        <w:jc w:val="both"/>
      </w:pPr>
      <w:r w:rsidRPr="0072531A">
        <w:t xml:space="preserve">Sun, Y., Gao, Y., Su, T., Zhang, L., Zhou, H., Zhang, J., Sun, H., Bai, J., &amp; Jiang, P. (2025). </w:t>
      </w:r>
      <w:r w:rsidRPr="0072531A">
        <w:rPr>
          <w:i/>
          <w:iCs/>
        </w:rPr>
        <w:t>Nanoparticle Vaccine Triggers Interferon-Gamma Production and Confers Protective Immunity against Porcine Reproductive and Respiratory Syndrome Virus.</w:t>
      </w:r>
      <w:r w:rsidRPr="0072531A">
        <w:t> ACS Nano, 19(1), 852–870. </w:t>
      </w:r>
    </w:p>
    <w:p w14:paraId="4B6FD749" w14:textId="77777777" w:rsidR="0072531A" w:rsidRPr="0072531A" w:rsidRDefault="0072531A" w:rsidP="0072531A">
      <w:pPr>
        <w:jc w:val="both"/>
      </w:pPr>
      <w:r w:rsidRPr="0072531A">
        <w:t xml:space="preserve">Tian, K., Yu, X., Zhao, T., Feng, Y., Cao, Z., Wang, C., Hu, Y., Chen, X., Hu, D., Tian, X., Liu, D., Zhang, S., Deng, X., Ding, Y., Yang, L., Zhang, Y., Xiao, H., Qiao, M., Wang, B., &amp; Hou, L. (2007). </w:t>
      </w:r>
      <w:r w:rsidRPr="0072531A">
        <w:rPr>
          <w:i/>
          <w:iCs/>
        </w:rPr>
        <w:t>Emergence of Fatal PRRSV Variants: Unparalleled Outbreaks of Atypical PRRS in China and Molecular Dissection of the Unique Hallmark.</w:t>
      </w:r>
      <w:r w:rsidRPr="0072531A">
        <w:t> PLoS ONE, 2(6). </w:t>
      </w:r>
    </w:p>
    <w:p w14:paraId="1CA2F924" w14:textId="77777777" w:rsidR="0072531A" w:rsidRDefault="0072531A" w:rsidP="0072531A">
      <w:pPr>
        <w:jc w:val="both"/>
      </w:pPr>
      <w:r w:rsidRPr="0072531A">
        <w:t>Tizard, I. R. (2018).</w:t>
      </w:r>
      <w:r w:rsidRPr="0072531A">
        <w:rPr>
          <w:i/>
          <w:iCs/>
        </w:rPr>
        <w:t> Veterinary immunology</w:t>
      </w:r>
      <w:r w:rsidRPr="0072531A">
        <w:t>. Elsevier.</w:t>
      </w:r>
    </w:p>
    <w:p w14:paraId="115AEAB6" w14:textId="77777777" w:rsidR="0072531A" w:rsidRDefault="0072531A" w:rsidP="0072531A">
      <w:pPr>
        <w:jc w:val="both"/>
      </w:pPr>
    </w:p>
    <w:p w14:paraId="3BFF50AF" w14:textId="77777777" w:rsidR="0072531A" w:rsidRDefault="0072531A" w:rsidP="0072531A">
      <w:pPr>
        <w:jc w:val="both"/>
      </w:pPr>
    </w:p>
    <w:p w14:paraId="105597C9" w14:textId="77777777" w:rsidR="0072531A" w:rsidRDefault="0072531A" w:rsidP="0072531A">
      <w:pPr>
        <w:jc w:val="both"/>
      </w:pPr>
    </w:p>
    <w:p w14:paraId="00D0BB17" w14:textId="77777777" w:rsidR="0072531A" w:rsidRDefault="0072531A" w:rsidP="0072531A">
      <w:pPr>
        <w:jc w:val="both"/>
      </w:pPr>
    </w:p>
    <w:p w14:paraId="17B0CA1C" w14:textId="77777777" w:rsidR="0072531A" w:rsidRDefault="0072531A" w:rsidP="0072531A">
      <w:pPr>
        <w:jc w:val="both"/>
      </w:pPr>
    </w:p>
    <w:p w14:paraId="461AE9C8" w14:textId="77777777" w:rsidR="0072531A" w:rsidRDefault="0072531A" w:rsidP="0072531A">
      <w:pPr>
        <w:jc w:val="both"/>
      </w:pPr>
    </w:p>
    <w:p w14:paraId="12D82DA4" w14:textId="77777777" w:rsidR="0072531A" w:rsidRDefault="0072531A" w:rsidP="0072531A">
      <w:pPr>
        <w:jc w:val="both"/>
      </w:pPr>
    </w:p>
    <w:p w14:paraId="7B9EA225" w14:textId="77777777" w:rsidR="0072531A" w:rsidRDefault="0072531A" w:rsidP="0072531A">
      <w:pPr>
        <w:jc w:val="both"/>
      </w:pPr>
    </w:p>
    <w:p w14:paraId="3E26AB9E" w14:textId="77777777" w:rsidR="0072531A" w:rsidRDefault="0072531A" w:rsidP="0072531A">
      <w:pPr>
        <w:jc w:val="both"/>
      </w:pPr>
    </w:p>
    <w:p w14:paraId="50F1E47A" w14:textId="77777777" w:rsidR="0072531A" w:rsidRDefault="0072531A" w:rsidP="0072531A">
      <w:pPr>
        <w:jc w:val="both"/>
      </w:pPr>
    </w:p>
    <w:p w14:paraId="56B671A6" w14:textId="77777777" w:rsidR="0072531A" w:rsidRDefault="0072531A" w:rsidP="0072531A">
      <w:pPr>
        <w:jc w:val="both"/>
      </w:pPr>
    </w:p>
    <w:p w14:paraId="26F7A926" w14:textId="77777777" w:rsidR="0072531A" w:rsidRDefault="0072531A" w:rsidP="0072531A">
      <w:pPr>
        <w:jc w:val="both"/>
      </w:pPr>
    </w:p>
    <w:p w14:paraId="37DC85B4" w14:textId="77777777" w:rsidR="0072531A" w:rsidRDefault="0072531A" w:rsidP="0072531A">
      <w:pPr>
        <w:jc w:val="both"/>
      </w:pPr>
    </w:p>
    <w:p w14:paraId="43916702" w14:textId="77777777" w:rsidR="0072531A" w:rsidRDefault="0072531A" w:rsidP="0072531A">
      <w:pPr>
        <w:jc w:val="both"/>
      </w:pPr>
    </w:p>
    <w:p w14:paraId="2091870F" w14:textId="77777777" w:rsidR="0072531A" w:rsidRDefault="0072531A" w:rsidP="0072531A">
      <w:pPr>
        <w:jc w:val="both"/>
      </w:pPr>
    </w:p>
    <w:p w14:paraId="65A025F0" w14:textId="77777777" w:rsidR="0072531A" w:rsidRDefault="0072531A" w:rsidP="0072531A">
      <w:pPr>
        <w:jc w:val="both"/>
      </w:pPr>
    </w:p>
    <w:p w14:paraId="5DF48029" w14:textId="77777777" w:rsidR="0072531A" w:rsidRDefault="0072531A" w:rsidP="0072531A">
      <w:pPr>
        <w:jc w:val="both"/>
      </w:pPr>
    </w:p>
    <w:p w14:paraId="0A474374" w14:textId="77777777" w:rsidR="0072531A" w:rsidRDefault="0072531A" w:rsidP="0072531A">
      <w:pPr>
        <w:jc w:val="both"/>
      </w:pPr>
    </w:p>
    <w:p w14:paraId="1AD0D616" w14:textId="77777777" w:rsidR="0072531A" w:rsidRDefault="0072531A" w:rsidP="0072531A">
      <w:pPr>
        <w:jc w:val="both"/>
      </w:pPr>
    </w:p>
    <w:p w14:paraId="374564AE" w14:textId="77777777" w:rsidR="0072531A" w:rsidRDefault="0072531A" w:rsidP="0072531A">
      <w:pPr>
        <w:jc w:val="both"/>
      </w:pPr>
    </w:p>
    <w:p w14:paraId="781E4A84" w14:textId="77777777" w:rsidR="0072531A" w:rsidRPr="0072531A" w:rsidRDefault="0072531A" w:rsidP="0072531A">
      <w:pPr>
        <w:jc w:val="both"/>
      </w:pPr>
    </w:p>
    <w:p w14:paraId="333CA9F4" w14:textId="36F00873" w:rsidR="0072531A" w:rsidRPr="0072531A" w:rsidRDefault="0072531A" w:rsidP="0072531A">
      <w:pPr>
        <w:jc w:val="both"/>
      </w:pPr>
      <w:r w:rsidRPr="0072531A">
        <w:rPr>
          <w:b/>
          <w:bCs/>
        </w:rPr>
        <w:lastRenderedPageBreak/>
        <w:t>Silent Genes, Broken Fertility: Insights in KO mice and male infertility</w:t>
      </w:r>
    </w:p>
    <w:p w14:paraId="3950C13E" w14:textId="77777777" w:rsidR="0072531A" w:rsidRPr="0072531A" w:rsidRDefault="0072531A" w:rsidP="0072531A">
      <w:pPr>
        <w:jc w:val="both"/>
      </w:pPr>
      <w:r w:rsidRPr="0072531A">
        <w:t>Καραγιάννης Γεώργιος</w:t>
      </w:r>
      <w:r w:rsidRPr="0072531A">
        <w:rPr>
          <w:vertAlign w:val="superscript"/>
        </w:rPr>
        <w:t>1</w:t>
      </w:r>
      <w:r w:rsidRPr="0072531A">
        <w:t>, Κωσταντίνος Μποζονέλος</w:t>
      </w:r>
      <w:r w:rsidRPr="0072531A">
        <w:rPr>
          <w:vertAlign w:val="superscript"/>
        </w:rPr>
        <w:t>2</w:t>
      </w:r>
      <w:r w:rsidRPr="0072531A">
        <w:t>, Αναστασία Τσιγκοτζίδου</w:t>
      </w:r>
      <w:r w:rsidRPr="0072531A">
        <w:rPr>
          <w:vertAlign w:val="superscript"/>
        </w:rPr>
        <w:t>3</w:t>
      </w:r>
    </w:p>
    <w:p w14:paraId="6A124BED" w14:textId="77777777" w:rsidR="0072531A" w:rsidRPr="0072531A" w:rsidRDefault="0072531A">
      <w:pPr>
        <w:numPr>
          <w:ilvl w:val="0"/>
          <w:numId w:val="121"/>
        </w:numPr>
        <w:jc w:val="both"/>
      </w:pPr>
      <w:r w:rsidRPr="0072531A">
        <w:t>Προπτυχιακός Φοιτητής, Τμήμα Κτηνιατρικής , Σχολή Επιστημών Υγείας, Αριστοτέλειο Πανεπιστήμιο Θεσσαλονίκης </w:t>
      </w:r>
    </w:p>
    <w:p w14:paraId="5AF7AC39" w14:textId="0EF4904C" w:rsidR="0072531A" w:rsidRPr="0072531A" w:rsidRDefault="0072531A">
      <w:pPr>
        <w:numPr>
          <w:ilvl w:val="0"/>
          <w:numId w:val="121"/>
        </w:numPr>
        <w:jc w:val="both"/>
      </w:pPr>
      <w:r w:rsidRPr="0072531A">
        <w:rPr>
          <w:vertAlign w:val="superscript"/>
        </w:rPr>
        <w:t>  </w:t>
      </w:r>
      <w:r w:rsidRPr="0072531A">
        <w:t>BSRC "Alexander Fleming", Βάρη, Ελλάδα- Αριστοτέλειο Πανεπιστήμιο Θεσσαλονίκης, Τμήμα Κτηνιατρικής, Θεσσαλονίκη, Ελλάδα.</w:t>
      </w:r>
    </w:p>
    <w:p w14:paraId="6A96DA79" w14:textId="77777777" w:rsidR="0072531A" w:rsidRPr="0072531A" w:rsidRDefault="0072531A">
      <w:pPr>
        <w:numPr>
          <w:ilvl w:val="0"/>
          <w:numId w:val="121"/>
        </w:numPr>
        <w:jc w:val="both"/>
      </w:pPr>
      <w:r w:rsidRPr="0072531A">
        <w:t>Καθηγήτρια Ανατομικής, Ιστολογίας Και Εμβρυολογίας, Τμήμα Κτηνιατρικής, Σχολή Επιστήμων Υγείας, Α.Π.Θ.</w:t>
      </w:r>
    </w:p>
    <w:p w14:paraId="449D90FF" w14:textId="77777777" w:rsidR="0072531A" w:rsidRPr="0072531A" w:rsidRDefault="0072531A" w:rsidP="0072531A">
      <w:pPr>
        <w:ind w:left="720"/>
        <w:jc w:val="both"/>
      </w:pPr>
    </w:p>
    <w:p w14:paraId="38485702" w14:textId="77777777" w:rsidR="0072531A" w:rsidRPr="0072531A" w:rsidRDefault="0072531A" w:rsidP="0072531A">
      <w:pPr>
        <w:jc w:val="both"/>
      </w:pPr>
      <w:r w:rsidRPr="0072531A">
        <w:rPr>
          <w:b/>
          <w:bCs/>
        </w:rPr>
        <w:t>Περίληψη</w:t>
      </w:r>
    </w:p>
    <w:p w14:paraId="4A3EB5A7" w14:textId="77777777" w:rsidR="0072531A" w:rsidRPr="0072531A" w:rsidRDefault="0072531A" w:rsidP="0072531A">
      <w:pPr>
        <w:jc w:val="both"/>
      </w:pPr>
      <w:r w:rsidRPr="0072531A">
        <w:t xml:space="preserve">Η ανδρική υπογονιμότητα επηρεάζει περίπου το 7% των ανδρών παγκοσμίως και συχνά οφείλεται σε γενετικές διαταραχές που επηρεάζουν τη σπερματογένεση. Τα πρότυπα μυών Knockout (KO) είναι πολύτιμα εργαλεία για την εξερεύνηση των μοριακών μηχανισμών που ρυθμίζουν τη μειωτική διαίρεση, τη μορφογένεση και τη λειτουργία των σπερματοζωαρίων. Μελέτες με KO-mice έχουν δείξει ότι γονίδια όπως </w:t>
      </w:r>
      <w:r w:rsidRPr="0072531A">
        <w:rPr>
          <w:i/>
          <w:iCs/>
        </w:rPr>
        <w:t>Dazl, Cwf19l2</w:t>
      </w:r>
      <w:r w:rsidRPr="0072531A">
        <w:t xml:space="preserve"> και </w:t>
      </w:r>
      <w:r w:rsidRPr="0072531A">
        <w:rPr>
          <w:i/>
          <w:iCs/>
        </w:rPr>
        <w:t>Tex11</w:t>
      </w:r>
      <w:r w:rsidRPr="0072531A">
        <w:t xml:space="preserve"> είναι απαραίτητα για την ομαλή εξέλιξη της μείωσης. Η απώλεια αυτών οδηγεί σε διακοπή της σπερματογένεσης και Αζωοσπερμία. Άλλα γονίδια, όπως </w:t>
      </w:r>
      <w:r w:rsidRPr="0072531A">
        <w:rPr>
          <w:i/>
          <w:iCs/>
        </w:rPr>
        <w:t>Pmfbp1, Sun5</w:t>
      </w:r>
      <w:r w:rsidRPr="0072531A">
        <w:t xml:space="preserve">, </w:t>
      </w:r>
      <w:r w:rsidRPr="0072531A">
        <w:rPr>
          <w:i/>
          <w:iCs/>
        </w:rPr>
        <w:t>DPY19L2, PICK1</w:t>
      </w:r>
      <w:r w:rsidRPr="0072531A">
        <w:t xml:space="preserve"> και </w:t>
      </w:r>
      <w:r w:rsidRPr="0072531A">
        <w:rPr>
          <w:i/>
          <w:iCs/>
        </w:rPr>
        <w:t>ZPBP1</w:t>
      </w:r>
      <w:r w:rsidRPr="0072531A">
        <w:t xml:space="preserve">, σχετίζονται με σοβαρές μορφολογικές ανωμαλίες. Αυτές περιλαμβάνουν το Σύνδρομο Ακέφαλου Σπερματοζωαρίου (ASS: Acephalic Spermatozoa Syndrome ) και τη Γλομποζωοσπερμία (Globozoospermia ). Επιπλέον, τα </w:t>
      </w:r>
      <w:r w:rsidRPr="0072531A">
        <w:rPr>
          <w:i/>
          <w:iCs/>
        </w:rPr>
        <w:t>AK9</w:t>
      </w:r>
      <w:r w:rsidRPr="0072531A">
        <w:t xml:space="preserve">, </w:t>
      </w:r>
      <w:r w:rsidRPr="0072531A">
        <w:rPr>
          <w:i/>
          <w:iCs/>
        </w:rPr>
        <w:t>Sept4</w:t>
      </w:r>
      <w:r w:rsidRPr="0072531A">
        <w:t xml:space="preserve"> και </w:t>
      </w:r>
      <w:r w:rsidRPr="0072531A">
        <w:rPr>
          <w:i/>
          <w:iCs/>
        </w:rPr>
        <w:t>TEKT3</w:t>
      </w:r>
      <w:r w:rsidRPr="0072531A">
        <w:t xml:space="preserve"> επηρεάζουν την κινητικότητα. Τα </w:t>
      </w:r>
      <w:r w:rsidRPr="0072531A">
        <w:rPr>
          <w:i/>
          <w:iCs/>
        </w:rPr>
        <w:t>Mfsd6l</w:t>
      </w:r>
      <w:r w:rsidRPr="0072531A">
        <w:t xml:space="preserve"> και </w:t>
      </w:r>
      <w:r w:rsidRPr="0072531A">
        <w:rPr>
          <w:i/>
          <w:iCs/>
        </w:rPr>
        <w:t>CCDC157</w:t>
      </w:r>
      <w:r w:rsidRPr="0072531A">
        <w:t xml:space="preserve"> συνδέονται με μειωμένη ικανότητα γονιμοποίησης. Τα ευρήματα από τους KO μύες βοηθούν στην αναγνώριση μονογονιδιακών αιτίων ανδρικής υπογονιμότητας. Επίσης στηρίζουν τη βελτίωση στρατηγικών υποβοηθούμενης αναπαραγωγής και ενισχύουν την ανάπτυξη εξατομικευμένων διαγνωστικών και θεραπευτικών προσεγγίσεων.</w:t>
      </w:r>
    </w:p>
    <w:p w14:paraId="62CB9DE9" w14:textId="77777777" w:rsidR="0072531A" w:rsidRPr="0072531A" w:rsidRDefault="0072531A" w:rsidP="0072531A">
      <w:pPr>
        <w:jc w:val="both"/>
      </w:pPr>
    </w:p>
    <w:p w14:paraId="3875D01B" w14:textId="77777777" w:rsidR="0072531A" w:rsidRPr="0072531A" w:rsidRDefault="0072531A" w:rsidP="0072531A">
      <w:pPr>
        <w:jc w:val="both"/>
      </w:pPr>
      <w:r w:rsidRPr="0072531A">
        <w:rPr>
          <w:b/>
          <w:bCs/>
        </w:rPr>
        <w:t>Βιβλιογραφία</w:t>
      </w:r>
    </w:p>
    <w:p w14:paraId="1ABD7B32" w14:textId="77777777" w:rsidR="0072531A" w:rsidRPr="0072531A" w:rsidRDefault="0072531A" w:rsidP="0072531A">
      <w:pPr>
        <w:jc w:val="both"/>
      </w:pPr>
      <w:r w:rsidRPr="0072531A">
        <w:t xml:space="preserve">Advanced IVF Lab Indore. </w:t>
      </w:r>
      <w:r w:rsidRPr="0072531A">
        <w:rPr>
          <w:i/>
          <w:iCs/>
        </w:rPr>
        <w:t>(n.d.). Achieving highest success rate in IVF</w:t>
      </w:r>
      <w:r w:rsidRPr="0072531A">
        <w:t>.</w:t>
      </w:r>
    </w:p>
    <w:p w14:paraId="722BE967" w14:textId="77777777" w:rsidR="0072531A" w:rsidRPr="0072531A" w:rsidRDefault="0072531A" w:rsidP="0072531A">
      <w:pPr>
        <w:jc w:val="both"/>
      </w:pPr>
      <w:r w:rsidRPr="0072531A">
        <w:t xml:space="preserve">Barada, S., Alameer, M., Aldhaheri, R. H., Hamdan, H., &amp; Kashir, J. (2025). </w:t>
      </w:r>
      <w:r w:rsidRPr="0072531A">
        <w:rPr>
          <w:i/>
          <w:iCs/>
        </w:rPr>
        <w:t>Of mice and men: Translating mouse knockout models of human male infertility</w:t>
      </w:r>
      <w:r w:rsidRPr="0072531A">
        <w:t>. Reproduction</w:t>
      </w:r>
      <w:r w:rsidRPr="0072531A">
        <w:rPr>
          <w:i/>
          <w:iCs/>
        </w:rPr>
        <w:t xml:space="preserve">, </w:t>
      </w:r>
      <w:r w:rsidRPr="0072531A">
        <w:t>170(4), e250260.</w:t>
      </w:r>
    </w:p>
    <w:p w14:paraId="19A6161F" w14:textId="77777777" w:rsidR="0072531A" w:rsidRPr="0072531A" w:rsidRDefault="0072531A" w:rsidP="0072531A">
      <w:pPr>
        <w:jc w:val="both"/>
      </w:pPr>
      <w:r w:rsidRPr="0072531A">
        <w:t xml:space="preserve">Barada, S., Alameer, M., Aldhaheri, R. H., Hamdan, H., &amp; Kashir, J. (2027). </w:t>
      </w:r>
      <w:r w:rsidRPr="0072531A">
        <w:rPr>
          <w:i/>
          <w:iCs/>
        </w:rPr>
        <w:t>Causes of male infertility: A 9-year prospective monocentre study on 1737 patients with reduced total sperm counts</w:t>
      </w:r>
      <w:r w:rsidRPr="0072531A">
        <w:t>. Human Reproduction.</w:t>
      </w:r>
    </w:p>
    <w:p w14:paraId="13AB66ED" w14:textId="77777777" w:rsidR="0072531A" w:rsidRPr="0072531A" w:rsidRDefault="0072531A" w:rsidP="0072531A">
      <w:pPr>
        <w:jc w:val="both"/>
      </w:pPr>
      <w:r w:rsidRPr="0072531A">
        <w:t xml:space="preserve">Baylor College of Medicine. </w:t>
      </w:r>
      <w:r w:rsidRPr="0072531A">
        <w:rPr>
          <w:i/>
          <w:iCs/>
        </w:rPr>
        <w:t>(n.d.). Comprehensive mechanisms in reproductive sciences training program</w:t>
      </w:r>
      <w:r w:rsidRPr="0072531A">
        <w:t>.</w:t>
      </w:r>
    </w:p>
    <w:p w14:paraId="31984666" w14:textId="77777777" w:rsidR="0072531A" w:rsidRPr="0072531A" w:rsidRDefault="0072531A" w:rsidP="0072531A">
      <w:pPr>
        <w:jc w:val="both"/>
      </w:pPr>
      <w:r w:rsidRPr="0072531A">
        <w:t xml:space="preserve">Biocytogen. </w:t>
      </w:r>
      <w:r w:rsidRPr="0072531A">
        <w:rPr>
          <w:i/>
          <w:iCs/>
        </w:rPr>
        <w:t>(n.d.). Knockout mouse models</w:t>
      </w:r>
      <w:r w:rsidRPr="0072531A">
        <w:t>.</w:t>
      </w:r>
    </w:p>
    <w:p w14:paraId="39D188A7" w14:textId="77777777" w:rsidR="0072531A" w:rsidRPr="0072531A" w:rsidRDefault="0072531A" w:rsidP="0072531A">
      <w:pPr>
        <w:jc w:val="both"/>
      </w:pPr>
      <w:r w:rsidRPr="0072531A">
        <w:t xml:space="preserve">Jiao, S. Y., Yang, Y. H., &amp; Chen, S. R. (2021). </w:t>
      </w:r>
      <w:r w:rsidRPr="0072531A">
        <w:rPr>
          <w:i/>
          <w:iCs/>
        </w:rPr>
        <w:t>Molecular genetics of infertility: Loss-of-function mutations in humans and corresponding knockout/mutated mice</w:t>
      </w:r>
      <w:r w:rsidRPr="0072531A">
        <w:t>. Human Reproduction</w:t>
      </w:r>
      <w:r w:rsidRPr="0072531A">
        <w:rPr>
          <w:i/>
          <w:iCs/>
        </w:rPr>
        <w:t xml:space="preserve"> </w:t>
      </w:r>
      <w:r w:rsidRPr="0072531A">
        <w:t>Update</w:t>
      </w:r>
      <w:r w:rsidRPr="0072531A">
        <w:rPr>
          <w:i/>
          <w:iCs/>
        </w:rPr>
        <w:t>, 27</w:t>
      </w:r>
      <w:r w:rsidRPr="0072531A">
        <w:t>(1), 154–189.</w:t>
      </w:r>
    </w:p>
    <w:p w14:paraId="36744117" w14:textId="77777777" w:rsidR="0072531A" w:rsidRPr="0072531A" w:rsidRDefault="0072531A" w:rsidP="0072531A">
      <w:pPr>
        <w:jc w:val="both"/>
      </w:pPr>
      <w:r w:rsidRPr="0072531A">
        <w:lastRenderedPageBreak/>
        <w:t xml:space="preserve">Mitchell, M. J., Metzler-Guillemain, C., Toure, A., Coutton, C., Arnoult, C., &amp; Ray, P. F. (2017). </w:t>
      </w:r>
      <w:r w:rsidRPr="0072531A">
        <w:rPr>
          <w:i/>
          <w:iCs/>
        </w:rPr>
        <w:t>Genetic mechanisms of male infertility</w:t>
      </w:r>
      <w:r w:rsidRPr="0072531A">
        <w:t>. Nature Reviews Urology, 14(10), 603–620.</w:t>
      </w:r>
    </w:p>
    <w:p w14:paraId="24F1E1B4" w14:textId="77777777" w:rsidR="0072531A" w:rsidRPr="0072531A" w:rsidRDefault="0072531A" w:rsidP="0072531A">
      <w:pPr>
        <w:jc w:val="both"/>
      </w:pPr>
      <w:r w:rsidRPr="0072531A">
        <w:t xml:space="preserve">Μπουζαλάς, Δ. </w:t>
      </w:r>
      <w:r w:rsidRPr="0072531A">
        <w:rPr>
          <w:i/>
          <w:iCs/>
        </w:rPr>
        <w:t>(n.d.). Σύνδρομο Sertoli-cell-only (SCO)</w:t>
      </w:r>
      <w:r w:rsidRPr="0072531A">
        <w:t>.</w:t>
      </w:r>
    </w:p>
    <w:p w14:paraId="6E6C81C4" w14:textId="77777777" w:rsidR="0072531A" w:rsidRPr="0072531A" w:rsidRDefault="0072531A" w:rsidP="0072531A">
      <w:pPr>
        <w:jc w:val="both"/>
      </w:pPr>
      <w:r w:rsidRPr="0072531A">
        <w:t xml:space="preserve">National Institutes of Health. </w:t>
      </w:r>
      <w:r w:rsidRPr="0072531A">
        <w:rPr>
          <w:i/>
          <w:iCs/>
        </w:rPr>
        <w:t>(n.d.). The Knockout Mouse Project (KOMP)</w:t>
      </w:r>
      <w:r w:rsidRPr="0072531A">
        <w:t>.</w:t>
      </w:r>
    </w:p>
    <w:p w14:paraId="53BB3211" w14:textId="77777777" w:rsidR="0072531A" w:rsidRPr="0072531A" w:rsidRDefault="0072531A" w:rsidP="0072531A">
      <w:pPr>
        <w:jc w:val="both"/>
      </w:pPr>
      <w:r w:rsidRPr="0072531A">
        <w:t xml:space="preserve">Palermo, G., et al. (2018). </w:t>
      </w:r>
      <w:r w:rsidRPr="0072531A">
        <w:rPr>
          <w:i/>
          <w:iCs/>
        </w:rPr>
        <w:t>Male infertility and intracytoplasmic sperm injection (ICSI)</w:t>
      </w:r>
      <w:r w:rsidRPr="0072531A">
        <w:t>. Fertility and Sterility, 109(3), 346–350.</w:t>
      </w:r>
    </w:p>
    <w:p w14:paraId="4F7C8560" w14:textId="77777777" w:rsidR="0072531A" w:rsidRPr="0072531A" w:rsidRDefault="0072531A" w:rsidP="0072531A">
      <w:pPr>
        <w:jc w:val="both"/>
      </w:pPr>
      <w:r w:rsidRPr="0072531A">
        <w:t xml:space="preserve">The Jackson Laboratory </w:t>
      </w:r>
      <w:r w:rsidRPr="0072531A">
        <w:rPr>
          <w:i/>
          <w:iCs/>
        </w:rPr>
        <w:t>(n.d.). Nomenclature for mouse strains</w:t>
      </w:r>
      <w:r w:rsidRPr="0072531A">
        <w:t>.</w:t>
      </w:r>
    </w:p>
    <w:p w14:paraId="77158D7C" w14:textId="77777777" w:rsidR="0072531A" w:rsidRPr="0072531A" w:rsidRDefault="0072531A" w:rsidP="0072531A">
      <w:pPr>
        <w:jc w:val="both"/>
      </w:pPr>
      <w:r w:rsidRPr="0072531A">
        <w:t> </w:t>
      </w:r>
    </w:p>
    <w:p w14:paraId="10E1D78B" w14:textId="77777777" w:rsidR="0072531A" w:rsidRDefault="0072531A" w:rsidP="0072531A">
      <w:pPr>
        <w:jc w:val="both"/>
      </w:pPr>
    </w:p>
    <w:p w14:paraId="35F7C423" w14:textId="77777777" w:rsidR="0072531A" w:rsidRDefault="0072531A" w:rsidP="0072531A">
      <w:pPr>
        <w:jc w:val="both"/>
      </w:pPr>
    </w:p>
    <w:p w14:paraId="2690401F" w14:textId="77777777" w:rsidR="0072531A" w:rsidRDefault="0072531A" w:rsidP="0072531A">
      <w:pPr>
        <w:jc w:val="both"/>
      </w:pPr>
    </w:p>
    <w:p w14:paraId="0FDF1916" w14:textId="77777777" w:rsidR="0072531A" w:rsidRDefault="0072531A" w:rsidP="0072531A">
      <w:pPr>
        <w:jc w:val="both"/>
      </w:pPr>
    </w:p>
    <w:p w14:paraId="2325C8BB" w14:textId="77777777" w:rsidR="0072531A" w:rsidRDefault="0072531A" w:rsidP="0072531A">
      <w:pPr>
        <w:jc w:val="both"/>
      </w:pPr>
    </w:p>
    <w:p w14:paraId="3EDA0F54" w14:textId="77777777" w:rsidR="0072531A" w:rsidRDefault="0072531A" w:rsidP="0072531A">
      <w:pPr>
        <w:jc w:val="both"/>
      </w:pPr>
    </w:p>
    <w:p w14:paraId="3ED407AA" w14:textId="77777777" w:rsidR="0072531A" w:rsidRDefault="0072531A" w:rsidP="0072531A">
      <w:pPr>
        <w:jc w:val="both"/>
      </w:pPr>
    </w:p>
    <w:p w14:paraId="40201895" w14:textId="77777777" w:rsidR="0072531A" w:rsidRDefault="0072531A" w:rsidP="0072531A">
      <w:pPr>
        <w:jc w:val="both"/>
      </w:pPr>
    </w:p>
    <w:p w14:paraId="1F78D076" w14:textId="77777777" w:rsidR="0072531A" w:rsidRDefault="0072531A" w:rsidP="0072531A">
      <w:pPr>
        <w:jc w:val="both"/>
      </w:pPr>
    </w:p>
    <w:p w14:paraId="12C4017C" w14:textId="77777777" w:rsidR="0072531A" w:rsidRDefault="0072531A" w:rsidP="0072531A">
      <w:pPr>
        <w:jc w:val="both"/>
      </w:pPr>
    </w:p>
    <w:p w14:paraId="49A1D96C" w14:textId="77777777" w:rsidR="0072531A" w:rsidRDefault="0072531A" w:rsidP="0072531A">
      <w:pPr>
        <w:jc w:val="both"/>
      </w:pPr>
    </w:p>
    <w:p w14:paraId="768B23F8" w14:textId="77777777" w:rsidR="0072531A" w:rsidRDefault="0072531A" w:rsidP="0072531A">
      <w:pPr>
        <w:jc w:val="both"/>
      </w:pPr>
    </w:p>
    <w:p w14:paraId="58386BA1" w14:textId="77777777" w:rsidR="0072531A" w:rsidRDefault="0072531A" w:rsidP="0072531A">
      <w:pPr>
        <w:jc w:val="both"/>
      </w:pPr>
    </w:p>
    <w:p w14:paraId="384AB685" w14:textId="77777777" w:rsidR="0072531A" w:rsidRDefault="0072531A" w:rsidP="0072531A">
      <w:pPr>
        <w:jc w:val="both"/>
      </w:pPr>
    </w:p>
    <w:p w14:paraId="77F1C6DD" w14:textId="77777777" w:rsidR="0072531A" w:rsidRDefault="0072531A" w:rsidP="0072531A">
      <w:pPr>
        <w:jc w:val="both"/>
      </w:pPr>
    </w:p>
    <w:p w14:paraId="3A67FCF2" w14:textId="77777777" w:rsidR="0072531A" w:rsidRDefault="0072531A" w:rsidP="0072531A">
      <w:pPr>
        <w:jc w:val="both"/>
      </w:pPr>
    </w:p>
    <w:p w14:paraId="6BD7B915" w14:textId="77777777" w:rsidR="0072531A" w:rsidRDefault="0072531A" w:rsidP="0072531A">
      <w:pPr>
        <w:jc w:val="both"/>
      </w:pPr>
    </w:p>
    <w:p w14:paraId="4C18D394" w14:textId="77777777" w:rsidR="0072531A" w:rsidRDefault="0072531A" w:rsidP="0072531A">
      <w:pPr>
        <w:jc w:val="both"/>
      </w:pPr>
    </w:p>
    <w:p w14:paraId="28B972AA" w14:textId="77777777" w:rsidR="0072531A" w:rsidRDefault="0072531A" w:rsidP="0072531A">
      <w:pPr>
        <w:jc w:val="both"/>
      </w:pPr>
    </w:p>
    <w:p w14:paraId="18463258" w14:textId="77777777" w:rsidR="0072531A" w:rsidRDefault="0072531A" w:rsidP="0072531A">
      <w:pPr>
        <w:jc w:val="both"/>
      </w:pPr>
    </w:p>
    <w:p w14:paraId="7D5B07C5" w14:textId="77777777" w:rsidR="0072531A" w:rsidRDefault="0072531A" w:rsidP="0072531A">
      <w:pPr>
        <w:jc w:val="both"/>
      </w:pPr>
    </w:p>
    <w:p w14:paraId="21CD7506" w14:textId="77777777" w:rsidR="0072531A" w:rsidRDefault="0072531A" w:rsidP="0072531A">
      <w:pPr>
        <w:jc w:val="both"/>
      </w:pPr>
    </w:p>
    <w:p w14:paraId="7BB1ABD8" w14:textId="77777777" w:rsidR="0072531A" w:rsidRDefault="0072531A" w:rsidP="0072531A">
      <w:pPr>
        <w:jc w:val="both"/>
      </w:pPr>
    </w:p>
    <w:p w14:paraId="11B94AD3" w14:textId="77777777" w:rsidR="0072531A" w:rsidRPr="0072531A" w:rsidRDefault="0072531A" w:rsidP="0072531A">
      <w:pPr>
        <w:jc w:val="both"/>
      </w:pPr>
    </w:p>
    <w:p w14:paraId="4316AEF6" w14:textId="77777777" w:rsidR="0072531A" w:rsidRPr="0072531A" w:rsidRDefault="0072531A" w:rsidP="0072531A">
      <w:pPr>
        <w:jc w:val="both"/>
      </w:pPr>
      <w:r w:rsidRPr="0072531A">
        <w:rPr>
          <w:b/>
          <w:bCs/>
        </w:rPr>
        <w:lastRenderedPageBreak/>
        <w:t>Ρήξη Πρόσθιου Χιαστού Συνδέσμου στον Σκύλο: Συντηρητική vs Χειρουργική Αντιμετώπιση</w:t>
      </w:r>
    </w:p>
    <w:p w14:paraId="5842E770" w14:textId="77777777" w:rsidR="0072531A" w:rsidRPr="0072531A" w:rsidRDefault="0072531A" w:rsidP="0072531A">
      <w:pPr>
        <w:jc w:val="both"/>
      </w:pPr>
      <w:r w:rsidRPr="0072531A">
        <w:t>Σμυρναίος Γεώργιος</w:t>
      </w:r>
      <w:r w:rsidRPr="0072531A">
        <w:rPr>
          <w:vertAlign w:val="superscript"/>
        </w:rPr>
        <w:t>1</w:t>
      </w:r>
      <w:r w:rsidRPr="0072531A">
        <w:t>, Παπαευθυμίου Σοφιανός</w:t>
      </w:r>
      <w:r w:rsidRPr="0072531A">
        <w:rPr>
          <w:vertAlign w:val="superscript"/>
        </w:rPr>
        <w:t>2</w:t>
      </w:r>
      <w:r w:rsidRPr="0072531A">
        <w:t>, Πράσινος Νικήτας</w:t>
      </w:r>
      <w:r w:rsidRPr="0072531A">
        <w:rPr>
          <w:vertAlign w:val="superscript"/>
        </w:rPr>
        <w:t>3</w:t>
      </w:r>
    </w:p>
    <w:p w14:paraId="19B585E3" w14:textId="77777777" w:rsidR="0072531A" w:rsidRPr="0072531A" w:rsidRDefault="0072531A">
      <w:pPr>
        <w:numPr>
          <w:ilvl w:val="0"/>
          <w:numId w:val="122"/>
        </w:numPr>
        <w:jc w:val="both"/>
      </w:pPr>
      <w:r w:rsidRPr="0072531A">
        <w:t>Προπτυχιακός φοιτητής, Τμήμα Κτηνιατρικής, Σχολή Επιστημών Υγείας, Αριστοτέλειο Πανεπιστήμιο Θεσσαλονίκης.</w:t>
      </w:r>
    </w:p>
    <w:p w14:paraId="63DE12E7" w14:textId="77777777" w:rsidR="0072531A" w:rsidRPr="0072531A" w:rsidRDefault="0072531A">
      <w:pPr>
        <w:numPr>
          <w:ilvl w:val="0"/>
          <w:numId w:val="122"/>
        </w:numPr>
        <w:jc w:val="both"/>
      </w:pPr>
      <w:r w:rsidRPr="0072531A">
        <w:t>Κτηνίατρος, Υποψήφιος διδάκτορας, Μονάδα Χειρουργικής &amp; Μαιευτικής, Κλινική Ζώων Συντροφιάς, Τμήμα Κτηνιατρικής, Σχολή Επιστημών Υγείας, Αριστοτέλειο Πανεπιστήμιο Θεσσαλονίκης.</w:t>
      </w:r>
    </w:p>
    <w:p w14:paraId="59882605" w14:textId="77777777" w:rsidR="0072531A" w:rsidRPr="0072531A" w:rsidRDefault="0072531A">
      <w:pPr>
        <w:numPr>
          <w:ilvl w:val="0"/>
          <w:numId w:val="122"/>
        </w:numPr>
        <w:jc w:val="both"/>
      </w:pPr>
      <w:r w:rsidRPr="0072531A">
        <w:t>Κτηνίατρος, PhD, Καθηγητής, Μονάδα Χειρουργικής &amp; Μαιευτικής, Κλινική Ζώων Συντροφιάς, Τμήμα Κτηνιατρικής, Σχολή Επιστημών Υγείας, Αριστοτέλειο Πανεπιστήμιο Θεσσαλονίκης.</w:t>
      </w:r>
    </w:p>
    <w:p w14:paraId="5727828E" w14:textId="77777777" w:rsidR="0072531A" w:rsidRPr="0072531A" w:rsidRDefault="0072531A" w:rsidP="0072531A">
      <w:pPr>
        <w:jc w:val="both"/>
      </w:pPr>
    </w:p>
    <w:p w14:paraId="21C85B47" w14:textId="77777777" w:rsidR="0072531A" w:rsidRPr="0072531A" w:rsidRDefault="0072531A" w:rsidP="0072531A">
      <w:pPr>
        <w:jc w:val="both"/>
      </w:pPr>
      <w:r w:rsidRPr="0072531A">
        <w:rPr>
          <w:b/>
          <w:bCs/>
        </w:rPr>
        <w:t>Περίληψη</w:t>
      </w:r>
    </w:p>
    <w:p w14:paraId="1E627688" w14:textId="77777777" w:rsidR="0072531A" w:rsidRPr="0072531A" w:rsidRDefault="0072531A" w:rsidP="0072531A">
      <w:pPr>
        <w:jc w:val="both"/>
      </w:pPr>
      <w:r w:rsidRPr="0072531A">
        <w:t>Η ρήξη του πρόσθιου χιαστού συνδέσμου (ΠΧΣ) αποτελεί μια από τις συχνότερες ορθοπαιδικές παθήσεις του σκύλου και την κύρια αιτία οστεοαρθρίτιδας του γονάτου. Σκοπός της συγκεκριμένης εργασίας είναι η σύγκριση του μακροχρόνιου αποτελέσματος της συντηρητικής και της χειρουργικής αντιμετώπισης. Η πρώτη περιλαμβάνει περιορισμό της κινητικής δραστηριότητας, έλεγχο του σωματικού βάρους, χορήγηση μη στεροειδών αντιφλεγμονωδών φαρμάκων και ασκήσεις φυσικοθεραπείας. Έχει ικανοποιητικά αποτελέσματα, κυρίως σε μικρόσωμους σκύλους, και για την επιλογή της θα πρέπει να συνεκτιμώνται η ηλικία, η κινητική δραστηριότητα και η φυσική κατάσταση του ζώου. Ωστόσο, η δευτερογενής κάκωση του έσω μηνίσκου και η ανάπτυξη οστεοαρθρίτιδας θεωρείται βέβαιη, λόγω της χρόνιας αστάθειας του γονάτου. Η χειρουργική αντιμετώπιση στοχεύει στην αποκατάσταση της σταθερότητας της άρθρωσης, είτε μέσω της λειτουργικής υποκατάστασης του ΠΧΣ είτε με την εξάλειψη των διατμητικών δυνάμεων που ασκούνται στην άρθρωση, επιτυγχάνοντας ταχύτερη πλήρη φόρτιση του άκρου και καθυστέρηση της εξέλιξης της οστεοαρθρίτιδας. Συμπερασματικά, η χειρουργική θεραπεία της ρήξης του ΠΧΣ, αν και μερικώς εξατομικευμένη, προσφέρει καλύτερη μακροχρόνια αποκατάσταση του γονάτου.</w:t>
      </w:r>
    </w:p>
    <w:p w14:paraId="4269FAAD" w14:textId="77777777" w:rsidR="0072531A" w:rsidRPr="0072531A" w:rsidRDefault="0072531A" w:rsidP="0072531A">
      <w:pPr>
        <w:jc w:val="both"/>
      </w:pPr>
    </w:p>
    <w:p w14:paraId="76C28C52" w14:textId="77777777" w:rsidR="0072531A" w:rsidRPr="0072531A" w:rsidRDefault="0072531A" w:rsidP="0072531A">
      <w:pPr>
        <w:jc w:val="both"/>
      </w:pPr>
      <w:r w:rsidRPr="0072531A">
        <w:rPr>
          <w:b/>
          <w:bCs/>
        </w:rPr>
        <w:t>Βιβλιογραφία</w:t>
      </w:r>
    </w:p>
    <w:p w14:paraId="208E1EF3" w14:textId="77777777" w:rsidR="0072531A" w:rsidRPr="0072531A" w:rsidRDefault="0072531A" w:rsidP="0072531A">
      <w:pPr>
        <w:jc w:val="both"/>
      </w:pPr>
      <w:r w:rsidRPr="0072531A">
        <w:t xml:space="preserve">Brioschi, V., &amp; Arthurs, G. I. (2021). </w:t>
      </w:r>
      <w:r w:rsidRPr="0072531A">
        <w:rPr>
          <w:i/>
          <w:iCs/>
        </w:rPr>
        <w:t>Cranial cruciate ligament rupture in small dogs (&lt;15 kg): A narrative literature review</w:t>
      </w:r>
      <w:r w:rsidRPr="0072531A">
        <w:t>. Journal of Small Animal Practice,</w:t>
      </w:r>
      <w:r w:rsidRPr="0072531A">
        <w:rPr>
          <w:i/>
          <w:iCs/>
        </w:rPr>
        <w:t xml:space="preserve"> 62</w:t>
      </w:r>
      <w:r w:rsidRPr="0072531A">
        <w:t>(12), 1037–1050. </w:t>
      </w:r>
    </w:p>
    <w:p w14:paraId="07461F2E" w14:textId="77777777" w:rsidR="0072531A" w:rsidRPr="0072531A" w:rsidRDefault="0072531A" w:rsidP="0072531A">
      <w:pPr>
        <w:jc w:val="both"/>
      </w:pPr>
      <w:r w:rsidRPr="0072531A">
        <w:t xml:space="preserve">DeCamp, C. E., Johnston, S. A., Dejardin, L. M., &amp; Schaefer, S. L. (2016). </w:t>
      </w:r>
      <w:r w:rsidRPr="0072531A">
        <w:rPr>
          <w:i/>
          <w:iCs/>
        </w:rPr>
        <w:t>Handbook of small animal orthopedics and fracture repair</w:t>
      </w:r>
      <w:r w:rsidRPr="0072531A">
        <w:t xml:space="preserve"> (5th ed.). Elsevier.</w:t>
      </w:r>
    </w:p>
    <w:p w14:paraId="2826E574" w14:textId="77777777" w:rsidR="0072531A" w:rsidRPr="0072531A" w:rsidRDefault="0072531A" w:rsidP="0072531A">
      <w:pPr>
        <w:jc w:val="both"/>
      </w:pPr>
      <w:r w:rsidRPr="0072531A">
        <w:t xml:space="preserve">Kirkness, H. (2020). </w:t>
      </w:r>
      <w:r w:rsidRPr="0072531A">
        <w:rPr>
          <w:i/>
          <w:iCs/>
        </w:rPr>
        <w:t>Management of cranial cruciate ligament ruptures in dogs.</w:t>
      </w:r>
      <w:r w:rsidRPr="0072531A">
        <w:t xml:space="preserve"> Veterinary Nursing Journal,</w:t>
      </w:r>
      <w:r w:rsidRPr="0072531A">
        <w:rPr>
          <w:i/>
          <w:iCs/>
        </w:rPr>
        <w:t xml:space="preserve"> 35</w:t>
      </w:r>
      <w:r w:rsidRPr="0072531A">
        <w:t>(8), 235–237.</w:t>
      </w:r>
    </w:p>
    <w:p w14:paraId="773D6063" w14:textId="77777777" w:rsidR="0072531A" w:rsidRPr="0072531A" w:rsidRDefault="0072531A" w:rsidP="0072531A">
      <w:pPr>
        <w:jc w:val="both"/>
      </w:pPr>
      <w:r w:rsidRPr="0072531A">
        <w:t xml:space="preserve">Kwananocha, I., Akaraphutiporn, E., Upariputti, R., Lekcharoensuk, C., &amp; Wangdee, C. (2024). </w:t>
      </w:r>
      <w:r w:rsidRPr="0072531A">
        <w:rPr>
          <w:i/>
          <w:iCs/>
        </w:rPr>
        <w:t>Short-term outcomes of cranial cruciate ligament rupture treated surgically with tibial plateau leveling osteotomy or non-surgically in small-breed dogs weighing less than 10 kg.</w:t>
      </w:r>
      <w:r w:rsidRPr="0072531A">
        <w:t xml:space="preserve"> Journal of Veterinary Medical Science, 86(4), 428–435. </w:t>
      </w:r>
    </w:p>
    <w:p w14:paraId="08A7C096" w14:textId="77777777" w:rsidR="0072531A" w:rsidRPr="0072531A" w:rsidRDefault="0072531A" w:rsidP="0072531A">
      <w:pPr>
        <w:jc w:val="both"/>
      </w:pPr>
      <w:r w:rsidRPr="0072531A">
        <w:lastRenderedPageBreak/>
        <w:t xml:space="preserve">Mölsä, S. H., Hyytiäinen, H. K., Hielm-Björkman, A. K., &amp; Laitinen-Vapaavuori, O. M. (2014). </w:t>
      </w:r>
      <w:r w:rsidRPr="0072531A">
        <w:rPr>
          <w:i/>
          <w:iCs/>
        </w:rPr>
        <w:t>Long-term functional outcome after surgical repair of cranial cruciate ligament disease in dogs.</w:t>
      </w:r>
      <w:r w:rsidRPr="0072531A">
        <w:t xml:space="preserve"> BMC Veterinary Research, 10, 266. </w:t>
      </w:r>
    </w:p>
    <w:p w14:paraId="2693EF78" w14:textId="77777777" w:rsidR="0072531A" w:rsidRPr="0072531A" w:rsidRDefault="0072531A" w:rsidP="0072531A">
      <w:pPr>
        <w:jc w:val="both"/>
      </w:pPr>
      <w:r w:rsidRPr="0072531A">
        <w:t xml:space="preserve">Muir, P. (2010). </w:t>
      </w:r>
      <w:r w:rsidRPr="0072531A">
        <w:rPr>
          <w:i/>
          <w:iCs/>
        </w:rPr>
        <w:t>Advances in the canine cranial cruciate ligament</w:t>
      </w:r>
      <w:r w:rsidRPr="0072531A">
        <w:t>. Wiley-Blackwell.</w:t>
      </w:r>
    </w:p>
    <w:p w14:paraId="1456922F" w14:textId="77777777" w:rsidR="0072531A" w:rsidRPr="0072531A" w:rsidRDefault="0072531A" w:rsidP="0072531A">
      <w:pPr>
        <w:jc w:val="both"/>
      </w:pPr>
      <w:r w:rsidRPr="0072531A">
        <w:t xml:space="preserve">Pegram, C., Diaz-Ordaz, K., Brodbelt, D. C., Chang, Y. M., Hekkel, A. F., Wu, C. H., Church, D. B., &amp; O’Neil, D. G. (2024). </w:t>
      </w:r>
      <w:r w:rsidRPr="0072531A">
        <w:rPr>
          <w:i/>
          <w:iCs/>
        </w:rPr>
        <w:t>Target trial emulation: Does surgical versus non-surgical management of cranial cruciate ligament rupture in dogs cause different outcomes?</w:t>
      </w:r>
      <w:r w:rsidRPr="0072531A">
        <w:t xml:space="preserve"> Preventive Veterinary Medicine, 226, 106165. </w:t>
      </w:r>
    </w:p>
    <w:p w14:paraId="5832C268" w14:textId="77777777" w:rsidR="0072531A" w:rsidRPr="0072531A" w:rsidRDefault="0072531A" w:rsidP="0072531A">
      <w:pPr>
        <w:jc w:val="both"/>
      </w:pPr>
      <w:r w:rsidRPr="0072531A">
        <w:t xml:space="preserve">Rush, L. K. (1993). </w:t>
      </w:r>
      <w:r w:rsidRPr="0072531A">
        <w:rPr>
          <w:i/>
          <w:iCs/>
        </w:rPr>
        <w:t xml:space="preserve">The Veterinary Clinics of North America: Small animal practice. </w:t>
      </w:r>
      <w:r w:rsidRPr="0072531A">
        <w:t>W.B. Saunders Company.</w:t>
      </w:r>
    </w:p>
    <w:p w14:paraId="2E58E580" w14:textId="77777777" w:rsidR="0072531A" w:rsidRDefault="0072531A" w:rsidP="0072531A">
      <w:pPr>
        <w:jc w:val="both"/>
      </w:pPr>
      <w:r w:rsidRPr="0072531A">
        <w:t xml:space="preserve">Wucherer, K. L., Conzemius, M. G., Evans, R., &amp; Wilke, V. L. (2013). </w:t>
      </w:r>
      <w:r w:rsidRPr="0072531A">
        <w:rPr>
          <w:i/>
          <w:iCs/>
        </w:rPr>
        <w:t>Short-term and long-term outcomes for overweight dogs with cranial cruciate ligament rupture treated surgically or nonsurgically.</w:t>
      </w:r>
      <w:r w:rsidRPr="0072531A">
        <w:t xml:space="preserve"> Journal of the American Veterinary Medical Association, 242(10), 1364–1372. </w:t>
      </w:r>
    </w:p>
    <w:p w14:paraId="798052A6" w14:textId="77777777" w:rsidR="0072531A" w:rsidRDefault="0072531A" w:rsidP="0072531A">
      <w:pPr>
        <w:jc w:val="both"/>
      </w:pPr>
    </w:p>
    <w:p w14:paraId="681C6702" w14:textId="77777777" w:rsidR="0072531A" w:rsidRDefault="0072531A" w:rsidP="0072531A">
      <w:pPr>
        <w:jc w:val="both"/>
      </w:pPr>
    </w:p>
    <w:p w14:paraId="74663C81" w14:textId="77777777" w:rsidR="0072531A" w:rsidRDefault="0072531A" w:rsidP="0072531A">
      <w:pPr>
        <w:jc w:val="both"/>
      </w:pPr>
    </w:p>
    <w:p w14:paraId="652E38A6" w14:textId="77777777" w:rsidR="0072531A" w:rsidRDefault="0072531A" w:rsidP="0072531A">
      <w:pPr>
        <w:jc w:val="both"/>
      </w:pPr>
    </w:p>
    <w:p w14:paraId="6AF37C60" w14:textId="77777777" w:rsidR="0072531A" w:rsidRDefault="0072531A" w:rsidP="0072531A">
      <w:pPr>
        <w:jc w:val="both"/>
      </w:pPr>
    </w:p>
    <w:p w14:paraId="44D77F27" w14:textId="77777777" w:rsidR="0072531A" w:rsidRDefault="0072531A" w:rsidP="0072531A">
      <w:pPr>
        <w:jc w:val="both"/>
      </w:pPr>
    </w:p>
    <w:p w14:paraId="1E4D9E7F" w14:textId="77777777" w:rsidR="0072531A" w:rsidRDefault="0072531A" w:rsidP="0072531A">
      <w:pPr>
        <w:jc w:val="both"/>
      </w:pPr>
    </w:p>
    <w:p w14:paraId="2760260F" w14:textId="77777777" w:rsidR="0072531A" w:rsidRDefault="0072531A" w:rsidP="0072531A">
      <w:pPr>
        <w:jc w:val="both"/>
      </w:pPr>
    </w:p>
    <w:p w14:paraId="6DC77433" w14:textId="77777777" w:rsidR="0072531A" w:rsidRDefault="0072531A" w:rsidP="0072531A">
      <w:pPr>
        <w:jc w:val="both"/>
      </w:pPr>
    </w:p>
    <w:p w14:paraId="7D83FF07" w14:textId="77777777" w:rsidR="0072531A" w:rsidRDefault="0072531A" w:rsidP="0072531A">
      <w:pPr>
        <w:jc w:val="both"/>
      </w:pPr>
    </w:p>
    <w:p w14:paraId="46791E21" w14:textId="77777777" w:rsidR="0072531A" w:rsidRDefault="0072531A" w:rsidP="0072531A">
      <w:pPr>
        <w:jc w:val="both"/>
      </w:pPr>
    </w:p>
    <w:p w14:paraId="38C16FA5" w14:textId="77777777" w:rsidR="0072531A" w:rsidRDefault="0072531A" w:rsidP="0072531A">
      <w:pPr>
        <w:jc w:val="both"/>
      </w:pPr>
    </w:p>
    <w:p w14:paraId="37A7E42C" w14:textId="77777777" w:rsidR="0072531A" w:rsidRDefault="0072531A" w:rsidP="0072531A">
      <w:pPr>
        <w:jc w:val="both"/>
      </w:pPr>
    </w:p>
    <w:p w14:paraId="12BEA8A4" w14:textId="77777777" w:rsidR="0072531A" w:rsidRDefault="0072531A" w:rsidP="0072531A">
      <w:pPr>
        <w:jc w:val="both"/>
      </w:pPr>
    </w:p>
    <w:p w14:paraId="55923314" w14:textId="77777777" w:rsidR="0072531A" w:rsidRDefault="0072531A" w:rsidP="0072531A">
      <w:pPr>
        <w:jc w:val="both"/>
      </w:pPr>
    </w:p>
    <w:p w14:paraId="799319C9" w14:textId="77777777" w:rsidR="0072531A" w:rsidRDefault="0072531A" w:rsidP="0072531A">
      <w:pPr>
        <w:jc w:val="both"/>
      </w:pPr>
    </w:p>
    <w:p w14:paraId="1181AC2B" w14:textId="77777777" w:rsidR="0072531A" w:rsidRDefault="0072531A" w:rsidP="0072531A">
      <w:pPr>
        <w:jc w:val="both"/>
      </w:pPr>
    </w:p>
    <w:p w14:paraId="1A0F4E12" w14:textId="77777777" w:rsidR="0072531A" w:rsidRDefault="0072531A" w:rsidP="0072531A">
      <w:pPr>
        <w:jc w:val="both"/>
      </w:pPr>
    </w:p>
    <w:p w14:paraId="313DAAC4" w14:textId="77777777" w:rsidR="0072531A" w:rsidRDefault="0072531A" w:rsidP="0072531A">
      <w:pPr>
        <w:jc w:val="both"/>
      </w:pPr>
    </w:p>
    <w:p w14:paraId="44997D3A" w14:textId="77777777" w:rsidR="0072531A" w:rsidRDefault="0072531A" w:rsidP="0072531A">
      <w:pPr>
        <w:jc w:val="both"/>
      </w:pPr>
    </w:p>
    <w:p w14:paraId="1622999F" w14:textId="77777777" w:rsidR="0072531A" w:rsidRPr="0072531A" w:rsidRDefault="0072531A" w:rsidP="0072531A">
      <w:pPr>
        <w:jc w:val="both"/>
      </w:pPr>
    </w:p>
    <w:p w14:paraId="2369318C" w14:textId="77777777" w:rsidR="0072531A" w:rsidRPr="0072531A" w:rsidRDefault="0072531A" w:rsidP="0072531A">
      <w:pPr>
        <w:jc w:val="both"/>
      </w:pPr>
      <w:r w:rsidRPr="0072531A">
        <w:rPr>
          <w:b/>
          <w:bCs/>
        </w:rPr>
        <w:lastRenderedPageBreak/>
        <w:t>Ολική Αρθροπλαστική Ισχίου στον Σκύλο</w:t>
      </w:r>
    </w:p>
    <w:p w14:paraId="0115C88F" w14:textId="7F6DBFBA" w:rsidR="0072531A" w:rsidRPr="002617A2" w:rsidRDefault="0072531A" w:rsidP="0072531A">
      <w:pPr>
        <w:jc w:val="both"/>
      </w:pPr>
      <w:r w:rsidRPr="0072531A">
        <w:t>Αχίλε Κατερίνα</w:t>
      </w:r>
      <w:r w:rsidRPr="0072531A">
        <w:rPr>
          <w:vertAlign w:val="superscript"/>
        </w:rPr>
        <w:t>1</w:t>
      </w:r>
      <w:r w:rsidRPr="0072531A">
        <w:t>, Πάλη Ελένη</w:t>
      </w:r>
      <w:r w:rsidRPr="0072531A">
        <w:rPr>
          <w:vertAlign w:val="superscript"/>
        </w:rPr>
        <w:t>1</w:t>
      </w:r>
      <w:r w:rsidRPr="0072531A">
        <w:t>, Πράσινος Ν. Νικήτας</w:t>
      </w:r>
      <w:r w:rsidRPr="0072531A">
        <w:rPr>
          <w:vertAlign w:val="superscript"/>
        </w:rPr>
        <w:t xml:space="preserve"> 2</w:t>
      </w:r>
      <w:r w:rsidRPr="0072531A">
        <w:t>, Κρυστάλλη Ανδρονίκη</w:t>
      </w:r>
      <w:r w:rsidRPr="0072531A">
        <w:rPr>
          <w:vertAlign w:val="superscript"/>
        </w:rPr>
        <w:t>3</w:t>
      </w:r>
    </w:p>
    <w:p w14:paraId="3BBBBD36" w14:textId="77777777" w:rsidR="0072531A" w:rsidRPr="0072531A" w:rsidRDefault="0072531A">
      <w:pPr>
        <w:numPr>
          <w:ilvl w:val="0"/>
          <w:numId w:val="123"/>
        </w:numPr>
        <w:jc w:val="both"/>
      </w:pPr>
      <w:r w:rsidRPr="0072531A">
        <w:t>Προπτυχιακή Φοιτήτρια, Σχολή Επιστημών Υγείας, Tμήμα Κτηνιατρικής,  Αριστοτέλειο Πανεπιστήμιο Θεσσαλονίκης</w:t>
      </w:r>
    </w:p>
    <w:p w14:paraId="2C56A15A" w14:textId="77777777" w:rsidR="0072531A" w:rsidRPr="0072531A" w:rsidRDefault="0072531A">
      <w:pPr>
        <w:numPr>
          <w:ilvl w:val="0"/>
          <w:numId w:val="123"/>
        </w:numPr>
        <w:jc w:val="both"/>
      </w:pPr>
      <w:r w:rsidRPr="0072531A">
        <w:t>Κτηνίατρος, PhD, Καθηγητής, Μονάδα Χειρουργικής &amp; Μαιευτικής, Κλινική Ζώων Συντροφιάς, Σχολή Επιστημών Υγείας, Tμήμα Κτηνιατρικής,  Αριστοτέλειο Πανεπιστήμιο Θεσσαλονίκης</w:t>
      </w:r>
    </w:p>
    <w:p w14:paraId="1278CBBF" w14:textId="77777777" w:rsidR="0072531A" w:rsidRPr="0072531A" w:rsidRDefault="0072531A">
      <w:pPr>
        <w:numPr>
          <w:ilvl w:val="0"/>
          <w:numId w:val="123"/>
        </w:numPr>
        <w:jc w:val="both"/>
      </w:pPr>
      <w:r w:rsidRPr="0072531A">
        <w:t>Κτηνίατρος, PhD, Συμβασιούχος διδάσκουσα, Μονάδα Χειρουργικής &amp; Μαιευτικής, Κλινική Ζώων Συντροφιάς, Σχολή Επιστημών Υγείας, Tμήμα Κτηνιατρικής,  Αριστοτέλειο Πανεπιστήμιο Θεσσαλονίκης</w:t>
      </w:r>
    </w:p>
    <w:p w14:paraId="3F2D0DE4" w14:textId="77777777" w:rsidR="0072531A" w:rsidRPr="0072531A" w:rsidRDefault="0072531A" w:rsidP="0072531A">
      <w:pPr>
        <w:jc w:val="both"/>
      </w:pPr>
    </w:p>
    <w:p w14:paraId="3E7AC3D0" w14:textId="77777777" w:rsidR="0072531A" w:rsidRPr="0072531A" w:rsidRDefault="0072531A" w:rsidP="0072531A">
      <w:pPr>
        <w:jc w:val="both"/>
      </w:pPr>
      <w:r w:rsidRPr="0072531A">
        <w:rPr>
          <w:b/>
          <w:bCs/>
        </w:rPr>
        <w:t>Περίληψη</w:t>
      </w:r>
    </w:p>
    <w:p w14:paraId="06B6D031" w14:textId="77777777" w:rsidR="0072531A" w:rsidRPr="0072531A" w:rsidRDefault="0072531A" w:rsidP="0072531A">
      <w:pPr>
        <w:jc w:val="both"/>
      </w:pPr>
      <w:r w:rsidRPr="0072531A">
        <w:t>Η ολική αρθροπλαστική του ισχίου (Total Hip Replacement) αποτελεί την ιδανική επιλογή για την οριστική αποκατάσταση της κινητικότητας σε σκύλους με χρόνιες, επώδυνες και εκφυλιστικές παθήσεις που δεν ανταποκρίνεται στη συντηρητική αγωγή. Σκοπός της επέμβασης είναι η εκ νέου δημιουργία μίας φυσιολογικής άρθρωσης και η βελτίωση της ποιότητας ζωής του ασθενούς, μέσω της αντικατάστασης της κεφαλής του μηριαίου και της κοτύλης με προσθετικά εμφυτεύματα. Η επιτυχία της επέμβασης βασίζεται στην αυστηρή επιλογή των ασθενών, λαμβάνοντας υπόψη την ολοκλήρωση της μυοσκελετικής ανάπτυξης, τη συστηματική υγεία και τον ενδελεχή αποκλεισμό συνοδών νευρολογικών παθήσεων ή εστιών λοίμωξης. Ιδιαίτερη βαρύτητα δίνεται στον προεγχειρητικό σχεδιασμό για την ακριβή επιλογή του μεγέθους των εμφυτευμάτων.</w:t>
      </w:r>
    </w:p>
    <w:p w14:paraId="2E5DA22C" w14:textId="77777777" w:rsidR="0072531A" w:rsidRPr="0072531A" w:rsidRDefault="0072531A" w:rsidP="0072531A">
      <w:pPr>
        <w:jc w:val="both"/>
      </w:pPr>
      <w:r w:rsidRPr="0072531A">
        <w:t>Στην παρούσα εργασία παρουσιάζονται οι βασικές αρχές της τεχνικής, τα κύρια χειρουργικά στάδια, καθώς και σημαντικές διεγχειρητικές παράμετροι όπως η διατήρηση της αιμοδυναμικής σταθερότητας και η εφαρμογή πολυμορφικής αναλγησίας. Επιπλέον, αναφέρονται οι βασικές μετεγχειρητικές οδηγίες καθώς και οι συχνότερες επιπλοκές. Η ακρίβεια στη χειρουργική τεχνική, σε συνδυασμό με την ορθή επιλογή περιστατικών, αποτελούν τους πυλώνες στη βελτίωση της ποιότητας ζωής του σκύλου.</w:t>
      </w:r>
    </w:p>
    <w:p w14:paraId="59233891" w14:textId="77777777" w:rsidR="0072531A" w:rsidRPr="0072531A" w:rsidRDefault="0072531A" w:rsidP="0072531A">
      <w:pPr>
        <w:jc w:val="both"/>
      </w:pPr>
    </w:p>
    <w:p w14:paraId="373DF090" w14:textId="77777777" w:rsidR="0072531A" w:rsidRPr="0072531A" w:rsidRDefault="0072531A" w:rsidP="0072531A">
      <w:pPr>
        <w:jc w:val="both"/>
      </w:pPr>
      <w:r w:rsidRPr="0072531A">
        <w:rPr>
          <w:b/>
          <w:bCs/>
        </w:rPr>
        <w:t>Βιβλιογραφία</w:t>
      </w:r>
    </w:p>
    <w:p w14:paraId="5E428EA4" w14:textId="77777777" w:rsidR="0072531A" w:rsidRPr="0072531A" w:rsidRDefault="0072531A" w:rsidP="0072531A">
      <w:pPr>
        <w:jc w:val="both"/>
      </w:pPr>
      <w:r w:rsidRPr="0072531A">
        <w:t xml:space="preserve">Arias, S. A., Blanco, J. R. T., Doretto, J. V., Vieira, G. L. T., Oliveira, H. P., &amp; Rezende, C. M. F. (2013). </w:t>
      </w:r>
      <w:r w:rsidRPr="0072531A">
        <w:rPr>
          <w:i/>
          <w:iCs/>
        </w:rPr>
        <w:t>Modified cementless total coxofemoral prosthesis: development, implantation and clinical evaluation.</w:t>
      </w:r>
      <w:r w:rsidRPr="0072531A">
        <w:t> Arquivo Brasileiro De Medicina Veterinária E Zootecnia, 65(6), 1660–1672.</w:t>
      </w:r>
    </w:p>
    <w:p w14:paraId="3A670A9C" w14:textId="77777777" w:rsidR="0072531A" w:rsidRPr="0072531A" w:rsidRDefault="0072531A" w:rsidP="0072531A">
      <w:pPr>
        <w:jc w:val="both"/>
      </w:pPr>
      <w:r w:rsidRPr="0072531A">
        <w:t>BioMedtrix. (n.d.). Total hip replacement.</w:t>
      </w:r>
    </w:p>
    <w:p w14:paraId="1E0EE521" w14:textId="77777777" w:rsidR="0072531A" w:rsidRPr="0072531A" w:rsidRDefault="0072531A" w:rsidP="0072531A">
      <w:pPr>
        <w:jc w:val="both"/>
      </w:pPr>
      <w:r w:rsidRPr="0072531A">
        <w:t xml:space="preserve">Chantziaras, V., Pink, J., Kulendra, E., Easter, T. G., Bilmont, A., &amp; Gemmill, T. J. (2021). </w:t>
      </w:r>
      <w:r w:rsidRPr="0072531A">
        <w:rPr>
          <w:i/>
          <w:iCs/>
        </w:rPr>
        <w:t>Ventral acetabular augmentation for management of caudoventral luxation following total hip replacement in dogs.</w:t>
      </w:r>
      <w:r w:rsidRPr="0072531A">
        <w:t> Journal Of Small Animal Practice, 63(1), 34–44.</w:t>
      </w:r>
    </w:p>
    <w:p w14:paraId="3C78F064" w14:textId="77777777" w:rsidR="0072531A" w:rsidRPr="0072531A" w:rsidRDefault="0072531A" w:rsidP="0072531A">
      <w:pPr>
        <w:jc w:val="both"/>
      </w:pPr>
      <w:r w:rsidRPr="0072531A">
        <w:t>Enztec. (n.d.). Acetabular reamers: orthopedic instruments.</w:t>
      </w:r>
    </w:p>
    <w:p w14:paraId="06AAF829" w14:textId="77777777" w:rsidR="0072531A" w:rsidRPr="0072531A" w:rsidRDefault="0072531A" w:rsidP="0072531A">
      <w:pPr>
        <w:jc w:val="both"/>
      </w:pPr>
      <w:r w:rsidRPr="0072531A">
        <w:t>Global Vet Specialists. (2017). Total hip replacement risks and complications.</w:t>
      </w:r>
    </w:p>
    <w:p w14:paraId="67FEE97A" w14:textId="77777777" w:rsidR="0072531A" w:rsidRPr="0072531A" w:rsidRDefault="0072531A" w:rsidP="0072531A">
      <w:pPr>
        <w:jc w:val="both"/>
      </w:pPr>
      <w:r w:rsidRPr="0072531A">
        <w:lastRenderedPageBreak/>
        <w:t xml:space="preserve">Haslam, N., Halvey, E., &amp; Scott, C. (2024). </w:t>
      </w:r>
      <w:r w:rsidRPr="0072531A">
        <w:rPr>
          <w:i/>
          <w:iCs/>
        </w:rPr>
        <w:t>Perioperative care of patients undergoing total hip arthroplasty.</w:t>
      </w:r>
      <w:r w:rsidRPr="0072531A">
        <w:t> BJA Education, 24(6), 183–190.</w:t>
      </w:r>
    </w:p>
    <w:p w14:paraId="394FCA15" w14:textId="77777777" w:rsidR="0072531A" w:rsidRPr="0072531A" w:rsidRDefault="0072531A" w:rsidP="0072531A">
      <w:pPr>
        <w:jc w:val="both"/>
      </w:pPr>
      <w:r w:rsidRPr="0072531A">
        <w:t xml:space="preserve">McCartney, W., &amp; Ober, C. (2023). </w:t>
      </w:r>
      <w:r w:rsidRPr="0072531A">
        <w:rPr>
          <w:i/>
          <w:iCs/>
        </w:rPr>
        <w:t>Case report: total hip replacement using Innoplant system in a dog with chronic hip luxation and contralateral pelvic limb amputation.</w:t>
      </w:r>
      <w:r w:rsidRPr="0072531A">
        <w:t> Frontiers In Veterinary Science, 10.</w:t>
      </w:r>
    </w:p>
    <w:p w14:paraId="45085C86" w14:textId="77777777" w:rsidR="0072531A" w:rsidRPr="0072531A" w:rsidRDefault="0072531A" w:rsidP="0072531A">
      <w:pPr>
        <w:jc w:val="both"/>
      </w:pPr>
      <w:r w:rsidRPr="0072531A">
        <w:t>Meril Life. (n.d.). Latitude cemented femoral stem hip implant.</w:t>
      </w:r>
    </w:p>
    <w:p w14:paraId="6CD252CC" w14:textId="77777777" w:rsidR="0072531A" w:rsidRPr="0072531A" w:rsidRDefault="0072531A" w:rsidP="0072531A">
      <w:pPr>
        <w:jc w:val="both"/>
      </w:pPr>
      <w:r w:rsidRPr="0072531A">
        <w:t xml:space="preserve">Monotti, I. C., &amp; Preston, C. A. (2020). </w:t>
      </w:r>
      <w:r w:rsidRPr="0072531A">
        <w:rPr>
          <w:i/>
          <w:iCs/>
        </w:rPr>
        <w:t>Treatment outcomes for periprosthetic femoral fractures in cementless press-fit total hip replacement.</w:t>
      </w:r>
      <w:r w:rsidRPr="0072531A">
        <w:t> Veterinary And Comparative Orthopaedics And Traumatology, 33(5), 370–376.</w:t>
      </w:r>
    </w:p>
    <w:p w14:paraId="5BBF5F4F" w14:textId="77777777" w:rsidR="0072531A" w:rsidRPr="0072531A" w:rsidRDefault="0072531A" w:rsidP="0072531A">
      <w:pPr>
        <w:jc w:val="both"/>
      </w:pPr>
      <w:r w:rsidRPr="0072531A">
        <w:t>Piermattei, D. L., Brinker, W. O., &amp; Flo, G. L. (2006). </w:t>
      </w:r>
      <w:r w:rsidRPr="0072531A">
        <w:rPr>
          <w:i/>
          <w:iCs/>
        </w:rPr>
        <w:t>Handbook of small animal orthopedics and fracture repair</w:t>
      </w:r>
      <w:r w:rsidRPr="0072531A">
        <w:t> (4th ed.). Saunders Elsevier.</w:t>
      </w:r>
    </w:p>
    <w:p w14:paraId="57B835A3" w14:textId="77777777" w:rsidR="0072531A" w:rsidRPr="0072531A" w:rsidRDefault="0072531A" w:rsidP="0072531A">
      <w:pPr>
        <w:jc w:val="both"/>
      </w:pPr>
      <w:r w:rsidRPr="0072531A">
        <w:t xml:space="preserve">Venkatesh, N., Reddy, K. J., Chandra Sekhar, E. L., &amp; Rajendranath, N. (2024). </w:t>
      </w:r>
      <w:r w:rsidRPr="0072531A">
        <w:rPr>
          <w:i/>
          <w:iCs/>
        </w:rPr>
        <w:t>A clinical study on total hip replacement using cemented prosthetics for management of hip dysplasia in dogs.</w:t>
      </w:r>
      <w:r w:rsidRPr="0072531A">
        <w:t> Indian Journal Of Animal Research, 58(8), 1283–1293.</w:t>
      </w:r>
    </w:p>
    <w:p w14:paraId="50EE832F" w14:textId="77777777" w:rsidR="0072531A" w:rsidRPr="0072531A" w:rsidRDefault="0072531A" w:rsidP="0072531A">
      <w:pPr>
        <w:jc w:val="both"/>
      </w:pPr>
      <w:r w:rsidRPr="0072531A">
        <w:t xml:space="preserve">Webber, E. J., Tran, T., June, R., Healy, E., Andrews, T. M., Younkin, R., MacDonald, J., &amp; Adams, E. S. (2021). </w:t>
      </w:r>
      <w:r w:rsidRPr="0072531A">
        <w:rPr>
          <w:i/>
          <w:iCs/>
        </w:rPr>
        <w:t>WOMAC score and arthritis diagnosis predict decreased agricultural productivity</w:t>
      </w:r>
      <w:r w:rsidRPr="0072531A">
        <w:t>. BMC Musculoskeletal Disorders, 22, 181.</w:t>
      </w:r>
    </w:p>
    <w:p w14:paraId="692B7B29" w14:textId="77777777" w:rsidR="0072531A" w:rsidRPr="002617A2" w:rsidRDefault="0072531A" w:rsidP="0072531A">
      <w:pPr>
        <w:jc w:val="both"/>
      </w:pPr>
      <w:r w:rsidRPr="0072531A">
        <w:t>Γρίβας, Ι. (2020). </w:t>
      </w:r>
      <w:r w:rsidRPr="0072531A">
        <w:rPr>
          <w:i/>
          <w:iCs/>
        </w:rPr>
        <w:t>Συγκριτική ανατομική των κατοικίδιων θηλαστικών: Άτλαντας κινητικού συστήματος</w:t>
      </w:r>
      <w:r w:rsidRPr="0072531A">
        <w:t> (Κεφ. 3.5, σσ. 49–64).</w:t>
      </w:r>
    </w:p>
    <w:p w14:paraId="1F510BFC" w14:textId="77777777" w:rsidR="003A16A9" w:rsidRPr="002617A2" w:rsidRDefault="003A16A9" w:rsidP="0072531A">
      <w:pPr>
        <w:jc w:val="both"/>
      </w:pPr>
    </w:p>
    <w:p w14:paraId="1E1D8FB4" w14:textId="77777777" w:rsidR="003A16A9" w:rsidRPr="002617A2" w:rsidRDefault="003A16A9" w:rsidP="0072531A">
      <w:pPr>
        <w:jc w:val="both"/>
      </w:pPr>
    </w:p>
    <w:p w14:paraId="069FBC8A" w14:textId="77777777" w:rsidR="003A16A9" w:rsidRPr="002617A2" w:rsidRDefault="003A16A9" w:rsidP="0072531A">
      <w:pPr>
        <w:jc w:val="both"/>
      </w:pPr>
    </w:p>
    <w:p w14:paraId="51B87622" w14:textId="77777777" w:rsidR="003A16A9" w:rsidRPr="002617A2" w:rsidRDefault="003A16A9" w:rsidP="0072531A">
      <w:pPr>
        <w:jc w:val="both"/>
      </w:pPr>
    </w:p>
    <w:p w14:paraId="7F99E0E6" w14:textId="77777777" w:rsidR="003A16A9" w:rsidRPr="002617A2" w:rsidRDefault="003A16A9" w:rsidP="0072531A">
      <w:pPr>
        <w:jc w:val="both"/>
      </w:pPr>
    </w:p>
    <w:p w14:paraId="6ED61B28" w14:textId="77777777" w:rsidR="003A16A9" w:rsidRPr="002617A2" w:rsidRDefault="003A16A9" w:rsidP="0072531A">
      <w:pPr>
        <w:jc w:val="both"/>
      </w:pPr>
    </w:p>
    <w:p w14:paraId="7C32C0A1" w14:textId="77777777" w:rsidR="003A16A9" w:rsidRPr="002617A2" w:rsidRDefault="003A16A9" w:rsidP="0072531A">
      <w:pPr>
        <w:jc w:val="both"/>
      </w:pPr>
    </w:p>
    <w:p w14:paraId="3508631E" w14:textId="77777777" w:rsidR="003A16A9" w:rsidRPr="002617A2" w:rsidRDefault="003A16A9" w:rsidP="0072531A">
      <w:pPr>
        <w:jc w:val="both"/>
      </w:pPr>
    </w:p>
    <w:p w14:paraId="3239199B" w14:textId="77777777" w:rsidR="003A16A9" w:rsidRPr="002617A2" w:rsidRDefault="003A16A9" w:rsidP="0072531A">
      <w:pPr>
        <w:jc w:val="both"/>
      </w:pPr>
    </w:p>
    <w:p w14:paraId="0C4D6C90" w14:textId="77777777" w:rsidR="003A16A9" w:rsidRPr="002617A2" w:rsidRDefault="003A16A9" w:rsidP="0072531A">
      <w:pPr>
        <w:jc w:val="both"/>
      </w:pPr>
    </w:p>
    <w:p w14:paraId="727250C5" w14:textId="77777777" w:rsidR="003A16A9" w:rsidRPr="002617A2" w:rsidRDefault="003A16A9" w:rsidP="0072531A">
      <w:pPr>
        <w:jc w:val="both"/>
      </w:pPr>
    </w:p>
    <w:p w14:paraId="35D30A4A" w14:textId="77777777" w:rsidR="003A16A9" w:rsidRPr="002617A2" w:rsidRDefault="003A16A9" w:rsidP="0072531A">
      <w:pPr>
        <w:jc w:val="both"/>
      </w:pPr>
    </w:p>
    <w:p w14:paraId="0508D1FB" w14:textId="77777777" w:rsidR="003A16A9" w:rsidRPr="002617A2" w:rsidRDefault="003A16A9" w:rsidP="0072531A">
      <w:pPr>
        <w:jc w:val="both"/>
      </w:pPr>
    </w:p>
    <w:p w14:paraId="5A720376" w14:textId="77777777" w:rsidR="003A16A9" w:rsidRPr="002617A2" w:rsidRDefault="003A16A9" w:rsidP="0072531A">
      <w:pPr>
        <w:jc w:val="both"/>
      </w:pPr>
    </w:p>
    <w:p w14:paraId="6B332887" w14:textId="77777777" w:rsidR="003A16A9" w:rsidRPr="002617A2" w:rsidRDefault="003A16A9" w:rsidP="0072531A">
      <w:pPr>
        <w:jc w:val="both"/>
      </w:pPr>
    </w:p>
    <w:p w14:paraId="277894DE" w14:textId="77777777" w:rsidR="003A16A9" w:rsidRPr="002617A2" w:rsidRDefault="003A16A9" w:rsidP="0072531A">
      <w:pPr>
        <w:jc w:val="both"/>
      </w:pPr>
    </w:p>
    <w:p w14:paraId="4420D2F9" w14:textId="77777777" w:rsidR="0072531A" w:rsidRPr="0072531A" w:rsidRDefault="0072531A" w:rsidP="0072531A">
      <w:pPr>
        <w:jc w:val="both"/>
      </w:pPr>
      <w:r w:rsidRPr="0072531A">
        <w:rPr>
          <w:b/>
          <w:bCs/>
        </w:rPr>
        <w:lastRenderedPageBreak/>
        <w:t>Σκύλοι σε Δράση: Από την Απεικόνιση των Μυοσκελετικών Κακώσεων στη Φυσιοθεραπεία</w:t>
      </w:r>
    </w:p>
    <w:p w14:paraId="3A4A76B2" w14:textId="77777777" w:rsidR="0072531A" w:rsidRPr="0072531A" w:rsidRDefault="0072531A" w:rsidP="0072531A">
      <w:pPr>
        <w:jc w:val="both"/>
      </w:pPr>
      <w:r w:rsidRPr="0072531A">
        <w:t>Βασιλειάδου Ευθυμία</w:t>
      </w:r>
      <w:r w:rsidRPr="0072531A">
        <w:rPr>
          <w:vertAlign w:val="superscript"/>
        </w:rPr>
        <w:t>1</w:t>
      </w:r>
      <w:r w:rsidRPr="0072531A">
        <w:t>, Μηλιάκη Νικολέττα</w:t>
      </w:r>
      <w:r w:rsidRPr="0072531A">
        <w:rPr>
          <w:vertAlign w:val="superscript"/>
        </w:rPr>
        <w:t>1</w:t>
      </w:r>
      <w:r w:rsidRPr="0072531A">
        <w:t>, Ψαρρός Δημήτριος</w:t>
      </w:r>
      <w:r w:rsidRPr="0072531A">
        <w:rPr>
          <w:vertAlign w:val="superscript"/>
        </w:rPr>
        <w:t>1</w:t>
      </w:r>
      <w:r w:rsidRPr="0072531A">
        <w:t xml:space="preserve">, Παππά Έλενα </w:t>
      </w:r>
      <w:r w:rsidRPr="0072531A">
        <w:rPr>
          <w:vertAlign w:val="superscript"/>
        </w:rPr>
        <w:t>2</w:t>
      </w:r>
    </w:p>
    <w:p w14:paraId="55B85524" w14:textId="77777777" w:rsidR="0072531A" w:rsidRPr="0072531A" w:rsidRDefault="0072531A">
      <w:pPr>
        <w:numPr>
          <w:ilvl w:val="0"/>
          <w:numId w:val="124"/>
        </w:numPr>
        <w:jc w:val="both"/>
      </w:pPr>
      <w:r w:rsidRPr="0072531A">
        <w:t>Προπτυχιακός/ή Φοιτητής/τρια, Τμήμα Κτηνιατρικής, Σχολή Επιστημών Υγείας, Πανεπιστήμιο Θεσσαλίας</w:t>
      </w:r>
    </w:p>
    <w:p w14:paraId="1BA7350D" w14:textId="77777777" w:rsidR="0072531A" w:rsidRPr="003A16A9" w:rsidRDefault="0072531A">
      <w:pPr>
        <w:numPr>
          <w:ilvl w:val="0"/>
          <w:numId w:val="124"/>
        </w:numPr>
        <w:jc w:val="both"/>
      </w:pPr>
      <w:r w:rsidRPr="0072531A">
        <w:t>Κτηνίατρος, Διδάκτωρ Χειρουργικής, Συμβασιούχος Διδάσκουσα , Τμήμα Κτηνιατρικής, Σχολή Επιστημών Υγείας, Πανεπιστήμιο Θεσσαλίας</w:t>
      </w:r>
    </w:p>
    <w:p w14:paraId="3EA430DB" w14:textId="77777777" w:rsidR="003A16A9" w:rsidRPr="0072531A" w:rsidRDefault="003A16A9" w:rsidP="003A16A9">
      <w:pPr>
        <w:ind w:left="720"/>
        <w:jc w:val="both"/>
      </w:pPr>
    </w:p>
    <w:p w14:paraId="78AAE792" w14:textId="77777777" w:rsidR="0072531A" w:rsidRPr="0072531A" w:rsidRDefault="0072531A" w:rsidP="0072531A">
      <w:pPr>
        <w:jc w:val="both"/>
      </w:pPr>
      <w:r w:rsidRPr="0072531A">
        <w:rPr>
          <w:b/>
          <w:bCs/>
        </w:rPr>
        <w:t>Περίληψη</w:t>
      </w:r>
    </w:p>
    <w:p w14:paraId="4F82C08D" w14:textId="77777777" w:rsidR="0072531A" w:rsidRPr="002617A2" w:rsidRDefault="0072531A" w:rsidP="0072531A">
      <w:pPr>
        <w:jc w:val="both"/>
      </w:pPr>
      <w:r w:rsidRPr="0072531A">
        <w:t>Οι σκύλοι με έντονη αθλητική δραστηριότητα παρουσιάζουν συχνά κακώσεις και τραυματισμούς του μυοσκελετικού συστήματος με τα Border Collies, Belgian Malinois, Labrador Retrievers και Greyhounds  να αποτελούν τις φυλές με την μεγαλύτερη προδιάθεση. Η ανατομική περιοχή του τραυματισμού σχετίζεται άμεσα με τον τύπο του αθλήματος- εργασίας που συμμετέχει ο σκύλος. Με σκοπό τη διάγνωση και την παρακολούθηση της επούλωσης των τραυματισμένων ιστών μπορούν να χρησιμοποιηθούν ποικίλες απεικονιστικές μέθοδοι, με χαρακτηριστικά παραδείγματα τον υπέρηχο και την ακτινογραφία. Παράλληλα, η φυσιοθεραπεία αποτελεί μια από τις πιο χρήσιμες και αποτελεσματικές μη επεμβατικές θεραπευτικές μεθόδους στη διαχείριση κακώσεων του μυοσκελετικού συστήματος. Η απεικονιστική διαγνωστική και η φυσιοθεραπεία αποτελούν πολύτιμα εργαλεία για τον κλινικό ορθοπαιδικό κτηνίατρο. Επομένως, η αξιοποίησή τους κρίνεται αναγκαία στη βελτίωση της διαχείρισης των μυοσκελετικών κακώσεων των σκύλων αθλητών.</w:t>
      </w:r>
    </w:p>
    <w:p w14:paraId="76A01E8C" w14:textId="77777777" w:rsidR="003A16A9" w:rsidRPr="002617A2" w:rsidRDefault="003A16A9" w:rsidP="0072531A">
      <w:pPr>
        <w:jc w:val="both"/>
      </w:pPr>
    </w:p>
    <w:p w14:paraId="6621CC71" w14:textId="77777777" w:rsidR="0072531A" w:rsidRPr="0072531A" w:rsidRDefault="0072531A" w:rsidP="0072531A">
      <w:pPr>
        <w:jc w:val="both"/>
        <w:rPr>
          <w:b/>
          <w:bCs/>
        </w:rPr>
      </w:pPr>
      <w:r w:rsidRPr="0072531A">
        <w:rPr>
          <w:b/>
          <w:bCs/>
        </w:rPr>
        <w:t>Βιβλιογραφία</w:t>
      </w:r>
    </w:p>
    <w:p w14:paraId="39AD087B" w14:textId="77777777" w:rsidR="0072531A" w:rsidRPr="0072531A" w:rsidRDefault="0072531A" w:rsidP="0072531A">
      <w:pPr>
        <w:jc w:val="both"/>
      </w:pPr>
      <w:r w:rsidRPr="0072531A">
        <w:t xml:space="preserve">Altınkaya, N., Kavlak, E., Özgencil, F., &amp; Çağatay, S. (2024). </w:t>
      </w:r>
      <w:r w:rsidRPr="0072531A">
        <w:rPr>
          <w:i/>
          <w:iCs/>
        </w:rPr>
        <w:t>PHYSIOTHERAPY IN DOGS WITH HIP OSTEOARTHRITIS – EFFECTS ON PAIN, MUSCLE AND LAMENESS: A RANDOMISED CONTROLLED TRIAL.</w:t>
      </w:r>
      <w:r w:rsidRPr="0072531A">
        <w:t xml:space="preserve"> Turkish Journal of Physiotherapy and Rehabiliation, 35(2), pp. 198-205. </w:t>
      </w:r>
    </w:p>
    <w:p w14:paraId="3E2B3312" w14:textId="77777777" w:rsidR="0072531A" w:rsidRPr="0072531A" w:rsidRDefault="0072531A" w:rsidP="0072531A">
      <w:pPr>
        <w:jc w:val="both"/>
      </w:pPr>
      <w:r w:rsidRPr="0072531A">
        <w:t xml:space="preserve">C Alves, J., Santos, A., Jorge, P., Lavrador, C., &amp; Carreira, J. (2021). </w:t>
      </w:r>
      <w:r w:rsidRPr="0072531A">
        <w:rPr>
          <w:i/>
          <w:iCs/>
        </w:rPr>
        <w:t>Comparison of clinical and radiographic signs of hip osteoarthritis in contralateral hip joints of fifty working dogs.</w:t>
      </w:r>
      <w:r w:rsidRPr="0072531A">
        <w:t xml:space="preserve"> PLOS ONE, 16(3), p. e0248767. </w:t>
      </w:r>
    </w:p>
    <w:p w14:paraId="1A5311F5" w14:textId="77777777" w:rsidR="0072531A" w:rsidRPr="0072531A" w:rsidRDefault="0072531A" w:rsidP="0072531A">
      <w:pPr>
        <w:jc w:val="both"/>
      </w:pPr>
      <w:r w:rsidRPr="0072531A">
        <w:t xml:space="preserve">C. Alves, J., Santos, A., Jorge, P., Lavrador, C., &amp; Careirra, L. (2020). </w:t>
      </w:r>
      <w:r w:rsidRPr="0072531A">
        <w:rPr>
          <w:i/>
          <w:iCs/>
        </w:rPr>
        <w:t>Clinical and diagnostic imaging findings in police working dogs referred for hip osteoarthritis.</w:t>
      </w:r>
      <w:r w:rsidRPr="0072531A">
        <w:t xml:space="preserve"> BMC Veterinary Research, 16, p. 425. </w:t>
      </w:r>
    </w:p>
    <w:p w14:paraId="7FE4A45D" w14:textId="77777777" w:rsidR="0072531A" w:rsidRPr="0072531A" w:rsidRDefault="0072531A" w:rsidP="0072531A">
      <w:pPr>
        <w:jc w:val="both"/>
      </w:pPr>
      <w:r w:rsidRPr="0072531A">
        <w:t xml:space="preserve">Essner, A., Kjellerstedt, C., Hesbach, A., &amp; Igelstrom, H. (2024). </w:t>
      </w:r>
      <w:r w:rsidRPr="0072531A">
        <w:rPr>
          <w:i/>
          <w:iCs/>
        </w:rPr>
        <w:t>Injuries and Associated Factors in Swedish Sporting and Utility Trial Dogs—A Cross-Sectional Study.</w:t>
      </w:r>
      <w:r w:rsidRPr="0072531A">
        <w:t xml:space="preserve"> Animals, 14(3), p. 398. </w:t>
      </w:r>
    </w:p>
    <w:p w14:paraId="0182851E" w14:textId="77777777" w:rsidR="0072531A" w:rsidRPr="0072531A" w:rsidRDefault="0072531A" w:rsidP="0072531A">
      <w:pPr>
        <w:jc w:val="both"/>
      </w:pPr>
      <w:r w:rsidRPr="0072531A">
        <w:t xml:space="preserve">Grazia Entani, M., Franini, A., Dragone, L., Barella, G., De Rensis, F., &amp; Spattini, G. (2022). </w:t>
      </w:r>
      <w:r w:rsidRPr="0072531A">
        <w:rPr>
          <w:i/>
          <w:iCs/>
        </w:rPr>
        <w:t>Efficacy of Serial Ultrasonographic Examinations in Predicting Return to Play in Agility Dogs with Shoulder Lameness.</w:t>
      </w:r>
      <w:r w:rsidRPr="0072531A">
        <w:t xml:space="preserve"> Animals, 12(1), p. 78.</w:t>
      </w:r>
    </w:p>
    <w:p w14:paraId="073970CC" w14:textId="77777777" w:rsidR="0072531A" w:rsidRPr="0072531A" w:rsidRDefault="0072531A" w:rsidP="0072531A">
      <w:pPr>
        <w:jc w:val="both"/>
      </w:pPr>
      <w:r w:rsidRPr="0072531A">
        <w:t xml:space="preserve">Hyytiainen, H., Molsa, S., Junnila, J., Laitinen- Vappavuori, O., &amp; Hielme- Bjorkman , A. (2013). </w:t>
      </w:r>
      <w:r w:rsidRPr="0072531A">
        <w:rPr>
          <w:i/>
          <w:iCs/>
        </w:rPr>
        <w:t>Ranking of physiotherapeutic evaluation methods as outcome measures of stifle functionality in dogs.</w:t>
      </w:r>
      <w:r w:rsidRPr="0072531A">
        <w:t xml:space="preserve"> Acta Veterinaria Scandinavica, 55(1), p. 29. </w:t>
      </w:r>
    </w:p>
    <w:p w14:paraId="41A8EB9F" w14:textId="77777777" w:rsidR="0072531A" w:rsidRPr="0072531A" w:rsidRDefault="0072531A" w:rsidP="0072531A">
      <w:pPr>
        <w:jc w:val="both"/>
      </w:pPr>
      <w:r w:rsidRPr="0072531A">
        <w:lastRenderedPageBreak/>
        <w:t xml:space="preserve">Mille, M., McClement, J., &amp; Lauer, S. (2023). </w:t>
      </w:r>
      <w:r w:rsidRPr="0072531A">
        <w:rPr>
          <w:i/>
          <w:iCs/>
        </w:rPr>
        <w:t>Physiotherapeutic Strategies and Their Current Evidence for Canine Osteoarthritis.</w:t>
      </w:r>
      <w:r w:rsidRPr="0072531A">
        <w:t xml:space="preserve"> Veterinary sciences, 10(1), p. 2. </w:t>
      </w:r>
    </w:p>
    <w:p w14:paraId="086409DF" w14:textId="77777777" w:rsidR="0072531A" w:rsidRDefault="0072531A" w:rsidP="0072531A">
      <w:pPr>
        <w:jc w:val="both"/>
      </w:pPr>
      <w:r w:rsidRPr="0072531A">
        <w:t xml:space="preserve">W. Brunke , M., Levine, D., J. Marcelline- Little, D., Oliver, K., &amp; A. Barnhard, J. (2023). </w:t>
      </w:r>
      <w:r w:rsidRPr="0072531A">
        <w:rPr>
          <w:i/>
          <w:iCs/>
        </w:rPr>
        <w:t xml:space="preserve">Musculoskeletal Problems in Sporting Dogs. </w:t>
      </w:r>
      <w:r w:rsidRPr="0072531A">
        <w:t xml:space="preserve">Advances in Small Animal Care, 4(1), pp. 53-60. </w:t>
      </w:r>
    </w:p>
    <w:p w14:paraId="396803F3" w14:textId="77777777" w:rsidR="003A16A9" w:rsidRDefault="003A16A9" w:rsidP="0072531A">
      <w:pPr>
        <w:jc w:val="both"/>
      </w:pPr>
    </w:p>
    <w:p w14:paraId="6292065E" w14:textId="77777777" w:rsidR="003A16A9" w:rsidRDefault="003A16A9" w:rsidP="0072531A">
      <w:pPr>
        <w:jc w:val="both"/>
      </w:pPr>
    </w:p>
    <w:p w14:paraId="21C6765C" w14:textId="77777777" w:rsidR="003A16A9" w:rsidRDefault="003A16A9" w:rsidP="0072531A">
      <w:pPr>
        <w:jc w:val="both"/>
      </w:pPr>
    </w:p>
    <w:p w14:paraId="7723EFD8" w14:textId="77777777" w:rsidR="003A16A9" w:rsidRDefault="003A16A9" w:rsidP="0072531A">
      <w:pPr>
        <w:jc w:val="both"/>
      </w:pPr>
    </w:p>
    <w:p w14:paraId="17934403" w14:textId="77777777" w:rsidR="003A16A9" w:rsidRDefault="003A16A9" w:rsidP="0072531A">
      <w:pPr>
        <w:jc w:val="both"/>
      </w:pPr>
    </w:p>
    <w:p w14:paraId="5E9D6D97" w14:textId="77777777" w:rsidR="003A16A9" w:rsidRDefault="003A16A9" w:rsidP="0072531A">
      <w:pPr>
        <w:jc w:val="both"/>
      </w:pPr>
    </w:p>
    <w:p w14:paraId="140BE4E1" w14:textId="77777777" w:rsidR="003A16A9" w:rsidRDefault="003A16A9" w:rsidP="0072531A">
      <w:pPr>
        <w:jc w:val="both"/>
      </w:pPr>
    </w:p>
    <w:p w14:paraId="7FA350F8" w14:textId="77777777" w:rsidR="003A16A9" w:rsidRDefault="003A16A9" w:rsidP="0072531A">
      <w:pPr>
        <w:jc w:val="both"/>
      </w:pPr>
    </w:p>
    <w:p w14:paraId="657E8275" w14:textId="77777777" w:rsidR="003A16A9" w:rsidRDefault="003A16A9" w:rsidP="0072531A">
      <w:pPr>
        <w:jc w:val="both"/>
      </w:pPr>
    </w:p>
    <w:p w14:paraId="109B187E" w14:textId="77777777" w:rsidR="003A16A9" w:rsidRDefault="003A16A9" w:rsidP="0072531A">
      <w:pPr>
        <w:jc w:val="both"/>
      </w:pPr>
    </w:p>
    <w:p w14:paraId="173CCCA9" w14:textId="77777777" w:rsidR="003A16A9" w:rsidRDefault="003A16A9" w:rsidP="0072531A">
      <w:pPr>
        <w:jc w:val="both"/>
      </w:pPr>
    </w:p>
    <w:p w14:paraId="71ADBD05" w14:textId="77777777" w:rsidR="003A16A9" w:rsidRDefault="003A16A9" w:rsidP="0072531A">
      <w:pPr>
        <w:jc w:val="both"/>
      </w:pPr>
    </w:p>
    <w:p w14:paraId="7E31C804" w14:textId="77777777" w:rsidR="003A16A9" w:rsidRDefault="003A16A9" w:rsidP="0072531A">
      <w:pPr>
        <w:jc w:val="both"/>
      </w:pPr>
    </w:p>
    <w:p w14:paraId="024B3331" w14:textId="77777777" w:rsidR="003A16A9" w:rsidRDefault="003A16A9" w:rsidP="0072531A">
      <w:pPr>
        <w:jc w:val="both"/>
      </w:pPr>
    </w:p>
    <w:p w14:paraId="4A969540" w14:textId="77777777" w:rsidR="003A16A9" w:rsidRDefault="003A16A9" w:rsidP="0072531A">
      <w:pPr>
        <w:jc w:val="both"/>
      </w:pPr>
    </w:p>
    <w:p w14:paraId="2ECEC74E" w14:textId="77777777" w:rsidR="003A16A9" w:rsidRDefault="003A16A9" w:rsidP="0072531A">
      <w:pPr>
        <w:jc w:val="both"/>
      </w:pPr>
    </w:p>
    <w:p w14:paraId="764F5897" w14:textId="77777777" w:rsidR="003A16A9" w:rsidRDefault="003A16A9" w:rsidP="0072531A">
      <w:pPr>
        <w:jc w:val="both"/>
      </w:pPr>
    </w:p>
    <w:p w14:paraId="605BAF81" w14:textId="77777777" w:rsidR="003A16A9" w:rsidRDefault="003A16A9" w:rsidP="0072531A">
      <w:pPr>
        <w:jc w:val="both"/>
      </w:pPr>
    </w:p>
    <w:p w14:paraId="2B0ECC30" w14:textId="77777777" w:rsidR="003A16A9" w:rsidRDefault="003A16A9" w:rsidP="0072531A">
      <w:pPr>
        <w:jc w:val="both"/>
      </w:pPr>
    </w:p>
    <w:p w14:paraId="55EEB1FF" w14:textId="77777777" w:rsidR="003A16A9" w:rsidRDefault="003A16A9" w:rsidP="0072531A">
      <w:pPr>
        <w:jc w:val="both"/>
      </w:pPr>
    </w:p>
    <w:p w14:paraId="51E55A32" w14:textId="77777777" w:rsidR="003A16A9" w:rsidRDefault="003A16A9" w:rsidP="0072531A">
      <w:pPr>
        <w:jc w:val="both"/>
      </w:pPr>
    </w:p>
    <w:p w14:paraId="40F4ACC5" w14:textId="77777777" w:rsidR="003A16A9" w:rsidRDefault="003A16A9" w:rsidP="0072531A">
      <w:pPr>
        <w:jc w:val="both"/>
      </w:pPr>
    </w:p>
    <w:p w14:paraId="3CF0DC97" w14:textId="77777777" w:rsidR="003A16A9" w:rsidRDefault="003A16A9" w:rsidP="0072531A">
      <w:pPr>
        <w:jc w:val="both"/>
      </w:pPr>
    </w:p>
    <w:p w14:paraId="07D56D30" w14:textId="77777777" w:rsidR="003A16A9" w:rsidRDefault="003A16A9" w:rsidP="0072531A">
      <w:pPr>
        <w:jc w:val="both"/>
      </w:pPr>
    </w:p>
    <w:p w14:paraId="71DFB992" w14:textId="77777777" w:rsidR="003A16A9" w:rsidRDefault="003A16A9" w:rsidP="0072531A">
      <w:pPr>
        <w:jc w:val="both"/>
      </w:pPr>
    </w:p>
    <w:p w14:paraId="3F1A5DA2" w14:textId="77777777" w:rsidR="003A16A9" w:rsidRDefault="003A16A9" w:rsidP="0072531A">
      <w:pPr>
        <w:jc w:val="both"/>
      </w:pPr>
    </w:p>
    <w:p w14:paraId="1E9E0014" w14:textId="77777777" w:rsidR="003A16A9" w:rsidRPr="0072531A" w:rsidRDefault="003A16A9" w:rsidP="0072531A">
      <w:pPr>
        <w:jc w:val="both"/>
      </w:pPr>
    </w:p>
    <w:p w14:paraId="00DB5661" w14:textId="75E3A2D8" w:rsidR="0072531A" w:rsidRPr="0072531A" w:rsidRDefault="0072531A" w:rsidP="0072531A">
      <w:pPr>
        <w:jc w:val="both"/>
      </w:pPr>
      <w:r w:rsidRPr="0072531A">
        <w:rPr>
          <w:b/>
          <w:bCs/>
        </w:rPr>
        <w:lastRenderedPageBreak/>
        <w:t>Αντιπαρασιτική Αγωγή Βοοειδών: Περιβαλλοντικός Αντίκτυπος και Πρακτικές Διαχείρισης των Φαρμακευτικών Καταλοίπων με Χαμηλό Οικολογικό Αποτύπωμα.</w:t>
      </w:r>
    </w:p>
    <w:p w14:paraId="798D7AB6" w14:textId="77777777" w:rsidR="0072531A" w:rsidRPr="0072531A" w:rsidRDefault="0072531A" w:rsidP="0072531A">
      <w:pPr>
        <w:jc w:val="both"/>
      </w:pPr>
      <w:r w:rsidRPr="0072531A">
        <w:t>Δημοσθένους Αικατερίνη</w:t>
      </w:r>
      <w:r w:rsidRPr="0072531A">
        <w:rPr>
          <w:vertAlign w:val="superscript"/>
        </w:rPr>
        <w:t>1</w:t>
      </w:r>
      <w:r w:rsidRPr="0072531A">
        <w:t>, Κακούλη Στεφανία</w:t>
      </w:r>
      <w:r w:rsidRPr="0072531A">
        <w:rPr>
          <w:vertAlign w:val="superscript"/>
        </w:rPr>
        <w:t>1</w:t>
      </w:r>
      <w:r w:rsidRPr="0072531A">
        <w:t>, Καρδακάρη Θεοδώρα</w:t>
      </w:r>
      <w:r w:rsidRPr="0072531A">
        <w:rPr>
          <w:vertAlign w:val="superscript"/>
        </w:rPr>
        <w:t>1</w:t>
      </w:r>
      <w:r w:rsidRPr="0072531A">
        <w:t>, Καλαμάρας Σωτήριος</w:t>
      </w:r>
      <w:r w:rsidRPr="0072531A">
        <w:rPr>
          <w:vertAlign w:val="superscript"/>
        </w:rPr>
        <w:t>2</w:t>
      </w:r>
    </w:p>
    <w:p w14:paraId="43A99027" w14:textId="77777777" w:rsidR="0072531A" w:rsidRPr="0072531A" w:rsidRDefault="0072531A">
      <w:pPr>
        <w:numPr>
          <w:ilvl w:val="0"/>
          <w:numId w:val="125"/>
        </w:numPr>
        <w:jc w:val="both"/>
      </w:pPr>
      <w:r w:rsidRPr="0072531A">
        <w:t>Προπτυχιακή φοιτήτρια, Τμήμα Κτηνιατρικής, Σχολή Επιστημών Υγείας,  Αριστοτέλειο Πανεπιστήμιο Θεσσαλονίκης.</w:t>
      </w:r>
    </w:p>
    <w:p w14:paraId="5B0C0D18" w14:textId="77777777" w:rsidR="0072531A" w:rsidRPr="0072531A" w:rsidRDefault="0072531A">
      <w:pPr>
        <w:numPr>
          <w:ilvl w:val="0"/>
          <w:numId w:val="125"/>
        </w:numPr>
        <w:jc w:val="both"/>
      </w:pPr>
      <w:r w:rsidRPr="0072531A">
        <w:t>Επίκουρος καθηγητής, Τμήμα Κτηνιατρικής, Σχολή Επιστημών Υγείας, Αριστοτέλειο Πανεπιστήμιο Θεσσαλονίκης.</w:t>
      </w:r>
    </w:p>
    <w:p w14:paraId="785F4541" w14:textId="77777777" w:rsidR="0072531A" w:rsidRPr="0072531A" w:rsidRDefault="0072531A" w:rsidP="0072531A">
      <w:pPr>
        <w:jc w:val="both"/>
      </w:pPr>
    </w:p>
    <w:p w14:paraId="79F0D242" w14:textId="77777777" w:rsidR="0072531A" w:rsidRPr="0072531A" w:rsidRDefault="0072531A" w:rsidP="0072531A">
      <w:pPr>
        <w:jc w:val="both"/>
      </w:pPr>
      <w:r w:rsidRPr="0072531A">
        <w:rPr>
          <w:b/>
          <w:bCs/>
        </w:rPr>
        <w:t>Περίληψη</w:t>
      </w:r>
    </w:p>
    <w:p w14:paraId="26BF33BA" w14:textId="77777777" w:rsidR="0072531A" w:rsidRPr="0072531A" w:rsidRDefault="0072531A" w:rsidP="0072531A">
      <w:pPr>
        <w:jc w:val="both"/>
      </w:pPr>
      <w:r w:rsidRPr="0072531A">
        <w:t xml:space="preserve">Η χρήση αντιπαρασιτικών ουσιών στα βοοειδή αποτελεί αναγκαία πρακτική για τη διασφάλιση της υγείας και της παραγωγικότητάς τους, ωστόσο η εκτεταμένη εφαρμογή τους καθιστά ιδιαίτερα σημαντική την αξιολόγηση των επιπτώσεών τους στο περιβάλλον. Η παρούσα έρευνα βασίστηκε  στη συλλογή πληροφοριών μέσω δικού μας ερωτηματολογίου , το οποίο αποστάλθηκε σε εγχώριες κτηνοτροφικές μονάδες και θέτει ερωτήματα σχετικά με το πρόγραμμα αποπαρασίτωσης που ακολουθούν. Τα αποτελέσματα κατέδειξαν ότι η </w:t>
      </w:r>
      <w:r w:rsidRPr="0072531A">
        <w:rPr>
          <w:i/>
          <w:iCs/>
        </w:rPr>
        <w:t>ιβερμεκτίνη,</w:t>
      </w:r>
      <w:r w:rsidRPr="0072531A">
        <w:t xml:space="preserve"> η </w:t>
      </w:r>
      <w:r w:rsidRPr="0072531A">
        <w:rPr>
          <w:i/>
          <w:iCs/>
        </w:rPr>
        <w:t>δοραμεκτίνη</w:t>
      </w:r>
      <w:r w:rsidRPr="0072531A">
        <w:t xml:space="preserve"> και η </w:t>
      </w:r>
      <w:r w:rsidRPr="0072531A">
        <w:rPr>
          <w:i/>
          <w:iCs/>
        </w:rPr>
        <w:t>επρινομεκτίνη</w:t>
      </w:r>
      <w:r w:rsidRPr="0072531A">
        <w:t xml:space="preserve">, συγκαταλέγονται στις πλέον διαδεδομένες αντιπαρασιτικές ουσίες της κτηνοτροφικής και κτηνιατρικής κοινότητας. Εν συνεχεία, αναλύθηκαν τα προβλήματα που απορρέουν από τη χρήση των εν λόγω φαρμάκων, προτάθηκαν τρόποι διαχείρισης των ζωικών αποβλήτων και μελετήθηκαν τεχνικές που ενδείκνυνται για τον περιορισμό των φαρμακευτικών καταλοίπων. Συγχρόνως, διατυπώθηκαν καινοτόμες λύσεις και πρακτικές που αφορούν τις εκτροφές και στοχεύουν στη μείωση του οικολογικού αποτυπώματος. Καταληκτικά, η </w:t>
      </w:r>
      <w:r w:rsidRPr="0072531A">
        <w:rPr>
          <w:i/>
          <w:iCs/>
        </w:rPr>
        <w:t>επρινομεκτίνη</w:t>
      </w:r>
      <w:r w:rsidRPr="0072531A">
        <w:t xml:space="preserve"> αναδείχθηκε ως η πλέον «πράσινη» επιλογή, ενώ διαπιστώθηκε η ανάγκη για πιο συνεπή εφαρμογή μεθόδων με χαμηλό οικολογικό αποτύπωμα. Αξίζει να αναφερθεί ότι εντοπίστηκαν ορισμένα ερευνητικά κενά που χρήζουν περαιτέρω διερεύνησης.</w:t>
      </w:r>
    </w:p>
    <w:p w14:paraId="103022E4" w14:textId="77777777" w:rsidR="0072531A" w:rsidRPr="0072531A" w:rsidRDefault="0072531A" w:rsidP="0072531A">
      <w:pPr>
        <w:jc w:val="both"/>
      </w:pPr>
    </w:p>
    <w:p w14:paraId="21B740C6" w14:textId="77777777" w:rsidR="0072531A" w:rsidRPr="0072531A" w:rsidRDefault="0072531A" w:rsidP="0072531A">
      <w:pPr>
        <w:jc w:val="both"/>
      </w:pPr>
      <w:r w:rsidRPr="0072531A">
        <w:rPr>
          <w:b/>
          <w:bCs/>
        </w:rPr>
        <w:t>Βιβλιογραφία</w:t>
      </w:r>
    </w:p>
    <w:p w14:paraId="0E3CAB66" w14:textId="77777777" w:rsidR="0072531A" w:rsidRPr="0072531A" w:rsidRDefault="0072531A" w:rsidP="0072531A">
      <w:pPr>
        <w:jc w:val="both"/>
      </w:pPr>
      <w:r w:rsidRPr="0072531A">
        <w:t xml:space="preserve">Backmeyer, S. J., Goater, C., Challis, J. K., &amp; Floate, K. D. (2023). </w:t>
      </w:r>
      <w:r w:rsidRPr="0072531A">
        <w:rPr>
          <w:i/>
          <w:iCs/>
        </w:rPr>
        <w:t>Season-long simplification of insect communities in dung from cattle treated with an extended-release formulation of the parasiticide eprinomectin.</w:t>
      </w:r>
      <w:r w:rsidRPr="0072531A">
        <w:t xml:space="preserve"> Environmental Toxicology and Chemistry, 42(3), 684–697.</w:t>
      </w:r>
    </w:p>
    <w:p w14:paraId="488815C3" w14:textId="77777777" w:rsidR="0072531A" w:rsidRPr="0072531A" w:rsidRDefault="0072531A" w:rsidP="0072531A">
      <w:pPr>
        <w:jc w:val="both"/>
      </w:pPr>
      <w:r w:rsidRPr="0072531A">
        <w:t xml:space="preserve">Belete, S., Adugna, H., &amp; Yirsa, T. (2025). </w:t>
      </w:r>
      <w:r w:rsidRPr="0072531A">
        <w:rPr>
          <w:i/>
          <w:iCs/>
        </w:rPr>
        <w:t xml:space="preserve">Experimental study on the effect of ivermectin on cattle dung faunas in Eastern Ethiopia. </w:t>
      </w:r>
      <w:r w:rsidRPr="0072531A">
        <w:t>PLOS ONE, 20(4), e0320867.</w:t>
      </w:r>
      <w:hyperlink r:id="rId147" w:history="1">
        <w:r w:rsidRPr="0072531A">
          <w:rPr>
            <w:rStyle w:val="-"/>
          </w:rPr>
          <w:t> </w:t>
        </w:r>
      </w:hyperlink>
    </w:p>
    <w:p w14:paraId="27B7AC0A" w14:textId="77777777" w:rsidR="0072531A" w:rsidRPr="0072531A" w:rsidRDefault="0072531A" w:rsidP="0072531A">
      <w:pPr>
        <w:jc w:val="both"/>
      </w:pPr>
      <w:r w:rsidRPr="0072531A">
        <w:t xml:space="preserve">Brown, H. J., Lynch, J. H., Kijimoto, T., Shaffer, K., &amp; Rowen, E. (2025). </w:t>
      </w:r>
      <w:r w:rsidRPr="0072531A">
        <w:rPr>
          <w:i/>
          <w:iCs/>
        </w:rPr>
        <w:t>Risk of select parasiticides (diflubenzuron, eprinomectin, and fenbendazole) to dung-associated beetles.</w:t>
      </w:r>
      <w:r w:rsidRPr="0072531A">
        <w:t xml:space="preserve"> Environmental Entomology, 54(4), 865–876.</w:t>
      </w:r>
    </w:p>
    <w:p w14:paraId="4C4FB913" w14:textId="77777777" w:rsidR="0072531A" w:rsidRPr="0072531A" w:rsidRDefault="0072531A" w:rsidP="0072531A">
      <w:pPr>
        <w:jc w:val="both"/>
      </w:pPr>
      <w:r w:rsidRPr="0072531A">
        <w:t xml:space="preserve">Ebe, H. (2024, July 10). </w:t>
      </w:r>
      <w:r w:rsidRPr="0072531A">
        <w:rPr>
          <w:i/>
          <w:iCs/>
        </w:rPr>
        <w:t>How to naturally control parasite in organic cattles</w:t>
      </w:r>
      <w:r w:rsidRPr="0072531A">
        <w:t>. KCOA Africa.</w:t>
      </w:r>
      <w:hyperlink r:id="rId148" w:history="1">
        <w:r w:rsidRPr="0072531A">
          <w:rPr>
            <w:rStyle w:val="-"/>
          </w:rPr>
          <w:t> </w:t>
        </w:r>
      </w:hyperlink>
    </w:p>
    <w:p w14:paraId="297BE5A5" w14:textId="77777777" w:rsidR="0072531A" w:rsidRPr="0072531A" w:rsidRDefault="0072531A" w:rsidP="0072531A">
      <w:pPr>
        <w:jc w:val="both"/>
      </w:pPr>
      <w:r w:rsidRPr="0072531A">
        <w:t xml:space="preserve">Fernández, C., Porcel, M. A., Alonso, Á., San Andrés, M., &amp; Tarazona, J. V. (2011). </w:t>
      </w:r>
      <w:r w:rsidRPr="0072531A">
        <w:rPr>
          <w:i/>
          <w:iCs/>
        </w:rPr>
        <w:t>Semifield assessment of the runoff potential and environmental risk of the parasiticide drug ivermectin under Mediterranean conditions.</w:t>
      </w:r>
      <w:r w:rsidRPr="0072531A">
        <w:t xml:space="preserve"> Environmental Science and Pollution Research, 18(7), 1194–1203.</w:t>
      </w:r>
    </w:p>
    <w:p w14:paraId="1125B952" w14:textId="77777777" w:rsidR="0072531A" w:rsidRPr="0072531A" w:rsidRDefault="0072531A" w:rsidP="0072531A">
      <w:pPr>
        <w:jc w:val="both"/>
      </w:pPr>
      <w:r w:rsidRPr="0072531A">
        <w:lastRenderedPageBreak/>
        <w:t xml:space="preserve">GalinosVet. (n.d.). </w:t>
      </w:r>
      <w:r w:rsidRPr="0072531A">
        <w:rPr>
          <w:i/>
          <w:iCs/>
        </w:rPr>
        <w:t>Δοραμεκτίνη (Doramektin): Πληροφορίες για την χρήση της δραστικής ουσίας στην κτηνιατρική</w:t>
      </w:r>
      <w:r w:rsidRPr="0072531A">
        <w:t>.</w:t>
      </w:r>
      <w:hyperlink r:id="rId149" w:history="1">
        <w:r w:rsidRPr="0072531A">
          <w:rPr>
            <w:rStyle w:val="-"/>
          </w:rPr>
          <w:t> </w:t>
        </w:r>
      </w:hyperlink>
    </w:p>
    <w:p w14:paraId="6F43321D" w14:textId="77777777" w:rsidR="0072531A" w:rsidRPr="0072531A" w:rsidRDefault="0072531A" w:rsidP="0072531A">
      <w:pPr>
        <w:jc w:val="both"/>
      </w:pPr>
      <w:r w:rsidRPr="0072531A">
        <w:t xml:space="preserve">Halley, B. A., VandenHeuvel, W. J., &amp; Wislocki, P. G. (1993). </w:t>
      </w:r>
      <w:r w:rsidRPr="0072531A">
        <w:rPr>
          <w:i/>
          <w:iCs/>
        </w:rPr>
        <w:t>Environmental effects of the usage of avermectins in livestock.</w:t>
      </w:r>
      <w:r w:rsidRPr="0072531A">
        <w:t xml:space="preserve"> Veterinary Parasitology, 48(1–4), 109–125.</w:t>
      </w:r>
    </w:p>
    <w:p w14:paraId="7FE66CA1" w14:textId="77777777" w:rsidR="0072531A" w:rsidRPr="0072531A" w:rsidRDefault="0072531A" w:rsidP="0072531A">
      <w:pPr>
        <w:jc w:val="both"/>
      </w:pPr>
      <w:r w:rsidRPr="0072531A">
        <w:t xml:space="preserve">Hamel, D., Kunkle, B. N., Liebstein, M., Bader, J., Shryock, J., Visser, M., Yoon, S., Fankhauser, B., &amp; Rehbein, S. (2022). </w:t>
      </w:r>
      <w:r w:rsidRPr="0072531A">
        <w:rPr>
          <w:i/>
          <w:iCs/>
        </w:rPr>
        <w:t>Eprinomectin 5% w/v extended-release injection for the treatment of larval and/or adult Bunostomum phlebotomum, Haemonchus contortus, H. placei, Nematodirus helvetianus, Oesophagostomum radiatum, and</w:t>
      </w:r>
      <w:r w:rsidRPr="0072531A">
        <w:t xml:space="preserve"> </w:t>
      </w:r>
      <w:r w:rsidRPr="0072531A">
        <w:rPr>
          <w:i/>
          <w:iCs/>
        </w:rPr>
        <w:t>Trichostrongylus colubriformis infections in cattle.</w:t>
      </w:r>
      <w:r w:rsidRPr="0072531A">
        <w:t xml:space="preserve"> Parasitology Research, 121(7), 2173–2178.</w:t>
      </w:r>
      <w:hyperlink r:id="rId150" w:history="1">
        <w:r w:rsidRPr="0072531A">
          <w:rPr>
            <w:rStyle w:val="-"/>
          </w:rPr>
          <w:t> </w:t>
        </w:r>
      </w:hyperlink>
    </w:p>
    <w:p w14:paraId="45E2647C" w14:textId="77777777" w:rsidR="0072531A" w:rsidRPr="0072531A" w:rsidRDefault="0072531A" w:rsidP="0072531A">
      <w:pPr>
        <w:jc w:val="both"/>
      </w:pPr>
      <w:r w:rsidRPr="0072531A">
        <w:t xml:space="preserve">Ishikawa, I., &amp; Iwasa, M. (2019). </w:t>
      </w:r>
      <w:r w:rsidRPr="0072531A">
        <w:rPr>
          <w:i/>
          <w:iCs/>
        </w:rPr>
        <w:t>Effects of eprinomectin on the survival, reproduction and feeding activity of the dung beetles Onthophagus lenzii Harold and rare species Copris ochus Motschulsky (Coleoptera: Scarabaeidae).</w:t>
      </w:r>
      <w:r w:rsidRPr="0072531A">
        <w:t xml:space="preserve"> Bulletin of Entomological Research, 109(2), 191–198.</w:t>
      </w:r>
      <w:hyperlink r:id="rId151" w:history="1">
        <w:r w:rsidRPr="0072531A">
          <w:rPr>
            <w:rStyle w:val="-"/>
          </w:rPr>
          <w:t> </w:t>
        </w:r>
      </w:hyperlink>
    </w:p>
    <w:p w14:paraId="1935B69A" w14:textId="77777777" w:rsidR="0072531A" w:rsidRPr="0072531A" w:rsidRDefault="0072531A" w:rsidP="0072531A">
      <w:pPr>
        <w:jc w:val="both"/>
      </w:pPr>
      <w:r w:rsidRPr="0072531A">
        <w:t xml:space="preserve">Junquera, P. (2018, June 19). </w:t>
      </w:r>
      <w:r w:rsidRPr="0072531A">
        <w:rPr>
          <w:i/>
          <w:iCs/>
        </w:rPr>
        <w:t>Dectomax 1% injectable solution for cattle, swine &amp; sheep - Zoetis - doramectin, macrocyclic lactone</w:t>
      </w:r>
      <w:r w:rsidRPr="0072531A">
        <w:t>. Parasitipedia.net.</w:t>
      </w:r>
      <w:hyperlink r:id="rId152" w:history="1">
        <w:r w:rsidRPr="0072531A">
          <w:rPr>
            <w:rStyle w:val="-"/>
          </w:rPr>
          <w:t> </w:t>
        </w:r>
      </w:hyperlink>
    </w:p>
    <w:p w14:paraId="3CAAE559" w14:textId="77777777" w:rsidR="0072531A" w:rsidRPr="0072531A" w:rsidRDefault="0072531A" w:rsidP="0072531A">
      <w:pPr>
        <w:jc w:val="both"/>
      </w:pPr>
      <w:r w:rsidRPr="0072531A">
        <w:t xml:space="preserve">Junquera, P. (2021, July 14). </w:t>
      </w:r>
      <w:r w:rsidRPr="0072531A">
        <w:rPr>
          <w:i/>
          <w:iCs/>
        </w:rPr>
        <w:t>Doramectin: Safety summary for veterinary use in cattle, sheep, goats and swine. Poisoning, intoxication, overdose, antidote</w:t>
      </w:r>
      <w:r w:rsidRPr="0072531A">
        <w:t>. Parasitipedia.net.</w:t>
      </w:r>
      <w:hyperlink r:id="rId153" w:history="1">
        <w:r w:rsidRPr="0072531A">
          <w:rPr>
            <w:rStyle w:val="-"/>
          </w:rPr>
          <w:t> </w:t>
        </w:r>
      </w:hyperlink>
    </w:p>
    <w:p w14:paraId="032D520A" w14:textId="77777777" w:rsidR="0072531A" w:rsidRPr="0072531A" w:rsidRDefault="0072531A" w:rsidP="0072531A">
      <w:pPr>
        <w:jc w:val="both"/>
      </w:pPr>
      <w:r w:rsidRPr="0072531A">
        <w:t xml:space="preserve">Junquera, P. (2022, February 13). </w:t>
      </w:r>
      <w:r w:rsidRPr="0072531A">
        <w:rPr>
          <w:i/>
          <w:iCs/>
        </w:rPr>
        <w:t>Doramectin for veterinary use in cattle, sheep, goats, pigs and horses against external and internal parasites: Worms, lice, mites, ticks and flies</w:t>
      </w:r>
      <w:r w:rsidRPr="0072531A">
        <w:t>. Parasitipedia.net.</w:t>
      </w:r>
      <w:hyperlink r:id="rId154" w:history="1">
        <w:r w:rsidRPr="0072531A">
          <w:rPr>
            <w:rStyle w:val="-"/>
          </w:rPr>
          <w:t> </w:t>
        </w:r>
      </w:hyperlink>
    </w:p>
    <w:p w14:paraId="7CB100C7" w14:textId="77777777" w:rsidR="0072531A" w:rsidRPr="0072531A" w:rsidRDefault="0072531A" w:rsidP="0072531A">
      <w:pPr>
        <w:jc w:val="both"/>
      </w:pPr>
      <w:r w:rsidRPr="0072531A">
        <w:t xml:space="preserve">Kolar, L., Kožuh Eržen, N., Hogerwerf, L., &amp; van Gestel, C. A. M. (2008). </w:t>
      </w:r>
      <w:r w:rsidRPr="0072531A">
        <w:rPr>
          <w:i/>
          <w:iCs/>
        </w:rPr>
        <w:t>Toxicity of abamectin and doramectin to soil invertebrates.</w:t>
      </w:r>
      <w:r w:rsidRPr="0072531A">
        <w:t xml:space="preserve"> Environmental Pollution, 151(1), 182–189.</w:t>
      </w:r>
      <w:hyperlink r:id="rId155" w:history="1">
        <w:r w:rsidRPr="0072531A">
          <w:rPr>
            <w:rStyle w:val="-"/>
          </w:rPr>
          <w:t> </w:t>
        </w:r>
      </w:hyperlink>
    </w:p>
    <w:p w14:paraId="2D77C683" w14:textId="77777777" w:rsidR="0072531A" w:rsidRPr="0072531A" w:rsidRDefault="0072531A" w:rsidP="0072531A">
      <w:pPr>
        <w:jc w:val="both"/>
      </w:pPr>
      <w:r w:rsidRPr="0072531A">
        <w:t xml:space="preserve">Litskas, V. D., Karamanlis, X. N., Batzias, G. C., &amp; Tsiouris, S. E. (2013). </w:t>
      </w:r>
      <w:r w:rsidRPr="0072531A">
        <w:rPr>
          <w:i/>
          <w:iCs/>
        </w:rPr>
        <w:t>Are the parasiticidal avermectins resistant to dissipation in the environment? The case of eprinomectin.</w:t>
      </w:r>
      <w:r w:rsidRPr="0072531A">
        <w:t xml:space="preserve"> Environment International, 60, 48–55.</w:t>
      </w:r>
      <w:hyperlink r:id="rId156" w:history="1">
        <w:r w:rsidRPr="0072531A">
          <w:rPr>
            <w:rStyle w:val="-"/>
          </w:rPr>
          <w:t> </w:t>
        </w:r>
      </w:hyperlink>
    </w:p>
    <w:p w14:paraId="67074F80" w14:textId="77777777" w:rsidR="0072531A" w:rsidRPr="0072531A" w:rsidRDefault="0072531A" w:rsidP="0072531A">
      <w:pPr>
        <w:jc w:val="both"/>
      </w:pPr>
      <w:r w:rsidRPr="0072531A">
        <w:t xml:space="preserve">Nieman, C. C., Floate, K. D., Düring, R.-A., Heinrich, A. P., Young, D. K., &amp; Schaefer, D. M. (2018). </w:t>
      </w:r>
      <w:r w:rsidRPr="0072531A">
        <w:rPr>
          <w:i/>
          <w:iCs/>
        </w:rPr>
        <w:t xml:space="preserve">Eprinomectin from a sustained release formulation adversely affected dung breeding insects. </w:t>
      </w:r>
      <w:r w:rsidRPr="0072531A">
        <w:t>PLOS ONE.</w:t>
      </w:r>
    </w:p>
    <w:p w14:paraId="1E81DF62" w14:textId="77777777" w:rsidR="0072531A" w:rsidRPr="0072531A" w:rsidRDefault="0072531A" w:rsidP="0072531A">
      <w:pPr>
        <w:jc w:val="both"/>
      </w:pPr>
      <w:r w:rsidRPr="0072531A">
        <w:t xml:space="preserve">Serafini, S., Soares, J. G., Perosa, C. F., Picoli, F., Segat, J. C., Da Silva, A. S., &amp; Baretta, D. (2019). </w:t>
      </w:r>
      <w:r w:rsidRPr="0072531A">
        <w:rPr>
          <w:i/>
          <w:iCs/>
        </w:rPr>
        <w:t>Eprinomectin antiparasitic affects survival, reproduction and behavior of</w:t>
      </w:r>
      <w:r w:rsidRPr="0072531A">
        <w:t xml:space="preserve"> </w:t>
      </w:r>
      <w:r w:rsidRPr="0072531A">
        <w:rPr>
          <w:i/>
          <w:iCs/>
        </w:rPr>
        <w:t>Folsomia candida biomarker, and its toxicity depends on the type of soil.</w:t>
      </w:r>
      <w:r w:rsidRPr="0072531A">
        <w:t xml:space="preserve"> Environmental Toxicology and Pharmacology, 72, 103262.</w:t>
      </w:r>
      <w:hyperlink r:id="rId157" w:history="1">
        <w:r w:rsidRPr="0072531A">
          <w:rPr>
            <w:rStyle w:val="-"/>
          </w:rPr>
          <w:t> </w:t>
        </w:r>
      </w:hyperlink>
    </w:p>
    <w:p w14:paraId="77636C12" w14:textId="77777777" w:rsidR="0072531A" w:rsidRPr="0072531A" w:rsidRDefault="0072531A" w:rsidP="0072531A">
      <w:pPr>
        <w:jc w:val="both"/>
      </w:pPr>
      <w:r w:rsidRPr="0072531A">
        <w:t xml:space="preserve">Shoop, W. L., Egerton, J. R., Eary, C. H., Haines, H. W., Michael, B. F., Mrozik, H., Eskola, P., Fisher, M. H., Slayton, L., Ostlind, D. A., Skelly, B. J., Fulton, R. K., Barth, D., Costa, S., Gregory, L. M., Campbell, W. C., Seward, R. L., &amp; Turner, M. J. (1996). </w:t>
      </w:r>
      <w:r w:rsidRPr="0072531A">
        <w:rPr>
          <w:i/>
          <w:iCs/>
        </w:rPr>
        <w:t>Eprinomectin: A novel avermectin for use as a topical endectocide for cattle.</w:t>
      </w:r>
      <w:r w:rsidRPr="0072531A">
        <w:t xml:space="preserve"> International Journal for Parasitology, 26(11), 1237–1242.</w:t>
      </w:r>
      <w:hyperlink r:id="rId158" w:history="1">
        <w:r w:rsidRPr="0072531A">
          <w:rPr>
            <w:rStyle w:val="-"/>
          </w:rPr>
          <w:t> </w:t>
        </w:r>
      </w:hyperlink>
    </w:p>
    <w:p w14:paraId="3C35D498" w14:textId="77777777" w:rsidR="0072531A" w:rsidRPr="0072531A" w:rsidRDefault="0072531A" w:rsidP="0072531A">
      <w:pPr>
        <w:jc w:val="both"/>
      </w:pPr>
      <w:r w:rsidRPr="0072531A">
        <w:t xml:space="preserve">Sun, Y., Diao, X., Zhang, Q., &amp; Shen, J. (2005). </w:t>
      </w:r>
      <w:r w:rsidRPr="0072531A">
        <w:rPr>
          <w:i/>
          <w:iCs/>
        </w:rPr>
        <w:t>Bioaccumulation and elimination of avermectin B1a in the earthworms (Eisenia fetida).</w:t>
      </w:r>
      <w:r w:rsidRPr="0072531A">
        <w:t xml:space="preserve"> Chemosphere, 60(5), 699–704.</w:t>
      </w:r>
      <w:hyperlink r:id="rId159" w:history="1">
        <w:r w:rsidRPr="0072531A">
          <w:rPr>
            <w:rStyle w:val="-"/>
          </w:rPr>
          <w:t> </w:t>
        </w:r>
      </w:hyperlink>
    </w:p>
    <w:p w14:paraId="78298DFA" w14:textId="77777777" w:rsidR="0072531A" w:rsidRPr="0072531A" w:rsidRDefault="0072531A" w:rsidP="0072531A">
      <w:pPr>
        <w:jc w:val="both"/>
      </w:pPr>
      <w:r w:rsidRPr="0072531A">
        <w:t xml:space="preserve">Virbac Hellas. (n.d.). </w:t>
      </w:r>
      <w:r w:rsidRPr="0072531A">
        <w:rPr>
          <w:i/>
          <w:iCs/>
        </w:rPr>
        <w:t>Virbamec® – ιβερμεκτίνη ενέσιμο διάλυμα: Αντιπαρασιτικό ενέσιμο διάλυμα ιβερμεκτίνης</w:t>
      </w:r>
      <w:r w:rsidRPr="0072531A">
        <w:t xml:space="preserve"> [Φύλλο οδηγιών/τεχνικά χαρακτηριστικά].</w:t>
      </w:r>
    </w:p>
    <w:p w14:paraId="6D38A9F3" w14:textId="77777777" w:rsidR="0072531A" w:rsidRPr="0072531A" w:rsidRDefault="0072531A" w:rsidP="0072531A">
      <w:pPr>
        <w:jc w:val="both"/>
      </w:pPr>
      <w:r w:rsidRPr="0072531A">
        <w:lastRenderedPageBreak/>
        <w:t xml:space="preserve">Vrchovecká, S., Zajíček, A., &amp; Wacławek, S. (2025). </w:t>
      </w:r>
      <w:r w:rsidRPr="0072531A">
        <w:rPr>
          <w:i/>
          <w:iCs/>
        </w:rPr>
        <w:t>Biofilters as an ecological and effective solution for pesticide elimination.</w:t>
      </w:r>
      <w:r w:rsidRPr="0072531A">
        <w:t xml:space="preserve"> Water, Air, &amp; Soil Pollution, 237, 342.</w:t>
      </w:r>
      <w:hyperlink r:id="rId160" w:history="1">
        <w:r w:rsidRPr="0072531A">
          <w:rPr>
            <w:rStyle w:val="-"/>
          </w:rPr>
          <w:t> </w:t>
        </w:r>
      </w:hyperlink>
    </w:p>
    <w:p w14:paraId="31DCD27A" w14:textId="77777777" w:rsidR="0072531A" w:rsidRPr="0072531A" w:rsidRDefault="0072531A" w:rsidP="0072531A">
      <w:pPr>
        <w:jc w:val="both"/>
      </w:pPr>
      <w:r w:rsidRPr="0072531A">
        <w:t xml:space="preserve">World Health Organization. (2025). </w:t>
      </w:r>
      <w:r w:rsidRPr="0072531A">
        <w:rPr>
          <w:i/>
          <w:iCs/>
        </w:rPr>
        <w:t>Safe management of pharmaceutical waste from health care facilities: Global best practices</w:t>
      </w:r>
      <w:r w:rsidRPr="0072531A">
        <w:t>.</w:t>
      </w:r>
      <w:hyperlink r:id="rId161" w:history="1">
        <w:r w:rsidRPr="0072531A">
          <w:rPr>
            <w:rStyle w:val="-"/>
          </w:rPr>
          <w:t> </w:t>
        </w:r>
      </w:hyperlink>
    </w:p>
    <w:p w14:paraId="7F836E41" w14:textId="77777777" w:rsidR="0072531A" w:rsidRPr="0072531A" w:rsidRDefault="0072531A" w:rsidP="0072531A">
      <w:pPr>
        <w:jc w:val="both"/>
      </w:pPr>
      <w:r w:rsidRPr="0072531A">
        <w:t xml:space="preserve">Διαμάντη, Λ., &amp; Καρπούζας, Δ. (2022). </w:t>
      </w:r>
      <w:r w:rsidRPr="0072531A">
        <w:rPr>
          <w:i/>
          <w:iCs/>
        </w:rPr>
        <w:t>Μελέτη της τοξικότητας του ανθελμινθικού φαρμάκου eprinomectin στη μικροβιακή κοινότητα του εδάφους</w:t>
      </w:r>
      <w:r w:rsidRPr="0072531A">
        <w:t xml:space="preserve"> [Μεταπτυχιακή διπλωματική εργασία, Πανεπιστήμιο Θεσσαλίας]. Ιδρυματικό Αποθετήριο Πανεπιστημίου Θεσσαλίας.</w:t>
      </w:r>
      <w:hyperlink r:id="rId162" w:history="1">
        <w:r w:rsidRPr="0072531A">
          <w:rPr>
            <w:rStyle w:val="-"/>
          </w:rPr>
          <w:t> </w:t>
        </w:r>
      </w:hyperlink>
    </w:p>
    <w:p w14:paraId="7029AEF1" w14:textId="77777777" w:rsidR="0072531A" w:rsidRPr="0072531A" w:rsidRDefault="0072531A" w:rsidP="0072531A">
      <w:pPr>
        <w:jc w:val="both"/>
      </w:pPr>
      <w:r w:rsidRPr="0072531A">
        <w:t xml:space="preserve">Προύσαλη, Σ. Π. (2009). </w:t>
      </w:r>
      <w:r w:rsidRPr="0072531A">
        <w:rPr>
          <w:i/>
          <w:iCs/>
        </w:rPr>
        <w:t>Επίδραση της κτηνιατρικής φαρμακευτικής ουσίας eprinomectin (Β1a) σε σκαθάρια της κοπριάς</w:t>
      </w:r>
      <w:r w:rsidRPr="0072531A">
        <w:t xml:space="preserve"> [Μεταπτυχιακή διατριβή, Αριστοτέλειο Πανεπιστήμιο Θεσσαλονίκης]. Ιδρυματικό Καταθετήριο Επιστημονικών Εργασιών ΑΠΘ.</w:t>
      </w:r>
    </w:p>
    <w:p w14:paraId="0A295328" w14:textId="77777777" w:rsidR="0072531A" w:rsidRPr="002617A2" w:rsidRDefault="0072531A" w:rsidP="0072531A">
      <w:pPr>
        <w:jc w:val="both"/>
      </w:pPr>
      <w:r w:rsidRPr="0072531A">
        <w:t xml:space="preserve">Τριανταφύλλη, Γ. (2025, 21 Ιουνίου). </w:t>
      </w:r>
      <w:r w:rsidRPr="0072531A">
        <w:rPr>
          <w:i/>
          <w:iCs/>
        </w:rPr>
        <w:t>Περιβαλλοντική ρύπανση: Οι επιστήμονες πιέζουν για πιο «πράσινα» φάρμακα</w:t>
      </w:r>
      <w:r w:rsidRPr="0072531A">
        <w:t xml:space="preserve">. DailyPharmaNews.gr. </w:t>
      </w:r>
    </w:p>
    <w:p w14:paraId="33DB655E" w14:textId="77777777" w:rsidR="003A16A9" w:rsidRPr="002617A2" w:rsidRDefault="003A16A9" w:rsidP="0072531A">
      <w:pPr>
        <w:jc w:val="both"/>
      </w:pPr>
    </w:p>
    <w:p w14:paraId="002071E3" w14:textId="77777777" w:rsidR="003A16A9" w:rsidRPr="002617A2" w:rsidRDefault="003A16A9" w:rsidP="0072531A">
      <w:pPr>
        <w:jc w:val="both"/>
      </w:pPr>
    </w:p>
    <w:p w14:paraId="45D49EBF" w14:textId="77777777" w:rsidR="003A16A9" w:rsidRPr="002617A2" w:rsidRDefault="003A16A9" w:rsidP="0072531A">
      <w:pPr>
        <w:jc w:val="both"/>
      </w:pPr>
    </w:p>
    <w:p w14:paraId="5036BFCB" w14:textId="77777777" w:rsidR="003A16A9" w:rsidRPr="002617A2" w:rsidRDefault="003A16A9" w:rsidP="0072531A">
      <w:pPr>
        <w:jc w:val="both"/>
      </w:pPr>
    </w:p>
    <w:p w14:paraId="4D5D510F" w14:textId="77777777" w:rsidR="003A16A9" w:rsidRPr="002617A2" w:rsidRDefault="003A16A9" w:rsidP="0072531A">
      <w:pPr>
        <w:jc w:val="both"/>
      </w:pPr>
    </w:p>
    <w:p w14:paraId="41B73B65" w14:textId="77777777" w:rsidR="003A16A9" w:rsidRPr="002617A2" w:rsidRDefault="003A16A9" w:rsidP="0072531A">
      <w:pPr>
        <w:jc w:val="both"/>
      </w:pPr>
    </w:p>
    <w:p w14:paraId="029875A1" w14:textId="77777777" w:rsidR="003A16A9" w:rsidRPr="002617A2" w:rsidRDefault="003A16A9" w:rsidP="0072531A">
      <w:pPr>
        <w:jc w:val="both"/>
      </w:pPr>
    </w:p>
    <w:p w14:paraId="540481DE" w14:textId="77777777" w:rsidR="003A16A9" w:rsidRPr="002617A2" w:rsidRDefault="003A16A9" w:rsidP="0072531A">
      <w:pPr>
        <w:jc w:val="both"/>
      </w:pPr>
    </w:p>
    <w:p w14:paraId="5D5159A0" w14:textId="77777777" w:rsidR="003A16A9" w:rsidRPr="002617A2" w:rsidRDefault="003A16A9" w:rsidP="0072531A">
      <w:pPr>
        <w:jc w:val="both"/>
      </w:pPr>
    </w:p>
    <w:p w14:paraId="292AC0E5" w14:textId="77777777" w:rsidR="003A16A9" w:rsidRPr="002617A2" w:rsidRDefault="003A16A9" w:rsidP="0072531A">
      <w:pPr>
        <w:jc w:val="both"/>
      </w:pPr>
    </w:p>
    <w:p w14:paraId="1D3F8AF4" w14:textId="77777777" w:rsidR="003A16A9" w:rsidRPr="002617A2" w:rsidRDefault="003A16A9" w:rsidP="0072531A">
      <w:pPr>
        <w:jc w:val="both"/>
      </w:pPr>
    </w:p>
    <w:p w14:paraId="22783733" w14:textId="77777777" w:rsidR="003A16A9" w:rsidRPr="002617A2" w:rsidRDefault="003A16A9" w:rsidP="0072531A">
      <w:pPr>
        <w:jc w:val="both"/>
      </w:pPr>
    </w:p>
    <w:p w14:paraId="557885BE" w14:textId="77777777" w:rsidR="003A16A9" w:rsidRPr="002617A2" w:rsidRDefault="003A16A9" w:rsidP="0072531A">
      <w:pPr>
        <w:jc w:val="both"/>
      </w:pPr>
    </w:p>
    <w:p w14:paraId="6E7E4C50" w14:textId="77777777" w:rsidR="003A16A9" w:rsidRPr="002617A2" w:rsidRDefault="003A16A9" w:rsidP="0072531A">
      <w:pPr>
        <w:jc w:val="both"/>
      </w:pPr>
    </w:p>
    <w:p w14:paraId="5B2FA0C3" w14:textId="77777777" w:rsidR="003A16A9" w:rsidRPr="002617A2" w:rsidRDefault="003A16A9" w:rsidP="0072531A">
      <w:pPr>
        <w:jc w:val="both"/>
      </w:pPr>
    </w:p>
    <w:p w14:paraId="59161517" w14:textId="77777777" w:rsidR="003A16A9" w:rsidRPr="002617A2" w:rsidRDefault="003A16A9" w:rsidP="0072531A">
      <w:pPr>
        <w:jc w:val="both"/>
      </w:pPr>
    </w:p>
    <w:p w14:paraId="46F41F44" w14:textId="77777777" w:rsidR="003A16A9" w:rsidRPr="002617A2" w:rsidRDefault="003A16A9" w:rsidP="0072531A">
      <w:pPr>
        <w:jc w:val="both"/>
      </w:pPr>
    </w:p>
    <w:p w14:paraId="6FC51C94" w14:textId="77777777" w:rsidR="003A16A9" w:rsidRPr="002617A2" w:rsidRDefault="003A16A9" w:rsidP="0072531A">
      <w:pPr>
        <w:jc w:val="both"/>
      </w:pPr>
    </w:p>
    <w:p w14:paraId="5A2A9B72" w14:textId="77777777" w:rsidR="003A16A9" w:rsidRPr="002617A2" w:rsidRDefault="003A16A9" w:rsidP="0072531A">
      <w:pPr>
        <w:jc w:val="both"/>
      </w:pPr>
    </w:p>
    <w:p w14:paraId="4B365694" w14:textId="77777777" w:rsidR="003A16A9" w:rsidRPr="002617A2" w:rsidRDefault="003A16A9" w:rsidP="0072531A">
      <w:pPr>
        <w:jc w:val="both"/>
      </w:pPr>
    </w:p>
    <w:p w14:paraId="7F6B18D7" w14:textId="77777777" w:rsidR="003A16A9" w:rsidRPr="002617A2" w:rsidRDefault="003A16A9" w:rsidP="0072531A">
      <w:pPr>
        <w:jc w:val="both"/>
      </w:pPr>
    </w:p>
    <w:p w14:paraId="6E67E5E4" w14:textId="77777777" w:rsidR="0072531A" w:rsidRPr="0072531A" w:rsidRDefault="0072531A" w:rsidP="0072531A">
      <w:pPr>
        <w:jc w:val="both"/>
      </w:pPr>
      <w:r w:rsidRPr="0072531A">
        <w:rPr>
          <w:b/>
          <w:bCs/>
        </w:rPr>
        <w:lastRenderedPageBreak/>
        <w:t>Συγκριτική Μελέτη των Ενδοκρανιακών Μηνιγγιωμάτων στον Σκύλο και στη Γάτα</w:t>
      </w:r>
    </w:p>
    <w:p w14:paraId="22EB5D28" w14:textId="77777777" w:rsidR="0072531A" w:rsidRPr="0072531A" w:rsidRDefault="0072531A" w:rsidP="0072531A">
      <w:pPr>
        <w:jc w:val="both"/>
      </w:pPr>
      <w:r w:rsidRPr="0072531A">
        <w:t>Συριόπουλος Θεόδωρος</w:t>
      </w:r>
      <w:r w:rsidRPr="0072531A">
        <w:rPr>
          <w:vertAlign w:val="superscript"/>
        </w:rPr>
        <w:t>1</w:t>
      </w:r>
      <w:r w:rsidRPr="0072531A">
        <w:t>, Σαρπεκίδου Ειρήνη</w:t>
      </w:r>
      <w:r w:rsidRPr="0072531A">
        <w:rPr>
          <w:vertAlign w:val="superscript"/>
        </w:rPr>
        <w:t>2 </w:t>
      </w:r>
    </w:p>
    <w:p w14:paraId="3A618ECA" w14:textId="77777777" w:rsidR="0072531A" w:rsidRPr="0072531A" w:rsidRDefault="0072531A">
      <w:pPr>
        <w:numPr>
          <w:ilvl w:val="0"/>
          <w:numId w:val="126"/>
        </w:numPr>
        <w:jc w:val="both"/>
      </w:pPr>
      <w:r w:rsidRPr="0072531A">
        <w:rPr>
          <w:vertAlign w:val="superscript"/>
        </w:rPr>
        <w:t> </w:t>
      </w:r>
      <w:r w:rsidRPr="0072531A">
        <w:t>Προπτυχιακός φοιτητής, Τμήμα Κτηνιατρικής, Σχολή Επιστημών Υγείας, Α.Π.Θ.</w:t>
      </w:r>
    </w:p>
    <w:p w14:paraId="4BAFAB42" w14:textId="77777777" w:rsidR="0072531A" w:rsidRPr="0072531A" w:rsidRDefault="0072531A">
      <w:pPr>
        <w:numPr>
          <w:ilvl w:val="0"/>
          <w:numId w:val="126"/>
        </w:numPr>
        <w:jc w:val="both"/>
      </w:pPr>
      <w:r w:rsidRPr="0072531A">
        <w:rPr>
          <w:vertAlign w:val="superscript"/>
        </w:rPr>
        <w:t> </w:t>
      </w:r>
      <w:r w:rsidRPr="0072531A">
        <w:t>DVM, PhD Νευροχειρουργικής &amp; Εντατικής Θεραπείας, PgCert Νευρολογίας, Διδάκτωρ Νευροχειρουργικής &amp; Εντατικής Θεραπείας, Τμήμα Κτηνιατρικής, Σχολή Επιστημών Υγείας, Αριστοτέλειο Πανεπιστήμιο Θεσσαλονίκης</w:t>
      </w:r>
    </w:p>
    <w:p w14:paraId="2D49CE95" w14:textId="77777777" w:rsidR="0072531A" w:rsidRPr="0072531A" w:rsidRDefault="0072531A" w:rsidP="0072531A">
      <w:pPr>
        <w:jc w:val="both"/>
      </w:pPr>
    </w:p>
    <w:p w14:paraId="0386E82C" w14:textId="77777777" w:rsidR="0072531A" w:rsidRPr="0072531A" w:rsidRDefault="0072531A" w:rsidP="0072531A">
      <w:pPr>
        <w:jc w:val="both"/>
      </w:pPr>
      <w:r w:rsidRPr="0072531A">
        <w:rPr>
          <w:b/>
          <w:bCs/>
        </w:rPr>
        <w:t>Περίληψη</w:t>
      </w:r>
    </w:p>
    <w:p w14:paraId="6985A2BE" w14:textId="77777777" w:rsidR="0072531A" w:rsidRPr="0072531A" w:rsidRDefault="0072531A" w:rsidP="0072531A">
      <w:pPr>
        <w:jc w:val="both"/>
      </w:pPr>
      <w:r w:rsidRPr="0072531A">
        <w:t>Τα μηνιγγιώματα είναι ο συχνότερος πρωτοπαθής όγκος του εγκεφάλου στους σκύλους και στις γάτες. Ωστόσο, παρουσιάζουν σημαντικές διαφορές ως προς τη βιολογική τους συμπεριφορά στο κάθε είδος. Σκοπός της παρούσας εργασίας είναι η σύγκριση των ενδοκρανιακών μηνιγγιωμάτων στον σκύλο και στη γάτα. Στους σκύλους, εμφανίζονται κυρίως σε ζώα άνω των 7 ετών, σε δολιχοκεφαλικές φυλές, με τάση διήθησης του εγκεφαλικού παρεγχύματος και συχνότερη παρουσία άτυπων μορφών (WHO Grade II). Αντίθετα, στις γάτες τα μηνιγγιώματα παρατηρούνται σε ηλικίες άνω των 10 ετών και χαρακτηρίζονται στη πλειονότητά τους ως καλοήθη (WHO Grade I), είναι μονήρη, σαφώς περιχαρακωμένα και με εμφανή διαχωρισμό από το υγιές εγκεφαλικό παρέγχυμα, επιτρέποντας πλήρη χειρουργική εξαίρεση. Τα συχνότερα κλινικά συμπτώματα στους σκύλους είναι οι επιληπτικές κρίσεις λόγω συχνής εντόπισης στον πρόσθιο εγκέφαλο, ενώ στις γάτες εμφανίζονται μη ειδικές εκδηλώσεις, όπως λήθαργος και μεταβολές συμπεριφοράς. Θεραπευτικά, η χειρουργική αντιμετώπιση είναι συχνότερα επαρκής στις γάτες, διασφαλίζοντας ευνοϊκή πρόγνωση, ενώ στους σκύλους απαιτείται συχνά συνδυασμός της με ακτινοθεραπεία λόγω υπολειμματικής νόσου, οδηγώντας συγκριτικά  σε δυσμενέστερη έκβαση.</w:t>
      </w:r>
    </w:p>
    <w:p w14:paraId="46C14D28" w14:textId="77777777" w:rsidR="0072531A" w:rsidRPr="0072531A" w:rsidRDefault="0072531A" w:rsidP="0072531A">
      <w:pPr>
        <w:jc w:val="both"/>
      </w:pPr>
    </w:p>
    <w:p w14:paraId="00B9D439" w14:textId="77777777" w:rsidR="0072531A" w:rsidRPr="0072531A" w:rsidRDefault="0072531A" w:rsidP="0072531A">
      <w:pPr>
        <w:jc w:val="both"/>
      </w:pPr>
      <w:r w:rsidRPr="0072531A">
        <w:rPr>
          <w:b/>
          <w:bCs/>
        </w:rPr>
        <w:t>Βιβλιογραφία:</w:t>
      </w:r>
    </w:p>
    <w:p w14:paraId="740F3644" w14:textId="77777777" w:rsidR="0072531A" w:rsidRPr="0072531A" w:rsidRDefault="0072531A" w:rsidP="0072531A">
      <w:pPr>
        <w:jc w:val="both"/>
      </w:pPr>
      <w:r w:rsidRPr="0072531A">
        <w:t xml:space="preserve">Adamo, P. F., Forrest, L., &amp; Dubielzig, R. (2004). </w:t>
      </w:r>
      <w:r w:rsidRPr="0072531A">
        <w:rPr>
          <w:i/>
          <w:iCs/>
        </w:rPr>
        <w:t>Canine and feline meningiomas: Diagnosis, treatment, and prognosis.</w:t>
      </w:r>
      <w:r w:rsidRPr="0072531A">
        <w:t xml:space="preserve"> Compendium, 26(12), 951–966.</w:t>
      </w:r>
    </w:p>
    <w:p w14:paraId="06A1CB50" w14:textId="77777777" w:rsidR="0072531A" w:rsidRPr="0072531A" w:rsidRDefault="0072531A" w:rsidP="0072531A">
      <w:pPr>
        <w:jc w:val="both"/>
      </w:pPr>
      <w:r w:rsidRPr="0072531A">
        <w:t xml:space="preserve">Dewey, C. W., &amp; da Costa, R. C. (2015). </w:t>
      </w:r>
      <w:r w:rsidRPr="0072531A">
        <w:rPr>
          <w:i/>
          <w:iCs/>
        </w:rPr>
        <w:t>Practical guide to canine and feline neurology</w:t>
      </w:r>
      <w:r w:rsidRPr="0072531A">
        <w:t xml:space="preserve"> (3rd ed.). Wiley.</w:t>
      </w:r>
    </w:p>
    <w:p w14:paraId="08017DC7" w14:textId="77777777" w:rsidR="0072531A" w:rsidRPr="0072531A" w:rsidRDefault="0072531A" w:rsidP="0072531A">
      <w:pPr>
        <w:jc w:val="both"/>
      </w:pPr>
      <w:r w:rsidRPr="0072531A">
        <w:t xml:space="preserve">Forterre, F., Fritsch, G., Kaiser, S., Matiasek, K., &amp; Brunnberg, L. (2006). </w:t>
      </w:r>
      <w:r w:rsidRPr="0072531A">
        <w:rPr>
          <w:i/>
          <w:iCs/>
        </w:rPr>
        <w:t>Surgical approach for tentorial meningiomas in cats: A review of six cases.</w:t>
      </w:r>
      <w:r w:rsidRPr="0072531A">
        <w:t xml:space="preserve"> Journal of Feline Medicine and Surgery, 8(4), 227–233.</w:t>
      </w:r>
    </w:p>
    <w:p w14:paraId="3C42FA3C" w14:textId="77777777" w:rsidR="0072531A" w:rsidRPr="0072531A" w:rsidRDefault="0072531A" w:rsidP="0072531A">
      <w:pPr>
        <w:jc w:val="both"/>
      </w:pPr>
      <w:r w:rsidRPr="0072531A">
        <w:t xml:space="preserve">Forterre, F., Tomek, A., Konar, M., Vandevelde, M., Howard, J., &amp; Jaggy, A. (2007). </w:t>
      </w:r>
      <w:r w:rsidRPr="0072531A">
        <w:rPr>
          <w:i/>
          <w:iCs/>
        </w:rPr>
        <w:t>Multiple meningiomas: Clinical, radiological, surgical, and pathological findings with outcome in four cats.</w:t>
      </w:r>
      <w:r w:rsidRPr="0072531A">
        <w:t xml:space="preserve"> Journal of Feline Medicine and Surgery, 9(1), 36–43.</w:t>
      </w:r>
    </w:p>
    <w:p w14:paraId="70869973" w14:textId="77777777" w:rsidR="0072531A" w:rsidRPr="0072531A" w:rsidRDefault="0072531A" w:rsidP="0072531A">
      <w:pPr>
        <w:jc w:val="both"/>
      </w:pPr>
      <w:r w:rsidRPr="0072531A">
        <w:t xml:space="preserve">Ijiri, A., Yoshiki, K., Tsuboi, S., Shimazaki, H., Akiyoshi, H., &amp; Nakade, T. (2014). </w:t>
      </w:r>
      <w:r w:rsidRPr="0072531A">
        <w:rPr>
          <w:i/>
          <w:iCs/>
        </w:rPr>
        <w:t>Surgical resection of twenty-three cases of brain meningioma.</w:t>
      </w:r>
      <w:r w:rsidRPr="0072531A">
        <w:t xml:space="preserve"> Journal of Veterinary Medical Science, 76(3), 331–338.</w:t>
      </w:r>
    </w:p>
    <w:p w14:paraId="76B9BFD1" w14:textId="77777777" w:rsidR="0072531A" w:rsidRPr="0072531A" w:rsidRDefault="0072531A" w:rsidP="0072531A">
      <w:pPr>
        <w:jc w:val="both"/>
      </w:pPr>
      <w:r w:rsidRPr="0072531A">
        <w:t xml:space="preserve">Louis, D. N., Ohgaki, H., Wiestler, O. D., Cavenee, W. K., Burger, P. C., Jouvet, A., Scheithauer, B. W., &amp; Kleihues, P. (2007). </w:t>
      </w:r>
      <w:r w:rsidRPr="0072531A">
        <w:rPr>
          <w:i/>
          <w:iCs/>
        </w:rPr>
        <w:t>The 2007 WHO classification of tumours of the central nervous system.</w:t>
      </w:r>
      <w:r w:rsidRPr="0072531A">
        <w:t xml:space="preserve"> Acta Neuropathologica, 114(2), 97–109.</w:t>
      </w:r>
    </w:p>
    <w:p w14:paraId="4F00BC9F" w14:textId="77777777" w:rsidR="0072531A" w:rsidRPr="0072531A" w:rsidRDefault="0072531A" w:rsidP="0072531A">
      <w:pPr>
        <w:jc w:val="both"/>
      </w:pPr>
      <w:r w:rsidRPr="0072531A">
        <w:lastRenderedPageBreak/>
        <w:t xml:space="preserve">Motta, L., Mandara, M. T., &amp; Skerritt, G. C. (2012). </w:t>
      </w:r>
      <w:r w:rsidRPr="0072531A">
        <w:rPr>
          <w:i/>
          <w:iCs/>
        </w:rPr>
        <w:t>Canine and feline intracranial meningiomas: An updated review.</w:t>
      </w:r>
      <w:r w:rsidRPr="0072531A">
        <w:t xml:space="preserve"> The Veterinary Journal, 192(2), 153–165.</w:t>
      </w:r>
    </w:p>
    <w:p w14:paraId="6A50F7CD" w14:textId="77777777" w:rsidR="0072531A" w:rsidRPr="0072531A" w:rsidRDefault="0072531A" w:rsidP="0072531A">
      <w:pPr>
        <w:jc w:val="both"/>
      </w:pPr>
      <w:r w:rsidRPr="0072531A">
        <w:t xml:space="preserve">Nafe, L. A. (1979). </w:t>
      </w:r>
      <w:r w:rsidRPr="0072531A">
        <w:rPr>
          <w:i/>
          <w:iCs/>
        </w:rPr>
        <w:t>Meningiomas in cats: A retrospective clinical study of 36 cases.</w:t>
      </w:r>
      <w:r w:rsidRPr="0072531A">
        <w:t xml:space="preserve"> Journal of the American Veterinary Medical Association, 174(11), 1224–1227.</w:t>
      </w:r>
    </w:p>
    <w:p w14:paraId="3F3F5DB9" w14:textId="77777777" w:rsidR="0072531A" w:rsidRPr="0072531A" w:rsidRDefault="0072531A" w:rsidP="0072531A">
      <w:pPr>
        <w:jc w:val="both"/>
      </w:pPr>
      <w:r w:rsidRPr="0072531A">
        <w:t xml:space="preserve">Platt, S. R., &amp; Olby, N. J. (2012). </w:t>
      </w:r>
      <w:r w:rsidRPr="0072531A">
        <w:rPr>
          <w:i/>
          <w:iCs/>
        </w:rPr>
        <w:t>BSAVA manual of canine and feline neurology</w:t>
      </w:r>
      <w:r w:rsidRPr="0072531A">
        <w:t xml:space="preserve"> (4th ed.). British Small Animal Veterinary Association.</w:t>
      </w:r>
    </w:p>
    <w:p w14:paraId="7CFB4B69" w14:textId="77777777" w:rsidR="0072531A" w:rsidRPr="0072531A" w:rsidRDefault="0072531A" w:rsidP="0072531A">
      <w:pPr>
        <w:jc w:val="both"/>
      </w:pPr>
      <w:r w:rsidRPr="0072531A">
        <w:t xml:space="preserve">Tichenor, M., Hearon, K., &amp; Selmic, L. E. (2024). </w:t>
      </w:r>
      <w:r w:rsidRPr="0072531A">
        <w:rPr>
          <w:i/>
          <w:iCs/>
        </w:rPr>
        <w:t>Characteristics and outcomes for 61 cats that underwent either surgery or stereotactic radiotherapy as treatment for intracranial meningioma (2005–2017).</w:t>
      </w:r>
      <w:r w:rsidRPr="0072531A">
        <w:t xml:space="preserve"> Journal of the American Veterinary Medical Association, 262(1), 1–8.</w:t>
      </w:r>
    </w:p>
    <w:p w14:paraId="4F88E6BE" w14:textId="77777777" w:rsidR="0072531A" w:rsidRPr="0072531A" w:rsidRDefault="0072531A" w:rsidP="0072531A">
      <w:pPr>
        <w:jc w:val="both"/>
      </w:pPr>
      <w:r w:rsidRPr="0072531A">
        <w:t xml:space="preserve">Tomek, A., Cizinauskas, S., Doherr, M., Gandini, G., &amp; Jaggy, A. (2006). </w:t>
      </w:r>
      <w:r w:rsidRPr="0072531A">
        <w:rPr>
          <w:i/>
          <w:iCs/>
        </w:rPr>
        <w:t>Intracranial neoplasia in 61 cats: Localisation, tumour types and seizure patterns.</w:t>
      </w:r>
      <w:r w:rsidRPr="0072531A">
        <w:t xml:space="preserve"> Journal of Feline Medicine and Surgery, 8(4), 243–253.</w:t>
      </w:r>
    </w:p>
    <w:p w14:paraId="5208DA91" w14:textId="77777777" w:rsidR="0072531A" w:rsidRPr="0072531A" w:rsidRDefault="0072531A" w:rsidP="0072531A">
      <w:pPr>
        <w:jc w:val="both"/>
      </w:pPr>
      <w:r w:rsidRPr="0072531A">
        <w:t xml:space="preserve">Troxel, M. T., Vite, C. H., Massicotte, C., McLear, R. C., Van Winkle, T. J., Glass, E. N., Tiches, D., &amp; Dayrell-Hart, B. (2004). </w:t>
      </w:r>
      <w:r w:rsidRPr="0072531A">
        <w:rPr>
          <w:i/>
          <w:iCs/>
        </w:rPr>
        <w:t>Magnetic resonance imaging features of feline intracranial neoplasia: Retrospective analysis of 46 cats.</w:t>
      </w:r>
      <w:r w:rsidRPr="0072531A">
        <w:t xml:space="preserve"> Journal of Veterinary Internal Medicine, 18(2), 176–189.</w:t>
      </w:r>
    </w:p>
    <w:p w14:paraId="38B5DAD2" w14:textId="77777777" w:rsidR="0072531A" w:rsidRPr="0072531A" w:rsidRDefault="0072531A" w:rsidP="0072531A">
      <w:pPr>
        <w:jc w:val="both"/>
      </w:pPr>
      <w:r w:rsidRPr="0072531A">
        <w:t xml:space="preserve">Troxel, M. T., Vite, C. H., Van Winkle, T. J., Newton, A. L., Tiches, D., Dayrell-Hart, B., ... Steinberg, S. A. (2003). </w:t>
      </w:r>
      <w:r w:rsidRPr="0072531A">
        <w:rPr>
          <w:i/>
          <w:iCs/>
        </w:rPr>
        <w:t>Feline intracranial neoplasia: Retrospective review of 160 cases (1985–2001).</w:t>
      </w:r>
      <w:r w:rsidRPr="0072531A">
        <w:t xml:space="preserve"> Journal of Veterinary Internal Medicine, 17(6), 850–859.</w:t>
      </w:r>
    </w:p>
    <w:p w14:paraId="33988494" w14:textId="77777777" w:rsidR="0072531A" w:rsidRPr="0072531A" w:rsidRDefault="0072531A" w:rsidP="0072531A">
      <w:pPr>
        <w:jc w:val="both"/>
      </w:pPr>
      <w:r w:rsidRPr="0072531A">
        <w:t xml:space="preserve">Zaki, F. A. (1999). </w:t>
      </w:r>
      <w:r w:rsidRPr="0072531A">
        <w:rPr>
          <w:i/>
          <w:iCs/>
        </w:rPr>
        <w:t>Spontaneous neoplasms of the central nervous system of the cat.</w:t>
      </w:r>
      <w:r w:rsidRPr="0072531A">
        <w:t xml:space="preserve"> Journal of Small Animal Practice, 40, 411–416.</w:t>
      </w:r>
    </w:p>
    <w:p w14:paraId="6A8FA0CD" w14:textId="77777777" w:rsidR="003A16A9" w:rsidRPr="002617A2" w:rsidRDefault="0072531A" w:rsidP="0072531A">
      <w:pPr>
        <w:jc w:val="both"/>
      </w:pPr>
      <w:r w:rsidRPr="0072531A">
        <w:br/>
      </w:r>
      <w:r w:rsidRPr="0072531A">
        <w:br/>
      </w:r>
      <w:r w:rsidRPr="0072531A">
        <w:br/>
      </w:r>
      <w:r w:rsidRPr="0072531A">
        <w:br/>
      </w:r>
      <w:r w:rsidRPr="0072531A">
        <w:br/>
      </w:r>
      <w:r w:rsidRPr="0072531A">
        <w:br/>
      </w:r>
    </w:p>
    <w:p w14:paraId="08C7B2D8" w14:textId="77777777" w:rsidR="003A16A9" w:rsidRPr="002617A2" w:rsidRDefault="003A16A9" w:rsidP="0072531A">
      <w:pPr>
        <w:jc w:val="both"/>
      </w:pPr>
    </w:p>
    <w:p w14:paraId="4F3F0293" w14:textId="77777777" w:rsidR="003A16A9" w:rsidRPr="002617A2" w:rsidRDefault="003A16A9" w:rsidP="0072531A">
      <w:pPr>
        <w:jc w:val="both"/>
      </w:pPr>
    </w:p>
    <w:p w14:paraId="5D993C86" w14:textId="77777777" w:rsidR="003A16A9" w:rsidRPr="002617A2" w:rsidRDefault="003A16A9" w:rsidP="0072531A">
      <w:pPr>
        <w:jc w:val="both"/>
      </w:pPr>
    </w:p>
    <w:p w14:paraId="3E3AB8A4" w14:textId="77777777" w:rsidR="003A16A9" w:rsidRPr="002617A2" w:rsidRDefault="003A16A9" w:rsidP="0072531A">
      <w:pPr>
        <w:jc w:val="both"/>
      </w:pPr>
    </w:p>
    <w:p w14:paraId="03742FF2" w14:textId="77777777" w:rsidR="003A16A9" w:rsidRPr="002617A2" w:rsidRDefault="003A16A9" w:rsidP="0072531A">
      <w:pPr>
        <w:jc w:val="both"/>
      </w:pPr>
    </w:p>
    <w:p w14:paraId="4C6A87CC" w14:textId="77777777" w:rsidR="003A16A9" w:rsidRPr="002617A2" w:rsidRDefault="003A16A9" w:rsidP="0072531A">
      <w:pPr>
        <w:jc w:val="both"/>
      </w:pPr>
    </w:p>
    <w:p w14:paraId="48BDEA3E" w14:textId="77777777" w:rsidR="003A16A9" w:rsidRPr="002617A2" w:rsidRDefault="003A16A9" w:rsidP="0072531A">
      <w:pPr>
        <w:jc w:val="both"/>
      </w:pPr>
    </w:p>
    <w:p w14:paraId="275EECCD" w14:textId="77777777" w:rsidR="003A16A9" w:rsidRPr="002617A2" w:rsidRDefault="003A16A9" w:rsidP="0072531A">
      <w:pPr>
        <w:jc w:val="both"/>
      </w:pPr>
    </w:p>
    <w:p w14:paraId="7EC199C1" w14:textId="77777777" w:rsidR="003A16A9" w:rsidRPr="002617A2" w:rsidRDefault="003A16A9" w:rsidP="0072531A">
      <w:pPr>
        <w:jc w:val="both"/>
      </w:pPr>
    </w:p>
    <w:p w14:paraId="7D22F6E1" w14:textId="7FAF2F96" w:rsidR="0072531A" w:rsidRPr="0072531A" w:rsidRDefault="0072531A" w:rsidP="0072531A">
      <w:pPr>
        <w:jc w:val="both"/>
      </w:pPr>
      <w:r w:rsidRPr="0072531A">
        <w:br/>
      </w:r>
    </w:p>
    <w:p w14:paraId="41662321" w14:textId="77777777" w:rsidR="0072531A" w:rsidRPr="0072531A" w:rsidRDefault="0072531A" w:rsidP="0072531A">
      <w:pPr>
        <w:jc w:val="both"/>
      </w:pPr>
      <w:r w:rsidRPr="0072531A">
        <w:rPr>
          <w:b/>
          <w:bCs/>
        </w:rPr>
        <w:lastRenderedPageBreak/>
        <w:t>Μεταμοσχευόμενος</w:t>
      </w:r>
      <w:r w:rsidRPr="0072531A">
        <w:rPr>
          <w:b/>
          <w:bCs/>
          <w:i/>
          <w:iCs/>
        </w:rPr>
        <w:t xml:space="preserve"> Καρκίνος: Όταν τα Νεοπλάσματα μεταδίδονται</w:t>
      </w:r>
    </w:p>
    <w:p w14:paraId="065E798A" w14:textId="34022EDE" w:rsidR="0072531A" w:rsidRPr="0072531A" w:rsidRDefault="0072531A" w:rsidP="0072531A">
      <w:pPr>
        <w:jc w:val="both"/>
      </w:pPr>
      <w:r w:rsidRPr="0072531A">
        <w:t>Ανδρεαδάκη Ειρήνη Ελένη</w:t>
      </w:r>
      <w:r w:rsidRPr="0072531A">
        <w:rPr>
          <w:vertAlign w:val="superscript"/>
        </w:rPr>
        <w:t>1</w:t>
      </w:r>
      <w:r w:rsidRPr="0072531A">
        <w:t>, Γιαλοψού Σεβαστιανή</w:t>
      </w:r>
      <w:r w:rsidRPr="0072531A">
        <w:rPr>
          <w:vertAlign w:val="superscript"/>
        </w:rPr>
        <w:t>1</w:t>
      </w:r>
      <w:r w:rsidRPr="0072531A">
        <w:t>, Καλαϊτζή Θεοφανία</w:t>
      </w:r>
      <w:r w:rsidRPr="0072531A">
        <w:rPr>
          <w:vertAlign w:val="superscript"/>
        </w:rPr>
        <w:t xml:space="preserve">2 </w:t>
      </w:r>
      <w:r w:rsidRPr="0072531A">
        <w:t>,</w:t>
      </w:r>
      <w:r w:rsidR="003A16A9" w:rsidRPr="003A16A9">
        <w:t xml:space="preserve"> </w:t>
      </w:r>
      <w:r w:rsidRPr="0072531A">
        <w:t xml:space="preserve">Πουταχίδης Θεόφιλος </w:t>
      </w:r>
      <w:r w:rsidRPr="0072531A">
        <w:rPr>
          <w:vertAlign w:val="superscript"/>
        </w:rPr>
        <w:t>2</w:t>
      </w:r>
    </w:p>
    <w:p w14:paraId="716960B9" w14:textId="77777777" w:rsidR="0072531A" w:rsidRPr="0072531A" w:rsidRDefault="0072531A">
      <w:pPr>
        <w:numPr>
          <w:ilvl w:val="0"/>
          <w:numId w:val="127"/>
        </w:numPr>
        <w:jc w:val="both"/>
      </w:pPr>
      <w:r w:rsidRPr="0072531A">
        <w:rPr>
          <w:vertAlign w:val="superscript"/>
        </w:rPr>
        <w:t> </w:t>
      </w:r>
      <w:r w:rsidRPr="0072531A">
        <w:t>Προπτυχιακή Φοιτήτρια Τμήματος Κτηνιατρικής Σχολής Επιστημών Υγείας Αριστοτελείου Πανεπιστημίου Θεσσαλονίκης.</w:t>
      </w:r>
    </w:p>
    <w:p w14:paraId="72B07EE2" w14:textId="77777777" w:rsidR="0072531A" w:rsidRPr="0072531A" w:rsidRDefault="0072531A">
      <w:pPr>
        <w:numPr>
          <w:ilvl w:val="0"/>
          <w:numId w:val="127"/>
        </w:numPr>
        <w:jc w:val="both"/>
      </w:pPr>
      <w:r w:rsidRPr="0072531A">
        <w:rPr>
          <w:vertAlign w:val="superscript"/>
        </w:rPr>
        <w:t> </w:t>
      </w:r>
      <w:r w:rsidRPr="0072531A">
        <w:t>Καθηγητής Παθολογικής Ανατομικής Ζώων, Τμήματος Κτηνιατρικής Σχολής Επιστημών Υγείας Αριστοτελείου Πανεπιστημίου Θεσσαλονίκης</w:t>
      </w:r>
    </w:p>
    <w:p w14:paraId="780090AB" w14:textId="77777777" w:rsidR="0072531A" w:rsidRPr="0072531A" w:rsidRDefault="0072531A" w:rsidP="0072531A">
      <w:pPr>
        <w:jc w:val="both"/>
      </w:pPr>
    </w:p>
    <w:p w14:paraId="48BAF7F7" w14:textId="77777777" w:rsidR="0072531A" w:rsidRPr="0072531A" w:rsidRDefault="0072531A" w:rsidP="0072531A">
      <w:pPr>
        <w:jc w:val="both"/>
      </w:pPr>
      <w:r w:rsidRPr="0072531A">
        <w:rPr>
          <w:b/>
          <w:bCs/>
        </w:rPr>
        <w:t>Περίληψη</w:t>
      </w:r>
    </w:p>
    <w:p w14:paraId="47C7A4B5" w14:textId="77777777" w:rsidR="0072531A" w:rsidRPr="0072531A" w:rsidRDefault="0072531A" w:rsidP="0072531A">
      <w:pPr>
        <w:jc w:val="both"/>
      </w:pPr>
      <w:r w:rsidRPr="0072531A">
        <w:t>Οι μεταμοσχευόμενοι καρκίνοι αποτελούν μια σπάνια και εξαιρετικά ενδιαφέρουσα κατηγορία νεοπλασμάτων, καθώς μεταδίδονται ως αλλομοσχεύματα ή/και ξενομοσχεύματα. Στην παρούσα εργασία αρχικά αναλύεται η εξελικτική προέλευση αυτού του είδους των νεοπλασμάτων, αναδεικνύοντας τον κλωνικό τους χαρακτήρα και τη μακροχρόνια προσαρμογή τους στους ξενιστές. Στη συνέχεια, διερευνώνται οι ανοσολογικοί μηχανισμοί που ενεργοποιούνται έναντι των όγκων, καθώς και οι στρατηγικές ανοσοδιαφυγής που επιτρέπουν την επιβίωση και μετάδοσή τους. Επιπλέον, παρουσιάζεται ο μηχανισμός παθογένειας και συνοψίζονται οι γνωστοί τύποι μεταμοσχευόμενων καρκίνων που έχουν περιγραφεί έως σήμερα με έμφαση στις περιπτώσεις του αφροδίσιου μεταδοτικού νεοπλάσματος του σκύλου και στη νόσο των όγκων του προσώπου του διαβόλου της Τασμανίας, ενώ αναφέρονται επίσης ανάλογες περιπτώσεις όγκων σε δίθυρα και χάμστερ. Τέλος, συζητείται η σημασία αυτών των νεοπλασμάτων για την κατανόηση του καρκίνου, αναδεικνύοντας νέες προσεγγίσεις σχετικά με την εξέλιξη, τη μετάδοση και την ανοσολογική αλληλεπίδραση όγκου-ξενιστή, καθώς και τις πιθανές προεκτάσεις τους στη σύγχρονη ογκολογία.</w:t>
      </w:r>
    </w:p>
    <w:p w14:paraId="510695C2" w14:textId="77777777" w:rsidR="0072531A" w:rsidRPr="0072531A" w:rsidRDefault="0072531A" w:rsidP="0072531A">
      <w:pPr>
        <w:jc w:val="both"/>
      </w:pPr>
    </w:p>
    <w:p w14:paraId="04AC23CC" w14:textId="77777777" w:rsidR="0072531A" w:rsidRPr="0072531A" w:rsidRDefault="0072531A" w:rsidP="0072531A">
      <w:pPr>
        <w:jc w:val="both"/>
      </w:pPr>
      <w:r w:rsidRPr="0072531A">
        <w:rPr>
          <w:b/>
          <w:bCs/>
        </w:rPr>
        <w:t>Βιβλιογραφία</w:t>
      </w:r>
    </w:p>
    <w:p w14:paraId="5AE6074C" w14:textId="77777777" w:rsidR="0072531A" w:rsidRPr="0072531A" w:rsidRDefault="0072531A" w:rsidP="0072531A">
      <w:pPr>
        <w:jc w:val="both"/>
      </w:pPr>
      <w:r w:rsidRPr="0072531A">
        <w:t xml:space="preserve">Batley, K., Pye, R., Farquharson, K., Cheng, Y., Flies, A., Hogg, C., &amp; Belov, K. (2025). </w:t>
      </w:r>
      <w:r w:rsidRPr="0072531A">
        <w:rPr>
          <w:i/>
          <w:iCs/>
        </w:rPr>
        <w:t>Immune recognition of transmissible cancers in Tasmanian devils with MHC-I deletion.</w:t>
      </w:r>
      <w:r w:rsidRPr="0072531A">
        <w:t xml:space="preserve"> BioRxiv.</w:t>
      </w:r>
      <w:hyperlink r:id="rId163" w:history="1">
        <w:r w:rsidRPr="0072531A">
          <w:rPr>
            <w:rStyle w:val="-"/>
          </w:rPr>
          <w:t> </w:t>
        </w:r>
      </w:hyperlink>
    </w:p>
    <w:p w14:paraId="45B2E5AC" w14:textId="77777777" w:rsidR="0072531A" w:rsidRPr="0072531A" w:rsidRDefault="0072531A" w:rsidP="0072531A">
      <w:pPr>
        <w:jc w:val="both"/>
      </w:pPr>
      <w:r w:rsidRPr="0072531A">
        <w:t xml:space="preserve">Dujon, A. M., Gatenby, R. A., Bramwell, G., MacDonald, N., Dohrmann, E., Raven, N., et al. (2020). </w:t>
      </w:r>
      <w:r w:rsidRPr="0072531A">
        <w:rPr>
          <w:i/>
          <w:iCs/>
        </w:rPr>
        <w:t>Transmissible cancers in an evolutionary perspective.</w:t>
      </w:r>
      <w:r w:rsidRPr="0072531A">
        <w:t xml:space="preserve"> iScience, 23(7). </w:t>
      </w:r>
    </w:p>
    <w:p w14:paraId="7B21C302" w14:textId="77777777" w:rsidR="0072531A" w:rsidRPr="0072531A" w:rsidRDefault="0072531A" w:rsidP="0072531A">
      <w:pPr>
        <w:jc w:val="both"/>
      </w:pPr>
      <w:r w:rsidRPr="0072531A">
        <w:t xml:space="preserve">Duzanski, A., Flórez, L., Fêo, H., Romagnoli, G., Kaneno, R., &amp; Rocha, N. (2022). </w:t>
      </w:r>
      <w:r w:rsidRPr="0072531A">
        <w:rPr>
          <w:i/>
          <w:iCs/>
        </w:rPr>
        <w:t>Cell-mediated immunity and expression of MHC class I and class II molecules in dogs naturally infected by canine transmissible venereal tumor.</w:t>
      </w:r>
      <w:r w:rsidRPr="0072531A">
        <w:t xml:space="preserve"> Research in Veterinary Science, 145, 193–204.</w:t>
      </w:r>
      <w:hyperlink r:id="rId164" w:history="1">
        <w:r w:rsidRPr="0072531A">
          <w:rPr>
            <w:rStyle w:val="-"/>
          </w:rPr>
          <w:t> </w:t>
        </w:r>
      </w:hyperlink>
    </w:p>
    <w:p w14:paraId="59432786" w14:textId="77777777" w:rsidR="0072531A" w:rsidRPr="0072531A" w:rsidRDefault="0072531A" w:rsidP="0072531A">
      <w:pPr>
        <w:jc w:val="both"/>
      </w:pPr>
      <w:r w:rsidRPr="0072531A">
        <w:t xml:space="preserve">Fêo, H., Flórez, L., Yamatogi, R., Duzanski, A., Araújo, J., De Oliveira, R., &amp; Rocha, N. (2018). </w:t>
      </w:r>
      <w:r w:rsidRPr="0072531A">
        <w:rPr>
          <w:i/>
          <w:iCs/>
        </w:rPr>
        <w:t>Tumour microenvironment in canine transmissible venereal tumour.</w:t>
      </w:r>
      <w:r w:rsidRPr="0072531A">
        <w:t xml:space="preserve"> Veterinary and Comparative Oncology, 16, 370–378.</w:t>
      </w:r>
      <w:hyperlink r:id="rId165" w:history="1">
        <w:r w:rsidRPr="0072531A">
          <w:rPr>
            <w:rStyle w:val="-"/>
          </w:rPr>
          <w:t> </w:t>
        </w:r>
      </w:hyperlink>
    </w:p>
    <w:p w14:paraId="00502D01" w14:textId="77777777" w:rsidR="0072531A" w:rsidRPr="0072531A" w:rsidRDefault="0072531A" w:rsidP="0072531A">
      <w:pPr>
        <w:jc w:val="both"/>
      </w:pPr>
      <w:r w:rsidRPr="0072531A">
        <w:t xml:space="preserve">Kattner, P., Zeiler, K., Herbener, V. J., La Ferla-Brühl, K., Kassubek, R., Grunert, M., et al. (2021). </w:t>
      </w:r>
      <w:r w:rsidRPr="0072531A">
        <w:rPr>
          <w:i/>
          <w:iCs/>
        </w:rPr>
        <w:t>What animal cancers teach us about human biology.</w:t>
      </w:r>
      <w:r w:rsidRPr="0072531A">
        <w:t xml:space="preserve"> Theranostics, 11(14), 6682–6702.</w:t>
      </w:r>
    </w:p>
    <w:p w14:paraId="1EDB335E" w14:textId="77777777" w:rsidR="0072531A" w:rsidRPr="0072531A" w:rsidRDefault="0072531A" w:rsidP="0072531A">
      <w:pPr>
        <w:jc w:val="both"/>
      </w:pPr>
      <w:r w:rsidRPr="0072531A">
        <w:t xml:space="preserve">McCallum, H., Jones, M., Hawkins, C., Hamede, R., Lachish, S., Sinn, D. L., et al. (2009). </w:t>
      </w:r>
      <w:r w:rsidRPr="0072531A">
        <w:rPr>
          <w:i/>
          <w:iCs/>
        </w:rPr>
        <w:t>Transmission dynamics of Tasmanian devil facial tumor disease may lead to disease-induced extinction.</w:t>
      </w:r>
      <w:r w:rsidRPr="0072531A">
        <w:t xml:space="preserve"> Ecology, 90(12), 3379–3392. </w:t>
      </w:r>
    </w:p>
    <w:p w14:paraId="5A4E52DF" w14:textId="77777777" w:rsidR="0072531A" w:rsidRPr="0072531A" w:rsidRDefault="0072531A" w:rsidP="0072531A">
      <w:pPr>
        <w:jc w:val="both"/>
      </w:pPr>
      <w:r w:rsidRPr="0072531A">
        <w:lastRenderedPageBreak/>
        <w:t xml:space="preserve">McCallum, H., &amp; Jones, M. (2012). </w:t>
      </w:r>
      <w:r w:rsidRPr="0072531A">
        <w:rPr>
          <w:i/>
          <w:iCs/>
        </w:rPr>
        <w:t>Infectious cancers in wildlife.</w:t>
      </w:r>
      <w:r w:rsidRPr="0072531A">
        <w:t xml:space="preserve"> In Conservation Medicine: Applied Cases of Ecological Health (pp. 270–283).</w:t>
      </w:r>
    </w:p>
    <w:p w14:paraId="09CE264F" w14:textId="77777777" w:rsidR="0072531A" w:rsidRPr="0072531A" w:rsidRDefault="0072531A" w:rsidP="0072531A">
      <w:pPr>
        <w:jc w:val="both"/>
      </w:pPr>
      <w:r w:rsidRPr="0072531A">
        <w:t xml:space="preserve">Murgia, C., Pritchard, J. K., Kim, S. Y., Fassati, A., &amp; Weiss, R. A. (2006). </w:t>
      </w:r>
      <w:r w:rsidRPr="0072531A">
        <w:rPr>
          <w:i/>
          <w:iCs/>
        </w:rPr>
        <w:t>Clonal origin and evolution of a transmissible cancer.</w:t>
      </w:r>
      <w:r w:rsidRPr="0072531A">
        <w:t xml:space="preserve"> Cell, 126(3), 477–487. </w:t>
      </w:r>
    </w:p>
    <w:p w14:paraId="44A04A63" w14:textId="77777777" w:rsidR="0072531A" w:rsidRPr="0072531A" w:rsidRDefault="0072531A" w:rsidP="0072531A">
      <w:pPr>
        <w:jc w:val="both"/>
      </w:pPr>
      <w:r w:rsidRPr="0072531A">
        <w:t xml:space="preserve">Mukaratirwa, S., &amp; Gruys, E. (2003). </w:t>
      </w:r>
      <w:r w:rsidRPr="0072531A">
        <w:rPr>
          <w:i/>
          <w:iCs/>
        </w:rPr>
        <w:t>Canine transmissible venereal tumour: Immunobiology review.</w:t>
      </w:r>
      <w:r w:rsidRPr="0072531A">
        <w:t xml:space="preserve"> Veterinary Quarterly, 25(3), 101–111.</w:t>
      </w:r>
      <w:hyperlink r:id="rId166" w:history="1">
        <w:r w:rsidRPr="0072531A">
          <w:rPr>
            <w:rStyle w:val="-"/>
          </w:rPr>
          <w:t> </w:t>
        </w:r>
      </w:hyperlink>
    </w:p>
    <w:p w14:paraId="54529FD1" w14:textId="77777777" w:rsidR="0072531A" w:rsidRPr="0072531A" w:rsidRDefault="0072531A" w:rsidP="0072531A">
      <w:pPr>
        <w:jc w:val="both"/>
      </w:pPr>
      <w:r w:rsidRPr="0072531A">
        <w:t xml:space="preserve">Ostrander, E. A., Davis, B. W., &amp; Ostrander, G. K. (2016). </w:t>
      </w:r>
      <w:r w:rsidRPr="0072531A">
        <w:rPr>
          <w:i/>
          <w:iCs/>
        </w:rPr>
        <w:t>Transmissible tumors: Breaking the cancer paradigm.</w:t>
      </w:r>
      <w:r w:rsidRPr="0072531A">
        <w:t xml:space="preserve"> Trends in Genetics, 32(1), 1–15. </w:t>
      </w:r>
    </w:p>
    <w:p w14:paraId="00C9E554" w14:textId="77777777" w:rsidR="0072531A" w:rsidRPr="0072531A" w:rsidRDefault="0072531A" w:rsidP="0072531A">
      <w:pPr>
        <w:jc w:val="both"/>
      </w:pPr>
      <w:r w:rsidRPr="0072531A">
        <w:t xml:space="preserve">Quammen, D. (2008). </w:t>
      </w:r>
      <w:r w:rsidRPr="0072531A">
        <w:rPr>
          <w:i/>
          <w:iCs/>
        </w:rPr>
        <w:t>Contagious cancer.</w:t>
      </w:r>
      <w:r w:rsidRPr="0072531A">
        <w:t xml:space="preserve"> Harper’s Magazine, 34.</w:t>
      </w:r>
    </w:p>
    <w:p w14:paraId="5C6F772B" w14:textId="77777777" w:rsidR="0072531A" w:rsidRPr="0072531A" w:rsidRDefault="0072531A" w:rsidP="0072531A">
      <w:pPr>
        <w:jc w:val="both"/>
      </w:pPr>
      <w:r w:rsidRPr="0072531A">
        <w:t xml:space="preserve">Siddle, H., &amp; Kaufman, J. (2014). </w:t>
      </w:r>
      <w:r w:rsidRPr="0072531A">
        <w:rPr>
          <w:i/>
          <w:iCs/>
        </w:rPr>
        <w:t>Immunology of naturally transmissible tumours.</w:t>
      </w:r>
      <w:r w:rsidRPr="0072531A">
        <w:t xml:space="preserve"> Immunology, 144, 11–20.</w:t>
      </w:r>
      <w:hyperlink r:id="rId167" w:history="1">
        <w:r w:rsidRPr="0072531A">
          <w:rPr>
            <w:rStyle w:val="-"/>
          </w:rPr>
          <w:t> </w:t>
        </w:r>
      </w:hyperlink>
    </w:p>
    <w:p w14:paraId="3B3B9A8B" w14:textId="77777777" w:rsidR="0072531A" w:rsidRPr="0072531A" w:rsidRDefault="0072531A" w:rsidP="0072531A">
      <w:pPr>
        <w:jc w:val="both"/>
      </w:pPr>
      <w:r w:rsidRPr="0072531A">
        <w:t xml:space="preserve">Ujvari, B., Gatenby, R. A., &amp; Thomas, F. (2016). </w:t>
      </w:r>
      <w:r w:rsidRPr="0072531A">
        <w:rPr>
          <w:i/>
          <w:iCs/>
        </w:rPr>
        <w:t>The evolutionary ecology of transmissible cancers.</w:t>
      </w:r>
      <w:r w:rsidRPr="0072531A">
        <w:t xml:space="preserve"> Infection, Genetics and Evolution, 39, 293–303. </w:t>
      </w:r>
    </w:p>
    <w:p w14:paraId="78A49757" w14:textId="77777777" w:rsidR="0072531A" w:rsidRDefault="0072531A" w:rsidP="0072531A">
      <w:pPr>
        <w:jc w:val="both"/>
      </w:pPr>
      <w:r w:rsidRPr="0072531A">
        <w:t xml:space="preserve">Ujvari, B., Papenfuss, A. T., &amp; Belov, K. (2016). </w:t>
      </w:r>
      <w:r w:rsidRPr="0072531A">
        <w:rPr>
          <w:i/>
          <w:iCs/>
        </w:rPr>
        <w:t>Transmissible cancers in an evolutionary context.</w:t>
      </w:r>
      <w:r w:rsidRPr="0072531A">
        <w:t xml:space="preserve"> Inside the Cell, 1(1), 17–26. </w:t>
      </w:r>
    </w:p>
    <w:p w14:paraId="13B656FA" w14:textId="77777777" w:rsidR="003A16A9" w:rsidRDefault="003A16A9" w:rsidP="0072531A">
      <w:pPr>
        <w:jc w:val="both"/>
      </w:pPr>
    </w:p>
    <w:p w14:paraId="32DE3EA2" w14:textId="77777777" w:rsidR="003A16A9" w:rsidRDefault="003A16A9" w:rsidP="0072531A">
      <w:pPr>
        <w:jc w:val="both"/>
      </w:pPr>
    </w:p>
    <w:p w14:paraId="3DF3E524" w14:textId="77777777" w:rsidR="003A16A9" w:rsidRDefault="003A16A9" w:rsidP="0072531A">
      <w:pPr>
        <w:jc w:val="both"/>
      </w:pPr>
    </w:p>
    <w:p w14:paraId="34DF4431" w14:textId="77777777" w:rsidR="003A16A9" w:rsidRDefault="003A16A9" w:rsidP="0072531A">
      <w:pPr>
        <w:jc w:val="both"/>
      </w:pPr>
    </w:p>
    <w:p w14:paraId="03DA466B" w14:textId="77777777" w:rsidR="003A16A9" w:rsidRDefault="003A16A9" w:rsidP="0072531A">
      <w:pPr>
        <w:jc w:val="both"/>
      </w:pPr>
    </w:p>
    <w:p w14:paraId="20E88E55" w14:textId="77777777" w:rsidR="003A16A9" w:rsidRDefault="003A16A9" w:rsidP="0072531A">
      <w:pPr>
        <w:jc w:val="both"/>
      </w:pPr>
    </w:p>
    <w:p w14:paraId="3365A2BB" w14:textId="77777777" w:rsidR="003A16A9" w:rsidRDefault="003A16A9" w:rsidP="0072531A">
      <w:pPr>
        <w:jc w:val="both"/>
      </w:pPr>
    </w:p>
    <w:p w14:paraId="4B727361" w14:textId="77777777" w:rsidR="003A16A9" w:rsidRDefault="003A16A9" w:rsidP="0072531A">
      <w:pPr>
        <w:jc w:val="both"/>
      </w:pPr>
    </w:p>
    <w:p w14:paraId="0B5BAB41" w14:textId="77777777" w:rsidR="003A16A9" w:rsidRDefault="003A16A9" w:rsidP="0072531A">
      <w:pPr>
        <w:jc w:val="both"/>
      </w:pPr>
    </w:p>
    <w:p w14:paraId="7543D35F" w14:textId="77777777" w:rsidR="003A16A9" w:rsidRDefault="003A16A9" w:rsidP="0072531A">
      <w:pPr>
        <w:jc w:val="both"/>
      </w:pPr>
    </w:p>
    <w:p w14:paraId="0CCC858B" w14:textId="77777777" w:rsidR="003A16A9" w:rsidRDefault="003A16A9" w:rsidP="0072531A">
      <w:pPr>
        <w:jc w:val="both"/>
      </w:pPr>
    </w:p>
    <w:p w14:paraId="38999E53" w14:textId="77777777" w:rsidR="003A16A9" w:rsidRDefault="003A16A9" w:rsidP="0072531A">
      <w:pPr>
        <w:jc w:val="both"/>
      </w:pPr>
    </w:p>
    <w:p w14:paraId="6FDD5C0E" w14:textId="77777777" w:rsidR="003A16A9" w:rsidRDefault="003A16A9" w:rsidP="0072531A">
      <w:pPr>
        <w:jc w:val="both"/>
      </w:pPr>
    </w:p>
    <w:p w14:paraId="126DC05C" w14:textId="77777777" w:rsidR="003A16A9" w:rsidRDefault="003A16A9" w:rsidP="0072531A">
      <w:pPr>
        <w:jc w:val="both"/>
      </w:pPr>
    </w:p>
    <w:p w14:paraId="1FBAC565" w14:textId="77777777" w:rsidR="003A16A9" w:rsidRDefault="003A16A9" w:rsidP="0072531A">
      <w:pPr>
        <w:jc w:val="both"/>
      </w:pPr>
    </w:p>
    <w:p w14:paraId="606DF2BF" w14:textId="77777777" w:rsidR="003A16A9" w:rsidRDefault="003A16A9" w:rsidP="0072531A">
      <w:pPr>
        <w:jc w:val="both"/>
      </w:pPr>
    </w:p>
    <w:p w14:paraId="11B792A2" w14:textId="77777777" w:rsidR="003A16A9" w:rsidRDefault="003A16A9" w:rsidP="0072531A">
      <w:pPr>
        <w:jc w:val="both"/>
      </w:pPr>
    </w:p>
    <w:p w14:paraId="530896C1" w14:textId="77777777" w:rsidR="003A16A9" w:rsidRPr="0072531A" w:rsidRDefault="003A16A9" w:rsidP="0072531A">
      <w:pPr>
        <w:jc w:val="both"/>
      </w:pPr>
    </w:p>
    <w:p w14:paraId="5D4EE46F" w14:textId="77777777" w:rsidR="0072531A" w:rsidRPr="0072531A" w:rsidRDefault="0072531A" w:rsidP="0072531A">
      <w:pPr>
        <w:jc w:val="both"/>
      </w:pPr>
      <w:r w:rsidRPr="0072531A">
        <w:rPr>
          <w:b/>
          <w:bCs/>
        </w:rPr>
        <w:lastRenderedPageBreak/>
        <w:t>Brachycephalic Obstructive Airway Syndrome (B.O.A.S.)</w:t>
      </w:r>
    </w:p>
    <w:p w14:paraId="71C9B4B0" w14:textId="21D519C2" w:rsidR="0072531A" w:rsidRPr="002617A2" w:rsidRDefault="0072531A" w:rsidP="0072531A">
      <w:pPr>
        <w:jc w:val="both"/>
      </w:pPr>
      <w:r w:rsidRPr="0072531A">
        <w:t>Ευθυμιάδη Εφραιμία</w:t>
      </w:r>
      <w:r w:rsidRPr="0072531A">
        <w:rPr>
          <w:vertAlign w:val="superscript"/>
        </w:rPr>
        <w:t>1</w:t>
      </w:r>
      <w:r w:rsidRPr="0072531A">
        <w:t>,</w:t>
      </w:r>
      <w:r w:rsidRPr="0072531A">
        <w:rPr>
          <w:vertAlign w:val="superscript"/>
        </w:rPr>
        <w:t xml:space="preserve"> </w:t>
      </w:r>
      <w:r w:rsidRPr="0072531A">
        <w:t>Καπετανάκης Λεωνίδας</w:t>
      </w:r>
      <w:r w:rsidRPr="0072531A">
        <w:rPr>
          <w:vertAlign w:val="superscript"/>
        </w:rPr>
        <w:t>1</w:t>
      </w:r>
      <w:r w:rsidRPr="0072531A">
        <w:t xml:space="preserve">, </w:t>
      </w:r>
      <w:r w:rsidRPr="0072531A">
        <w:rPr>
          <w:vertAlign w:val="superscript"/>
        </w:rPr>
        <w:t> </w:t>
      </w:r>
      <w:r w:rsidRPr="0072531A">
        <w:t>Καψοκέφαλου Ιωάννα</w:t>
      </w:r>
      <w:r w:rsidRPr="0072531A">
        <w:rPr>
          <w:vertAlign w:val="superscript"/>
        </w:rPr>
        <w:t>1</w:t>
      </w:r>
      <w:r w:rsidRPr="0072531A">
        <w:t>, Τσιώλη Βασιλική</w:t>
      </w:r>
      <w:r w:rsidRPr="0072531A">
        <w:rPr>
          <w:vertAlign w:val="superscript"/>
        </w:rPr>
        <w:t>2</w:t>
      </w:r>
    </w:p>
    <w:p w14:paraId="6225AE69" w14:textId="77777777" w:rsidR="0072531A" w:rsidRPr="0072531A" w:rsidRDefault="0072531A">
      <w:pPr>
        <w:numPr>
          <w:ilvl w:val="0"/>
          <w:numId w:val="128"/>
        </w:numPr>
        <w:jc w:val="both"/>
      </w:pPr>
      <w:r w:rsidRPr="0072531A">
        <w:t>Προπτυχιακός/-ή φοιτητής/-τρια, Τμήμα Κτηνιατρικής, Σχολή Επιστημών Υγείας, Πανεπιστήμιο Θεσσαλίας.</w:t>
      </w:r>
    </w:p>
    <w:p w14:paraId="5AA0D054" w14:textId="77777777" w:rsidR="0072531A" w:rsidRPr="0072531A" w:rsidRDefault="0072531A">
      <w:pPr>
        <w:numPr>
          <w:ilvl w:val="0"/>
          <w:numId w:val="128"/>
        </w:numPr>
        <w:jc w:val="both"/>
      </w:pPr>
      <w:r w:rsidRPr="0072531A">
        <w:t>Καθηγήτρια, Τμήμα Κτηνιατρικής, Σχολή Επιστημών Υγείας, Πανεπιστήμιο Θεσσαλίας.</w:t>
      </w:r>
    </w:p>
    <w:p w14:paraId="66650CB7" w14:textId="77777777" w:rsidR="0072531A" w:rsidRPr="0072531A" w:rsidRDefault="0072531A" w:rsidP="0072531A">
      <w:pPr>
        <w:jc w:val="both"/>
      </w:pPr>
    </w:p>
    <w:p w14:paraId="4DA5BF64" w14:textId="77777777" w:rsidR="0072531A" w:rsidRPr="0072531A" w:rsidRDefault="0072531A" w:rsidP="0072531A">
      <w:pPr>
        <w:jc w:val="both"/>
      </w:pPr>
      <w:r w:rsidRPr="0072531A">
        <w:rPr>
          <w:b/>
          <w:bCs/>
        </w:rPr>
        <w:t>Περίληψη</w:t>
      </w:r>
    </w:p>
    <w:p w14:paraId="6AAC4348" w14:textId="77777777" w:rsidR="0072531A" w:rsidRPr="0072531A" w:rsidRDefault="0072531A" w:rsidP="0072531A">
      <w:pPr>
        <w:jc w:val="both"/>
      </w:pPr>
      <w:r w:rsidRPr="0072531A">
        <w:t>Στην συγκεκριμένη αναρτημένη ανακοίνωση αναλύεται το σύνδρομο των βραχυκεφαλικών φυλών σε σκύλο και γάτα (Brachycephalic Obstructive Airway Syndrome, BOAS), μια πολυπαραγοντική παθολογική κατάσταση που οφείλεται σε ανατομικές ανωμαλίες των ανώτερων αεραγωγών. Αναλύονται οι κυριότερες παθολογικές αλλοιώσεις, όπως η στένωση ρινικών κοιλοτήτων, η επιμήκυνση της μαλακής υπερώας, η υποπλασία τραχείας και η εκστροφή λαρυγγικών κοιλοτήτων καθώς και η προοδευτική επιδείνωση λόγω χρόνιας αυξημένης αντίστασης στη ροή του αέρα. Στη συνέχεια, παρουσιάζονται τα κλινικά συμπτώματα, τα οποία περιλαμβάνουν δύσπνοια, θορυβώδη αναπνοή, μειωμένη αντοχή στην άσκηση και πιθανές οξείες κρίσεις αναπνευστικής δυσχέρειας ιδιαίτερα σε συνθήκες θερμικού στρες. Η διάγνωση βασίζεται στη λήψη ιστορικού, την κλινική εξέταση και συμπληρωματικές διαγνωστικές μεθόδους. Η θεραπευτική προσέγγιση περιλαμβάνει συντηρητικά μέτρα, όπως έλεγχο σωματικού βάρους και αποφυγή εκλυτικών παραγόντων, καθώς και χειρουργική αντιμετώπιση με τεχνικές όπως η ρινοπλαστική, η εκτομή της μαλακής υπερώας και η λαρυγγοπλαστική. Τέλος, επισημαίνεται η σημασία της έγκαιρης παρέμβασης για τη βελτίωση της ποιότητας ζωής και της πρόγνωσης των ζώων.</w:t>
      </w:r>
    </w:p>
    <w:p w14:paraId="6D9E06D5" w14:textId="77777777" w:rsidR="0072531A" w:rsidRPr="0072531A" w:rsidRDefault="0072531A" w:rsidP="0072531A">
      <w:pPr>
        <w:jc w:val="both"/>
      </w:pPr>
    </w:p>
    <w:p w14:paraId="627905E0" w14:textId="77777777" w:rsidR="0072531A" w:rsidRPr="0072531A" w:rsidRDefault="0072531A" w:rsidP="0072531A">
      <w:pPr>
        <w:jc w:val="both"/>
      </w:pPr>
      <w:r w:rsidRPr="0072531A">
        <w:rPr>
          <w:b/>
          <w:bCs/>
        </w:rPr>
        <w:t>Βιβλιογραφία</w:t>
      </w:r>
    </w:p>
    <w:p w14:paraId="57E33CD0" w14:textId="77777777" w:rsidR="0072531A" w:rsidRPr="0072531A" w:rsidRDefault="0072531A" w:rsidP="0072531A">
      <w:pPr>
        <w:jc w:val="both"/>
      </w:pPr>
      <w:r w:rsidRPr="0072531A">
        <w:t xml:space="preserve">Cambridge Veterinary School. (2016). </w:t>
      </w:r>
      <w:r w:rsidRPr="0072531A">
        <w:rPr>
          <w:i/>
          <w:iCs/>
        </w:rPr>
        <w:t>Respiratory function study</w:t>
      </w:r>
      <w:r w:rsidRPr="0072531A">
        <w:t>. Department of Veterinary Medicine.</w:t>
      </w:r>
      <w:hyperlink r:id="rId168" w:history="1">
        <w:r w:rsidRPr="0072531A">
          <w:rPr>
            <w:rStyle w:val="-"/>
          </w:rPr>
          <w:t xml:space="preserve"> https://www.vet.cam.ac.uk/boas/research/respiratory-function-study</w:t>
        </w:r>
      </w:hyperlink>
    </w:p>
    <w:p w14:paraId="43A0DA9E" w14:textId="77777777" w:rsidR="0072531A" w:rsidRPr="0072531A" w:rsidRDefault="0072531A" w:rsidP="0072531A">
      <w:pPr>
        <w:jc w:val="both"/>
      </w:pPr>
      <w:r w:rsidRPr="0072531A">
        <w:t xml:space="preserve">Cambridge Veterinary School. (n.d.-a). </w:t>
      </w:r>
      <w:r w:rsidRPr="0072531A">
        <w:rPr>
          <w:i/>
          <w:iCs/>
        </w:rPr>
        <w:t>Recognition &amp; diagnosis</w:t>
      </w:r>
      <w:r w:rsidRPr="0072531A">
        <w:t>. Department of Veterinary Medicine.</w:t>
      </w:r>
      <w:hyperlink r:id="rId169" w:history="1">
        <w:r w:rsidRPr="0072531A">
          <w:rPr>
            <w:rStyle w:val="-"/>
          </w:rPr>
          <w:t xml:space="preserve"> https://www.vet.cam.ac.uk/boas/about-boas/recognition-diagnosis</w:t>
        </w:r>
      </w:hyperlink>
    </w:p>
    <w:p w14:paraId="0CEFBE30" w14:textId="77777777" w:rsidR="0072531A" w:rsidRPr="0072531A" w:rsidRDefault="0072531A" w:rsidP="0072531A">
      <w:pPr>
        <w:jc w:val="both"/>
      </w:pPr>
      <w:r w:rsidRPr="0072531A">
        <w:t>Cambridge Veterinary School. (n.d.-b). [</w:t>
      </w:r>
      <w:r w:rsidRPr="0072531A">
        <w:rPr>
          <w:i/>
          <w:iCs/>
        </w:rPr>
        <w:t>Small chamber</w:t>
      </w:r>
      <w:r w:rsidRPr="0072531A">
        <w:t>] [Photograph]. Department of Veterinary Medicine.</w:t>
      </w:r>
      <w:hyperlink r:id="rId170" w:history="1">
        <w:r w:rsidRPr="0072531A">
          <w:rPr>
            <w:rStyle w:val="-"/>
          </w:rPr>
          <w:t xml:space="preserve"> https://www.vet.cam.ac.uk/files/media/SmallChamber.JPG.jpg</w:t>
        </w:r>
      </w:hyperlink>
    </w:p>
    <w:p w14:paraId="645FE24B" w14:textId="77777777" w:rsidR="0072531A" w:rsidRPr="0072531A" w:rsidRDefault="0072531A" w:rsidP="0072531A">
      <w:pPr>
        <w:jc w:val="both"/>
      </w:pPr>
      <w:r w:rsidRPr="0072531A">
        <w:t xml:space="preserve">Dupré, G., &amp; Heidenreich, D. (2016). </w:t>
      </w:r>
      <w:r w:rsidRPr="0072531A">
        <w:rPr>
          <w:i/>
          <w:iCs/>
        </w:rPr>
        <w:t>Brachycephalic syndrome.</w:t>
      </w:r>
      <w:r w:rsidRPr="0072531A">
        <w:t xml:space="preserve"> Veterinary Clinics of North America: Small Animal Practice, 46(4), 691–707.</w:t>
      </w:r>
      <w:hyperlink r:id="rId171" w:history="1">
        <w:r w:rsidRPr="0072531A">
          <w:rPr>
            <w:rStyle w:val="-"/>
          </w:rPr>
          <w:t> </w:t>
        </w:r>
      </w:hyperlink>
    </w:p>
    <w:p w14:paraId="4D79538D" w14:textId="77777777" w:rsidR="0072531A" w:rsidRPr="0072531A" w:rsidRDefault="0072531A" w:rsidP="0072531A">
      <w:pPr>
        <w:jc w:val="both"/>
      </w:pPr>
      <w:r w:rsidRPr="0072531A">
        <w:t xml:space="preserve">Ladlow, J. (2021). </w:t>
      </w:r>
      <w:r w:rsidRPr="0072531A">
        <w:rPr>
          <w:i/>
          <w:iCs/>
        </w:rPr>
        <w:t>Brachycephalic obstructive airway syndrome: Guide to the respiratory functional grading scheme.</w:t>
      </w:r>
      <w:r w:rsidRPr="0072531A">
        <w:t xml:space="preserve"> In Practice, 43(10), 548–555.</w:t>
      </w:r>
      <w:hyperlink r:id="rId172" w:history="1">
        <w:r w:rsidRPr="0072531A">
          <w:rPr>
            <w:rStyle w:val="-"/>
          </w:rPr>
          <w:t> </w:t>
        </w:r>
      </w:hyperlink>
    </w:p>
    <w:p w14:paraId="42872F2D" w14:textId="77777777" w:rsidR="0072531A" w:rsidRPr="0072531A" w:rsidRDefault="0072531A" w:rsidP="0072531A">
      <w:pPr>
        <w:jc w:val="both"/>
      </w:pPr>
      <w:r w:rsidRPr="0072531A">
        <w:t xml:space="preserve">Ladlow, J., Liu, N. C., Kalmar, L., &amp; Sargan, D. (2018). </w:t>
      </w:r>
      <w:r w:rsidRPr="0072531A">
        <w:rPr>
          <w:i/>
          <w:iCs/>
        </w:rPr>
        <w:t xml:space="preserve">Brachycephalic obstructive airway syndrome. </w:t>
      </w:r>
      <w:r w:rsidRPr="0072531A">
        <w:t>Veterinary Record, 182(13), 375–378.</w:t>
      </w:r>
      <w:hyperlink r:id="rId173" w:history="1">
        <w:r w:rsidRPr="0072531A">
          <w:rPr>
            <w:rStyle w:val="-"/>
          </w:rPr>
          <w:t> </w:t>
        </w:r>
      </w:hyperlink>
    </w:p>
    <w:p w14:paraId="57299ADA" w14:textId="77777777" w:rsidR="0072531A" w:rsidRPr="0072531A" w:rsidRDefault="0072531A" w:rsidP="0072531A">
      <w:pPr>
        <w:jc w:val="both"/>
      </w:pPr>
      <w:r w:rsidRPr="0072531A">
        <w:t xml:space="preserve">Lindsay, B., Cook, D., Wetzel, J. M., Siess, S., &amp; Moses, P. (2020). </w:t>
      </w:r>
      <w:r w:rsidRPr="0072531A">
        <w:rPr>
          <w:i/>
          <w:iCs/>
        </w:rPr>
        <w:t>Brachycephalic airway syndrome: Management of post-operative respiratory complications in 248 dogs.</w:t>
      </w:r>
      <w:r w:rsidRPr="0072531A">
        <w:t xml:space="preserve"> Australian Veterinary Journal, 98(5), 173–180.</w:t>
      </w:r>
      <w:hyperlink r:id="rId174" w:history="1">
        <w:r w:rsidRPr="0072531A">
          <w:rPr>
            <w:rStyle w:val="-"/>
          </w:rPr>
          <w:t> </w:t>
        </w:r>
      </w:hyperlink>
    </w:p>
    <w:p w14:paraId="72267E4D" w14:textId="77777777" w:rsidR="0072531A" w:rsidRPr="0072531A" w:rsidRDefault="0072531A" w:rsidP="0072531A">
      <w:pPr>
        <w:jc w:val="both"/>
      </w:pPr>
      <w:r w:rsidRPr="0072531A">
        <w:lastRenderedPageBreak/>
        <w:t xml:space="preserve">Mitze, S., Barrs, V. R., Beatty, J. A., Hobi, S., &amp; Bęczkowski, P. M. (2022). </w:t>
      </w:r>
      <w:r w:rsidRPr="0072531A">
        <w:rPr>
          <w:i/>
          <w:iCs/>
        </w:rPr>
        <w:t>Brachycephalic obstructive airway syndrome: Much more than a surgical problem.</w:t>
      </w:r>
      <w:r w:rsidRPr="0072531A">
        <w:t xml:space="preserve"> Veterinary Quarterly, 42(1), 213–223.</w:t>
      </w:r>
    </w:p>
    <w:p w14:paraId="49C83966" w14:textId="77777777" w:rsidR="0072531A" w:rsidRPr="0072531A" w:rsidRDefault="0072531A" w:rsidP="0072531A">
      <w:pPr>
        <w:jc w:val="both"/>
      </w:pPr>
      <w:r w:rsidRPr="0072531A">
        <w:t xml:space="preserve">Monnet, E. (2024). </w:t>
      </w:r>
      <w:r w:rsidRPr="0072531A">
        <w:rPr>
          <w:i/>
          <w:iCs/>
        </w:rPr>
        <w:t>Χειρουργική μαλακών ιστών των μικρών ζώων</w:t>
      </w:r>
      <w:r w:rsidRPr="0072531A">
        <w:t xml:space="preserve"> [Small animal soft tissue surgery] (2η έκδ.). Εκδόσεις Ροτόντα.</w:t>
      </w:r>
    </w:p>
    <w:p w14:paraId="214EC769" w14:textId="77777777" w:rsidR="0072531A" w:rsidRPr="0072531A" w:rsidRDefault="0072531A" w:rsidP="0072531A">
      <w:pPr>
        <w:jc w:val="both"/>
      </w:pPr>
      <w:r w:rsidRPr="0072531A">
        <w:t xml:space="preserve">Wallace, M. L. (2024). </w:t>
      </w:r>
      <w:r w:rsidRPr="0072531A">
        <w:rPr>
          <w:i/>
          <w:iCs/>
        </w:rPr>
        <w:t>Surgical management of brachycephalic obstructive airway syndrome: An update on options and outcomes.</w:t>
      </w:r>
      <w:r w:rsidRPr="0072531A">
        <w:t xml:space="preserve"> Veterinary Surgery, 53(7), 1173–1184.</w:t>
      </w:r>
      <w:hyperlink r:id="rId175" w:history="1">
        <w:r w:rsidRPr="0072531A">
          <w:rPr>
            <w:rStyle w:val="-"/>
          </w:rPr>
          <w:t> </w:t>
        </w:r>
      </w:hyperlink>
    </w:p>
    <w:p w14:paraId="6644DA50" w14:textId="77777777" w:rsidR="0072531A" w:rsidRPr="002617A2" w:rsidRDefault="0072531A" w:rsidP="0072531A">
      <w:pPr>
        <w:jc w:val="both"/>
      </w:pPr>
      <w:r w:rsidRPr="0072531A">
        <w:t xml:space="preserve">Χατζής, Μ. Κ. (2020). </w:t>
      </w:r>
      <w:r w:rsidRPr="0072531A">
        <w:rPr>
          <w:i/>
          <w:iCs/>
        </w:rPr>
        <w:t>Σύνδρομο ανώτερης αναπνευστικής οδού των βραχυκεφαλικών σκύλων</w:t>
      </w:r>
      <w:r w:rsidRPr="0072531A">
        <w:t xml:space="preserve">. eClass Πανεπιστημίου Θεσσαλίας. </w:t>
      </w:r>
    </w:p>
    <w:p w14:paraId="3BD9A0D7" w14:textId="77777777" w:rsidR="003A16A9" w:rsidRPr="002617A2" w:rsidRDefault="003A16A9" w:rsidP="0072531A">
      <w:pPr>
        <w:jc w:val="both"/>
      </w:pPr>
    </w:p>
    <w:p w14:paraId="356DD311" w14:textId="77777777" w:rsidR="003A16A9" w:rsidRPr="002617A2" w:rsidRDefault="003A16A9" w:rsidP="0072531A">
      <w:pPr>
        <w:jc w:val="both"/>
      </w:pPr>
    </w:p>
    <w:p w14:paraId="2E5ADDA9" w14:textId="77777777" w:rsidR="003A16A9" w:rsidRPr="002617A2" w:rsidRDefault="003A16A9" w:rsidP="0072531A">
      <w:pPr>
        <w:jc w:val="both"/>
      </w:pPr>
    </w:p>
    <w:p w14:paraId="7DEF46D0" w14:textId="77777777" w:rsidR="003A16A9" w:rsidRPr="002617A2" w:rsidRDefault="003A16A9" w:rsidP="0072531A">
      <w:pPr>
        <w:jc w:val="both"/>
      </w:pPr>
    </w:p>
    <w:p w14:paraId="4A68C2D9" w14:textId="77777777" w:rsidR="003A16A9" w:rsidRPr="002617A2" w:rsidRDefault="003A16A9" w:rsidP="0072531A">
      <w:pPr>
        <w:jc w:val="both"/>
      </w:pPr>
    </w:p>
    <w:p w14:paraId="35B74B30" w14:textId="77777777" w:rsidR="003A16A9" w:rsidRPr="002617A2" w:rsidRDefault="003A16A9" w:rsidP="0072531A">
      <w:pPr>
        <w:jc w:val="both"/>
      </w:pPr>
    </w:p>
    <w:p w14:paraId="5C115C94" w14:textId="77777777" w:rsidR="003A16A9" w:rsidRPr="002617A2" w:rsidRDefault="003A16A9" w:rsidP="0072531A">
      <w:pPr>
        <w:jc w:val="both"/>
      </w:pPr>
    </w:p>
    <w:p w14:paraId="6D293CCA" w14:textId="77777777" w:rsidR="003A16A9" w:rsidRPr="002617A2" w:rsidRDefault="003A16A9" w:rsidP="0072531A">
      <w:pPr>
        <w:jc w:val="both"/>
      </w:pPr>
    </w:p>
    <w:p w14:paraId="50A5DA96" w14:textId="77777777" w:rsidR="003A16A9" w:rsidRPr="002617A2" w:rsidRDefault="003A16A9" w:rsidP="0072531A">
      <w:pPr>
        <w:jc w:val="both"/>
      </w:pPr>
    </w:p>
    <w:p w14:paraId="208B514D" w14:textId="77777777" w:rsidR="003A16A9" w:rsidRPr="002617A2" w:rsidRDefault="003A16A9" w:rsidP="0072531A">
      <w:pPr>
        <w:jc w:val="both"/>
      </w:pPr>
    </w:p>
    <w:p w14:paraId="66DB84E6" w14:textId="77777777" w:rsidR="003A16A9" w:rsidRPr="002617A2" w:rsidRDefault="003A16A9" w:rsidP="0072531A">
      <w:pPr>
        <w:jc w:val="both"/>
      </w:pPr>
    </w:p>
    <w:p w14:paraId="53D87A8E" w14:textId="77777777" w:rsidR="003A16A9" w:rsidRPr="002617A2" w:rsidRDefault="003A16A9" w:rsidP="0072531A">
      <w:pPr>
        <w:jc w:val="both"/>
      </w:pPr>
    </w:p>
    <w:p w14:paraId="36EE31B0" w14:textId="77777777" w:rsidR="003A16A9" w:rsidRPr="002617A2" w:rsidRDefault="003A16A9" w:rsidP="0072531A">
      <w:pPr>
        <w:jc w:val="both"/>
      </w:pPr>
    </w:p>
    <w:p w14:paraId="567EE18A" w14:textId="77777777" w:rsidR="003A16A9" w:rsidRPr="002617A2" w:rsidRDefault="003A16A9" w:rsidP="0072531A">
      <w:pPr>
        <w:jc w:val="both"/>
      </w:pPr>
    </w:p>
    <w:p w14:paraId="67257F1B" w14:textId="77777777" w:rsidR="003A16A9" w:rsidRPr="002617A2" w:rsidRDefault="003A16A9" w:rsidP="0072531A">
      <w:pPr>
        <w:jc w:val="both"/>
      </w:pPr>
    </w:p>
    <w:p w14:paraId="6376E08E" w14:textId="77777777" w:rsidR="003A16A9" w:rsidRPr="002617A2" w:rsidRDefault="003A16A9" w:rsidP="0072531A">
      <w:pPr>
        <w:jc w:val="both"/>
      </w:pPr>
    </w:p>
    <w:p w14:paraId="04CE30E0" w14:textId="77777777" w:rsidR="003A16A9" w:rsidRPr="002617A2" w:rsidRDefault="003A16A9" w:rsidP="0072531A">
      <w:pPr>
        <w:jc w:val="both"/>
      </w:pPr>
    </w:p>
    <w:p w14:paraId="27AFE925" w14:textId="77777777" w:rsidR="003A16A9" w:rsidRPr="002617A2" w:rsidRDefault="003A16A9" w:rsidP="0072531A">
      <w:pPr>
        <w:jc w:val="both"/>
      </w:pPr>
    </w:p>
    <w:p w14:paraId="0A23C6A0" w14:textId="77777777" w:rsidR="003A16A9" w:rsidRPr="002617A2" w:rsidRDefault="003A16A9" w:rsidP="0072531A">
      <w:pPr>
        <w:jc w:val="both"/>
      </w:pPr>
    </w:p>
    <w:p w14:paraId="04186139" w14:textId="77777777" w:rsidR="003A16A9" w:rsidRPr="002617A2" w:rsidRDefault="003A16A9" w:rsidP="0072531A">
      <w:pPr>
        <w:jc w:val="both"/>
      </w:pPr>
    </w:p>
    <w:p w14:paraId="2E089406" w14:textId="77777777" w:rsidR="003A16A9" w:rsidRPr="002617A2" w:rsidRDefault="003A16A9" w:rsidP="0072531A">
      <w:pPr>
        <w:jc w:val="both"/>
      </w:pPr>
    </w:p>
    <w:p w14:paraId="5EC34E8A" w14:textId="77777777" w:rsidR="003A16A9" w:rsidRPr="002617A2" w:rsidRDefault="003A16A9" w:rsidP="0072531A">
      <w:pPr>
        <w:jc w:val="both"/>
      </w:pPr>
    </w:p>
    <w:p w14:paraId="3D43C981" w14:textId="77777777" w:rsidR="003A16A9" w:rsidRPr="002617A2" w:rsidRDefault="003A16A9" w:rsidP="0072531A">
      <w:pPr>
        <w:jc w:val="both"/>
      </w:pPr>
    </w:p>
    <w:p w14:paraId="59A08E2E" w14:textId="77777777" w:rsidR="003A16A9" w:rsidRPr="002617A2" w:rsidRDefault="003A16A9" w:rsidP="0072531A">
      <w:pPr>
        <w:jc w:val="both"/>
      </w:pPr>
    </w:p>
    <w:p w14:paraId="7A7820BA" w14:textId="77777777" w:rsidR="0072531A" w:rsidRPr="0072531A" w:rsidRDefault="0072531A" w:rsidP="0072531A">
      <w:pPr>
        <w:jc w:val="both"/>
      </w:pPr>
      <w:r w:rsidRPr="0072531A">
        <w:rPr>
          <w:b/>
          <w:bCs/>
        </w:rPr>
        <w:lastRenderedPageBreak/>
        <w:t>Αρσενικό ή θηλυκό; Έχει τελικά σημασία το φύλο στον πειραματικό σχεδιασμό;</w:t>
      </w:r>
    </w:p>
    <w:p w14:paraId="6D8C6E76" w14:textId="77777777" w:rsidR="0072531A" w:rsidRPr="0072531A" w:rsidRDefault="0072531A" w:rsidP="0072531A">
      <w:pPr>
        <w:jc w:val="both"/>
      </w:pPr>
      <w:r w:rsidRPr="0072531A">
        <w:t>Γαβριηλίδου Μαρία-Μαγδαληνή</w:t>
      </w:r>
      <w:r w:rsidRPr="0072531A">
        <w:rPr>
          <w:vertAlign w:val="superscript"/>
        </w:rPr>
        <w:t>1</w:t>
      </w:r>
      <w:r w:rsidRPr="0072531A">
        <w:t>, Μαμώλος Παναγιώτης</w:t>
      </w:r>
      <w:r w:rsidRPr="0072531A">
        <w:rPr>
          <w:vertAlign w:val="superscript"/>
        </w:rPr>
        <w:t>1</w:t>
      </w:r>
      <w:r w:rsidRPr="0072531A">
        <w:t>, Ιωάννης Ε. Μαργαρίτης</w:t>
      </w:r>
      <w:r w:rsidRPr="0072531A">
        <w:rPr>
          <w:vertAlign w:val="superscript"/>
        </w:rPr>
        <w:t>2</w:t>
      </w:r>
    </w:p>
    <w:p w14:paraId="3F769E7A" w14:textId="77777777" w:rsidR="0072531A" w:rsidRPr="0072531A" w:rsidRDefault="0072531A">
      <w:pPr>
        <w:numPr>
          <w:ilvl w:val="0"/>
          <w:numId w:val="129"/>
        </w:numPr>
        <w:jc w:val="both"/>
      </w:pPr>
      <w:r w:rsidRPr="0072531A">
        <w:t>Προπτυχιακή/-ος φοιτήτρια/-ης , Τμήμα Κτηνιατρικής, Σχολή Επιστημών Υγείας, Αριστοτέλειο Πανεπιστήμιο Θεσσαλονίκης. </w:t>
      </w:r>
    </w:p>
    <w:p w14:paraId="44AA80AB" w14:textId="77777777" w:rsidR="0072531A" w:rsidRPr="003A16A9" w:rsidRDefault="0072531A">
      <w:pPr>
        <w:numPr>
          <w:ilvl w:val="0"/>
          <w:numId w:val="129"/>
        </w:numPr>
        <w:jc w:val="both"/>
      </w:pPr>
      <w:r w:rsidRPr="0072531A">
        <w:t>Εντεταλμένος διδάσκων και μεταδιδακτορικός ερευνητής, Εργαστήριο Φυσιολογίας, Τμήμα Κτηνιατρικής, Σχολή Επιστημών Υγείας, Αριστοτέλειο Πανεπιστήμιο Θεσσαλονίκης. </w:t>
      </w:r>
    </w:p>
    <w:p w14:paraId="3DCE4433" w14:textId="77777777" w:rsidR="003A16A9" w:rsidRPr="0072531A" w:rsidRDefault="003A16A9" w:rsidP="003A16A9">
      <w:pPr>
        <w:ind w:left="720"/>
        <w:jc w:val="both"/>
      </w:pPr>
    </w:p>
    <w:p w14:paraId="5C16EB7F" w14:textId="77777777" w:rsidR="0072531A" w:rsidRPr="0072531A" w:rsidRDefault="0072531A" w:rsidP="0072531A">
      <w:pPr>
        <w:jc w:val="both"/>
      </w:pPr>
      <w:r w:rsidRPr="0072531A">
        <w:rPr>
          <w:b/>
          <w:bCs/>
        </w:rPr>
        <w:t>Περίληψη</w:t>
      </w:r>
    </w:p>
    <w:p w14:paraId="76555CFF" w14:textId="77777777" w:rsidR="0072531A" w:rsidRPr="0072531A" w:rsidRDefault="0072531A" w:rsidP="0072531A">
      <w:pPr>
        <w:jc w:val="both"/>
      </w:pPr>
      <w:r w:rsidRPr="0072531A">
        <w:t>Η προτίμηση της χρήσης αρσενικών ζώων εργαστηρίου για την διεξαγωγή πειραματικών πρωτοκόλλων σε προκλινικές μελέτες αποτελεί ένα διαχρονικό και συστημικό πρόβλημα. Αυτό οφείλεται στην ευρέως διαδεδομένη άποψη πως τα θηλυκά ζώα παρουσιάζουν αυξημένη βιολογική μεταβλητότητα λόγω του οιστρικού τους κύκλου, η οποία θα επηρεάσει και τα αποτελέσματα του πειράματος, ειδικά αν σχετίζονται με τον μεταβολισμό. Ένα ακόμη επιχείρημα που χρησιμοποιείται είναι ότι η χρήση θηλυκών ζώων θα αυξήσει το κόστος της έρευνας, διότι θα χρειαστεί να γίνει ταξινόμηση των ζώων με βάση το στάδιο του οιστρικού τους κύκλου. Ωστόσο, διάφορες έρευνες και μελέτες μετα-ανάλυσης αποδεικνύουν πως αυτή η πεποίθηση είναι αβάσιμη για κάποια είδη πειραματικών πρωτοκόλλων και, επιπλέον, υποστηρίζεται ότι με την συμπερίληψη μόνο του ενός φύλου δημιουργούνται επιστημονικά κενά σχετικά με την μελέτη της παθογένειας διαφόρων ασθενειών. Έναντι του ζητήματος πήρε θέση και ο οργανισμός National Institutes of Health (NIH), εκδίδοντας οδηγίες για την ένταξη θηλυκών ζώων και αναφορά του φύλου στα πειράματα. Στόχος της συγκεκριμένης εργασίας είναι η διερεύνηση των ειδών των πειραματικών πρωτοκόλλων στα οποία μπορούν να ενταχθούν ή είναι απαραίτητη η χρήση των θηλυκών ζώων εργαστηρίου με αξιόπιστο τρόπο.</w:t>
      </w:r>
    </w:p>
    <w:p w14:paraId="43DD9820" w14:textId="77777777" w:rsidR="0072531A" w:rsidRPr="0072531A" w:rsidRDefault="0072531A" w:rsidP="0072531A">
      <w:pPr>
        <w:jc w:val="both"/>
      </w:pPr>
    </w:p>
    <w:p w14:paraId="2721D646" w14:textId="77777777" w:rsidR="0072531A" w:rsidRPr="0072531A" w:rsidRDefault="0072531A" w:rsidP="0072531A">
      <w:pPr>
        <w:jc w:val="both"/>
      </w:pPr>
      <w:r w:rsidRPr="0072531A">
        <w:rPr>
          <w:b/>
          <w:bCs/>
        </w:rPr>
        <w:t>Βιβλιογραφία</w:t>
      </w:r>
    </w:p>
    <w:p w14:paraId="5825FC51" w14:textId="77777777" w:rsidR="0072531A" w:rsidRPr="0072531A" w:rsidRDefault="0072531A" w:rsidP="0072531A">
      <w:pPr>
        <w:jc w:val="both"/>
      </w:pPr>
      <w:r w:rsidRPr="0072531A">
        <w:t xml:space="preserve">Allegra, S., Chiara, F., Di Grazia, D., Gaspari, M., &amp; De Francia, S. (2023). </w:t>
      </w:r>
      <w:r w:rsidRPr="0072531A">
        <w:rPr>
          <w:i/>
          <w:iCs/>
        </w:rPr>
        <w:t>Evaluation of sex differences in preclinical pharmacology research: How far is left to go?</w:t>
      </w:r>
      <w:r w:rsidRPr="0072531A">
        <w:t xml:space="preserve"> Pharmaceuticals, 16(6), 786.</w:t>
      </w:r>
      <w:hyperlink r:id="rId176" w:history="1">
        <w:r w:rsidRPr="0072531A">
          <w:rPr>
            <w:rStyle w:val="-"/>
          </w:rPr>
          <w:t> </w:t>
        </w:r>
      </w:hyperlink>
    </w:p>
    <w:p w14:paraId="444D94CE" w14:textId="77777777" w:rsidR="0072531A" w:rsidRPr="0072531A" w:rsidRDefault="0072531A" w:rsidP="0072531A">
      <w:pPr>
        <w:jc w:val="both"/>
      </w:pPr>
      <w:r w:rsidRPr="0072531A">
        <w:t xml:space="preserve">Becker, J. B., Prendergast, B. J., &amp; Liang, J. W. (2016). </w:t>
      </w:r>
      <w:r w:rsidRPr="0072531A">
        <w:rPr>
          <w:i/>
          <w:iCs/>
        </w:rPr>
        <w:t>Female rats are not more variable than male rats: A meta-analysis of neuroscience studies.</w:t>
      </w:r>
      <w:r w:rsidRPr="0072531A">
        <w:t xml:space="preserve"> Biology of Sex Differences, 7(34), 1–7.</w:t>
      </w:r>
    </w:p>
    <w:p w14:paraId="6F527375" w14:textId="77777777" w:rsidR="0072531A" w:rsidRPr="0072531A" w:rsidRDefault="0072531A" w:rsidP="0072531A">
      <w:pPr>
        <w:jc w:val="both"/>
      </w:pPr>
      <w:r w:rsidRPr="0072531A">
        <w:t xml:space="preserve">Beery, A. K. (2018). </w:t>
      </w:r>
      <w:r w:rsidRPr="0072531A">
        <w:rPr>
          <w:i/>
          <w:iCs/>
        </w:rPr>
        <w:t>Inclusion of females does not increase variability in rodent research studies.</w:t>
      </w:r>
      <w:r w:rsidRPr="0072531A">
        <w:t xml:space="preserve"> Current Opinion in Behavioral Sciences, 23, 143–149.</w:t>
      </w:r>
    </w:p>
    <w:p w14:paraId="49243A6D" w14:textId="77777777" w:rsidR="0072531A" w:rsidRPr="0072531A" w:rsidRDefault="0072531A" w:rsidP="0072531A">
      <w:pPr>
        <w:jc w:val="both"/>
      </w:pPr>
      <w:r w:rsidRPr="0072531A">
        <w:t xml:space="preserve">Czerniak, R. (2001). </w:t>
      </w:r>
      <w:r w:rsidRPr="0072531A">
        <w:rPr>
          <w:i/>
          <w:iCs/>
        </w:rPr>
        <w:t>Gender-based differences in pharmacokinetics in laboratory animal models</w:t>
      </w:r>
      <w:r w:rsidRPr="0072531A">
        <w:t>. International Journal of Toxicology, 20(3), 161–163.</w:t>
      </w:r>
      <w:hyperlink r:id="rId177" w:history="1">
        <w:r w:rsidRPr="0072531A">
          <w:rPr>
            <w:rStyle w:val="-"/>
          </w:rPr>
          <w:t> </w:t>
        </w:r>
      </w:hyperlink>
    </w:p>
    <w:p w14:paraId="0DE2493C" w14:textId="77777777" w:rsidR="0072531A" w:rsidRPr="0072531A" w:rsidRDefault="0072531A" w:rsidP="0072531A">
      <w:pPr>
        <w:jc w:val="both"/>
      </w:pPr>
      <w:r w:rsidRPr="0072531A">
        <w:t xml:space="preserve">Docherty, J. R., Stanford, S. C., Panattieri, R. A., Alexander, S. P. H., Cirino, G., George, C. H., Hoyer, D., Izzo, A. A., Ji, Y., Lilley, E., Sobey, C. G., Stanley, P., Stefanska, B., Stephens, G., Teixeira, M., &amp; Ahluwalia, A. (2019). </w:t>
      </w:r>
      <w:r w:rsidRPr="0072531A">
        <w:rPr>
          <w:i/>
          <w:iCs/>
        </w:rPr>
        <w:t>Sex: A change in our guidelines to authors to ensure that this is no longer an ignored experimental variable.</w:t>
      </w:r>
      <w:r w:rsidRPr="0072531A">
        <w:t xml:space="preserve"> British Journal of Pharmacology, 176(21), 4081–4086.</w:t>
      </w:r>
      <w:hyperlink r:id="rId178" w:history="1">
        <w:r w:rsidRPr="0072531A">
          <w:rPr>
            <w:rStyle w:val="-"/>
          </w:rPr>
          <w:t> </w:t>
        </w:r>
      </w:hyperlink>
    </w:p>
    <w:p w14:paraId="3D2029E9" w14:textId="77777777" w:rsidR="0072531A" w:rsidRPr="0072531A" w:rsidRDefault="0072531A" w:rsidP="0072531A">
      <w:pPr>
        <w:jc w:val="both"/>
      </w:pPr>
      <w:r w:rsidRPr="0072531A">
        <w:lastRenderedPageBreak/>
        <w:t xml:space="preserve">Eid, S. A., &amp; Feldman, E. L. (2021). </w:t>
      </w:r>
      <w:r w:rsidRPr="0072531A">
        <w:rPr>
          <w:i/>
          <w:iCs/>
        </w:rPr>
        <w:t>Advances in diet-induced rodent models of metabolically acquired peripheral neuropathy.</w:t>
      </w:r>
      <w:r w:rsidRPr="0072531A">
        <w:t xml:space="preserve"> Disease Models &amp; Mechanisms, 14(11).</w:t>
      </w:r>
      <w:hyperlink r:id="rId179" w:history="1">
        <w:r w:rsidRPr="0072531A">
          <w:rPr>
            <w:rStyle w:val="-"/>
          </w:rPr>
          <w:t> </w:t>
        </w:r>
      </w:hyperlink>
    </w:p>
    <w:p w14:paraId="15F4A271" w14:textId="77777777" w:rsidR="0072531A" w:rsidRPr="0072531A" w:rsidRDefault="0072531A" w:rsidP="0072531A">
      <w:pPr>
        <w:jc w:val="both"/>
      </w:pPr>
      <w:r w:rsidRPr="0072531A">
        <w:rPr>
          <w:i/>
          <w:iCs/>
        </w:rPr>
        <w:t>Female lab rats are also underrepresented in science</w:t>
      </w:r>
      <w:r w:rsidRPr="0072531A">
        <w:t>. (2014, July 27). Science Policy Blog, San Jose State University.</w:t>
      </w:r>
      <w:hyperlink r:id="rId180" w:history="1">
        <w:r w:rsidRPr="0072531A">
          <w:rPr>
            <w:rStyle w:val="-"/>
          </w:rPr>
          <w:t> </w:t>
        </w:r>
      </w:hyperlink>
    </w:p>
    <w:p w14:paraId="650897E0" w14:textId="77777777" w:rsidR="0072531A" w:rsidRPr="0072531A" w:rsidRDefault="0072531A" w:rsidP="0072531A">
      <w:pPr>
        <w:jc w:val="both"/>
      </w:pPr>
      <w:r w:rsidRPr="0072531A">
        <w:t xml:space="preserve">Justice, M. J. (2024). </w:t>
      </w:r>
      <w:r w:rsidRPr="0072531A">
        <w:rPr>
          <w:i/>
          <w:iCs/>
        </w:rPr>
        <w:t>Sex matters in preclinical research.</w:t>
      </w:r>
      <w:r w:rsidRPr="0072531A">
        <w:t xml:space="preserve"> Disease Models &amp; Mechanisms, 17(3).</w:t>
      </w:r>
    </w:p>
    <w:p w14:paraId="15B74984" w14:textId="77777777" w:rsidR="0072531A" w:rsidRPr="0072531A" w:rsidRDefault="0072531A" w:rsidP="0072531A">
      <w:pPr>
        <w:jc w:val="both"/>
      </w:pPr>
      <w:r w:rsidRPr="0072531A">
        <w:t xml:space="preserve">Kaluve, A. M., Le, J. T., &amp; Graham, B. M. (2022). </w:t>
      </w:r>
      <w:r w:rsidRPr="0072531A">
        <w:rPr>
          <w:i/>
          <w:iCs/>
        </w:rPr>
        <w:t>Female rodents are not more variable than male rodents: A meta-analysis of preclinical studies of fear and anxiety.</w:t>
      </w:r>
      <w:r w:rsidRPr="0072531A">
        <w:t xml:space="preserve"> Neuroscience &amp; Behavioral Reviews, 143.</w:t>
      </w:r>
      <w:hyperlink r:id="rId181" w:history="1">
        <w:r w:rsidRPr="0072531A">
          <w:rPr>
            <w:rStyle w:val="-"/>
          </w:rPr>
          <w:t> </w:t>
        </w:r>
      </w:hyperlink>
    </w:p>
    <w:p w14:paraId="338BF7F7" w14:textId="77777777" w:rsidR="0072531A" w:rsidRPr="0072531A" w:rsidRDefault="0072531A" w:rsidP="0072531A">
      <w:pPr>
        <w:jc w:val="both"/>
      </w:pPr>
      <w:r w:rsidRPr="0072531A">
        <w:t xml:space="preserve">Karlsson, S. A., Haziri, K., Hansson, E., Kettunen, P., &amp; Westberg, L. (2015). </w:t>
      </w:r>
      <w:r w:rsidRPr="0072531A">
        <w:rPr>
          <w:i/>
          <w:iCs/>
        </w:rPr>
        <w:t>Effects of sex and gonadectomy on social investigation and social recognition in mice</w:t>
      </w:r>
      <w:r w:rsidRPr="0072531A">
        <w:t>. BMC Neuroscience, 16, 83.</w:t>
      </w:r>
      <w:hyperlink r:id="rId182" w:history="1">
        <w:r w:rsidRPr="0072531A">
          <w:rPr>
            <w:rStyle w:val="-"/>
          </w:rPr>
          <w:t> </w:t>
        </w:r>
      </w:hyperlink>
    </w:p>
    <w:p w14:paraId="1BB47C40" w14:textId="77777777" w:rsidR="0072531A" w:rsidRPr="0072531A" w:rsidRDefault="0072531A" w:rsidP="0072531A">
      <w:pPr>
        <w:jc w:val="both"/>
      </w:pPr>
      <w:r w:rsidRPr="0072531A">
        <w:t xml:space="preserve">Karp, N. A., Berdoy, M., Gray, K., Hunt, L., Jennings, M., Kerton, A., Leach, M., Tremoleda, J. L., Gledhill, J., Pearl, E. J., Percie du Sert, N., Phillips, B., Reynolds, P. S., Ryder, K., Stanford, S. C., Wells, S., &amp; Whitfield, L. (2025). </w:t>
      </w:r>
      <w:r w:rsidRPr="0072531A">
        <w:rPr>
          <w:i/>
          <w:iCs/>
        </w:rPr>
        <w:t xml:space="preserve">The Sex Inclusive Research Framework to address sex bias in preclinical research proposals. </w:t>
      </w:r>
      <w:r w:rsidRPr="0072531A">
        <w:t>Nature Communications, 16(1), 3763.</w:t>
      </w:r>
      <w:hyperlink r:id="rId183" w:history="1">
        <w:r w:rsidRPr="0072531A">
          <w:rPr>
            <w:rStyle w:val="-"/>
          </w:rPr>
          <w:t> </w:t>
        </w:r>
      </w:hyperlink>
    </w:p>
    <w:p w14:paraId="760F5B98" w14:textId="77777777" w:rsidR="0072531A" w:rsidRPr="0072531A" w:rsidRDefault="0072531A" w:rsidP="0072531A">
      <w:pPr>
        <w:jc w:val="both"/>
      </w:pPr>
      <w:r w:rsidRPr="0072531A">
        <w:t xml:space="preserve">Ryan, L., &amp; Mills, K. H. G. (2021). </w:t>
      </w:r>
      <w:r w:rsidRPr="0072531A">
        <w:rPr>
          <w:i/>
          <w:iCs/>
        </w:rPr>
        <w:t>Sex differences regulate immune responses in experimental autoimmune encephalomyelitis and multiple sclerosis.</w:t>
      </w:r>
      <w:r w:rsidRPr="0072531A">
        <w:t xml:space="preserve"> European Journal of Immunology, 52(1), 24–33.</w:t>
      </w:r>
    </w:p>
    <w:p w14:paraId="4639C6D6" w14:textId="77777777" w:rsidR="0072531A" w:rsidRDefault="0072531A" w:rsidP="0072531A">
      <w:pPr>
        <w:jc w:val="both"/>
      </w:pPr>
      <w:r w:rsidRPr="0072531A">
        <w:t xml:space="preserve">Talley, S., Bonomo, R., Gavini, C., Hatahet, J., Gornick, E., Cook, T., Chun, B. J., Kekenes-Huskey, P., Aubert, G., Campbell, E., &amp; Mansuy-Aubert, V. (2022). </w:t>
      </w:r>
      <w:r w:rsidRPr="0072531A">
        <w:rPr>
          <w:i/>
          <w:iCs/>
        </w:rPr>
        <w:t>Monitoring of inflammation using novel biosensor mouse model reveals tissue- and sex-specific responses to Western diet.</w:t>
      </w:r>
      <w:r w:rsidRPr="0072531A">
        <w:t xml:space="preserve"> Disease Models &amp; Mechanisms, 15(6).</w:t>
      </w:r>
      <w:hyperlink r:id="rId184" w:history="1">
        <w:r w:rsidRPr="0072531A">
          <w:rPr>
            <w:rStyle w:val="-"/>
          </w:rPr>
          <w:t> </w:t>
        </w:r>
      </w:hyperlink>
    </w:p>
    <w:p w14:paraId="06BB9995" w14:textId="77777777" w:rsidR="003A16A9" w:rsidRDefault="003A16A9" w:rsidP="0072531A">
      <w:pPr>
        <w:jc w:val="both"/>
      </w:pPr>
    </w:p>
    <w:p w14:paraId="1CA5DB46" w14:textId="77777777" w:rsidR="003A16A9" w:rsidRDefault="003A16A9" w:rsidP="0072531A">
      <w:pPr>
        <w:jc w:val="both"/>
      </w:pPr>
    </w:p>
    <w:p w14:paraId="3A72EFA4" w14:textId="77777777" w:rsidR="003A16A9" w:rsidRDefault="003A16A9" w:rsidP="0072531A">
      <w:pPr>
        <w:jc w:val="both"/>
      </w:pPr>
    </w:p>
    <w:p w14:paraId="1709C9BC" w14:textId="77777777" w:rsidR="003A16A9" w:rsidRDefault="003A16A9" w:rsidP="0072531A">
      <w:pPr>
        <w:jc w:val="both"/>
      </w:pPr>
    </w:p>
    <w:p w14:paraId="5153D00D" w14:textId="77777777" w:rsidR="003A16A9" w:rsidRDefault="003A16A9" w:rsidP="0072531A">
      <w:pPr>
        <w:jc w:val="both"/>
      </w:pPr>
    </w:p>
    <w:p w14:paraId="0B73E5A5" w14:textId="77777777" w:rsidR="003A16A9" w:rsidRDefault="003A16A9" w:rsidP="0072531A">
      <w:pPr>
        <w:jc w:val="both"/>
      </w:pPr>
    </w:p>
    <w:p w14:paraId="70C4EB97" w14:textId="77777777" w:rsidR="003A16A9" w:rsidRDefault="003A16A9" w:rsidP="0072531A">
      <w:pPr>
        <w:jc w:val="both"/>
      </w:pPr>
    </w:p>
    <w:p w14:paraId="7FA0AC9C" w14:textId="77777777" w:rsidR="003A16A9" w:rsidRDefault="003A16A9" w:rsidP="0072531A">
      <w:pPr>
        <w:jc w:val="both"/>
      </w:pPr>
    </w:p>
    <w:p w14:paraId="0574F2F3" w14:textId="77777777" w:rsidR="003A16A9" w:rsidRDefault="003A16A9" w:rsidP="0072531A">
      <w:pPr>
        <w:jc w:val="both"/>
      </w:pPr>
    </w:p>
    <w:p w14:paraId="767A49E0" w14:textId="77777777" w:rsidR="003A16A9" w:rsidRDefault="003A16A9" w:rsidP="0072531A">
      <w:pPr>
        <w:jc w:val="both"/>
      </w:pPr>
    </w:p>
    <w:p w14:paraId="258DEAC7" w14:textId="77777777" w:rsidR="003A16A9" w:rsidRDefault="003A16A9" w:rsidP="0072531A">
      <w:pPr>
        <w:jc w:val="both"/>
      </w:pPr>
    </w:p>
    <w:p w14:paraId="25F30F6A" w14:textId="77777777" w:rsidR="003A16A9" w:rsidRDefault="003A16A9" w:rsidP="0072531A">
      <w:pPr>
        <w:jc w:val="both"/>
      </w:pPr>
    </w:p>
    <w:p w14:paraId="260BEA23" w14:textId="77777777" w:rsidR="003A16A9" w:rsidRDefault="003A16A9" w:rsidP="0072531A">
      <w:pPr>
        <w:jc w:val="both"/>
      </w:pPr>
    </w:p>
    <w:p w14:paraId="5ED7E87C" w14:textId="77777777" w:rsidR="003A16A9" w:rsidRPr="0072531A" w:rsidRDefault="003A16A9" w:rsidP="0072531A">
      <w:pPr>
        <w:jc w:val="both"/>
      </w:pPr>
    </w:p>
    <w:p w14:paraId="318DD9E2" w14:textId="77777777" w:rsidR="0072531A" w:rsidRPr="0072531A" w:rsidRDefault="0072531A" w:rsidP="0072531A">
      <w:pPr>
        <w:jc w:val="both"/>
      </w:pPr>
      <w:r w:rsidRPr="0072531A">
        <w:rPr>
          <w:b/>
          <w:bCs/>
        </w:rPr>
        <w:lastRenderedPageBreak/>
        <w:t>Υπέρυθρα Συναισθήματα και Παθολογοανατομική Υπογραφή του Πόνου: Οι Θερμικοί Χάρτες του Προσώπου αποκαλύπτουν Εγκεφαλικά Πρότυπα σε Χοίρους και Σκύλους </w:t>
      </w:r>
    </w:p>
    <w:p w14:paraId="701C0B6C" w14:textId="1741E28D" w:rsidR="0072531A" w:rsidRPr="003A16A9" w:rsidRDefault="0072531A" w:rsidP="0072531A">
      <w:pPr>
        <w:jc w:val="both"/>
        <w:rPr>
          <w:lang w:val="en-GB"/>
        </w:rPr>
      </w:pPr>
      <w:r w:rsidRPr="0072531A">
        <w:t>Δρίτσα Μαριέττα</w:t>
      </w:r>
      <w:r w:rsidRPr="0072531A">
        <w:rPr>
          <w:vertAlign w:val="superscript"/>
        </w:rPr>
        <w:t>1</w:t>
      </w:r>
      <w:r w:rsidRPr="0072531A">
        <w:t>, Ξανθόπουλος Αναστάσιος</w:t>
      </w:r>
      <w:r w:rsidRPr="0072531A">
        <w:rPr>
          <w:vertAlign w:val="superscript"/>
        </w:rPr>
        <w:t>1</w:t>
      </w:r>
      <w:r w:rsidRPr="0072531A">
        <w:t>, Αναγνώστου Τηλέμαχος</w:t>
      </w:r>
      <w:r w:rsidRPr="0072531A">
        <w:rPr>
          <w:vertAlign w:val="superscript"/>
        </w:rPr>
        <w:t>2</w:t>
      </w:r>
      <w:r w:rsidRPr="0072531A">
        <w:t>, Μαρούδα Χριστίνα</w:t>
      </w:r>
      <w:r w:rsidRPr="0072531A">
        <w:rPr>
          <w:vertAlign w:val="superscript"/>
        </w:rPr>
        <w:t>3</w:t>
      </w:r>
      <w:r w:rsidRPr="0072531A">
        <w:t>, Τάσσης Παναγιώτης</w:t>
      </w:r>
      <w:r w:rsidRPr="0072531A">
        <w:rPr>
          <w:vertAlign w:val="superscript"/>
        </w:rPr>
        <w:t>4</w:t>
      </w:r>
    </w:p>
    <w:p w14:paraId="7EEF2451" w14:textId="77777777" w:rsidR="0072531A" w:rsidRPr="0072531A" w:rsidRDefault="0072531A">
      <w:pPr>
        <w:numPr>
          <w:ilvl w:val="0"/>
          <w:numId w:val="130"/>
        </w:numPr>
        <w:jc w:val="both"/>
      </w:pPr>
      <w:r w:rsidRPr="0072531A">
        <w:t>Προπτυχιακός Φοιτητής/-τρια, Τμήμα Κτηνιατρικής, Σχολή Επιστημών Υγείας, Αριστοτέλειο Πανεπιστήμιο Θεσσαλονίκης</w:t>
      </w:r>
    </w:p>
    <w:p w14:paraId="375141D2" w14:textId="77777777" w:rsidR="0072531A" w:rsidRPr="0072531A" w:rsidRDefault="0072531A">
      <w:pPr>
        <w:numPr>
          <w:ilvl w:val="0"/>
          <w:numId w:val="130"/>
        </w:numPr>
        <w:jc w:val="both"/>
      </w:pPr>
      <w:r w:rsidRPr="0072531A">
        <w:t>Καθηγητής Αναισθησιολογίας και Εντατικής Θεραπείας, Τμήμα Κτηνιατρικής, Σχολή Επιστημών Υγείας, Αριστοτέλειο Πανεπιστήμιο Θεσσαλονίκης</w:t>
      </w:r>
    </w:p>
    <w:p w14:paraId="4356DBA6" w14:textId="77777777" w:rsidR="0072531A" w:rsidRPr="0072531A" w:rsidRDefault="0072531A">
      <w:pPr>
        <w:numPr>
          <w:ilvl w:val="0"/>
          <w:numId w:val="130"/>
        </w:numPr>
        <w:jc w:val="both"/>
      </w:pPr>
      <w:r w:rsidRPr="0072531A">
        <w:t>Αναπληρώτρια Καθηγήτρια Παθολογικής Ανατομικής και Κτηνιατροδικαστικής, Τμήμα Κτηνιατρικής, Σχολή Επιστημών Υγείας, Αριστοτέλειο Πανεπιστήμιο Θεσσαλονίκης</w:t>
      </w:r>
    </w:p>
    <w:p w14:paraId="76353848" w14:textId="77777777" w:rsidR="0072531A" w:rsidRPr="0072531A" w:rsidRDefault="0072531A">
      <w:pPr>
        <w:numPr>
          <w:ilvl w:val="0"/>
          <w:numId w:val="130"/>
        </w:numPr>
        <w:jc w:val="both"/>
      </w:pPr>
      <w:r w:rsidRPr="0072531A">
        <w:t>Αναπληρωτής Καθηγητής Παθολογίας και Φυσιοπαθολογίας της Αναπαραγωγής του χοίρου, Τμήμα Κτηνιατρικής, Σχολή Επιστημών Υγείας, Αριστοτέλειο Πανεπιστήμιο Θεσσαλονίκης</w:t>
      </w:r>
    </w:p>
    <w:p w14:paraId="72BD1F35" w14:textId="77777777" w:rsidR="0072531A" w:rsidRPr="0072531A" w:rsidRDefault="0072531A" w:rsidP="0072531A">
      <w:pPr>
        <w:jc w:val="both"/>
      </w:pPr>
    </w:p>
    <w:p w14:paraId="5C633A99" w14:textId="77777777" w:rsidR="0072531A" w:rsidRPr="0072531A" w:rsidRDefault="0072531A" w:rsidP="0072531A">
      <w:pPr>
        <w:jc w:val="both"/>
      </w:pPr>
      <w:r w:rsidRPr="0072531A">
        <w:rPr>
          <w:b/>
          <w:bCs/>
        </w:rPr>
        <w:t>Περίληψη</w:t>
      </w:r>
    </w:p>
    <w:p w14:paraId="65CBF3A5" w14:textId="77777777" w:rsidR="0072531A" w:rsidRPr="0072531A" w:rsidRDefault="0072531A" w:rsidP="0072531A">
      <w:pPr>
        <w:jc w:val="both"/>
      </w:pPr>
      <w:r w:rsidRPr="0072531A">
        <w:t>Η αξιολόγηση του πόνου στα οικόσιτα ζώα αποτελεί σημαντική πρόκληση, λόγω των περιορισμών των συμπεριφορικών κλιμάκων και της επεμβατικότητας των φυσιολογικών και ενδοκρινικών δεικτών. Η ανάγκη αυτή είναι ιδιαίτερα κρίσιμη στον παραγωγικό χοίρο, όπου η έγκαιρη ανίχνευση του πόνου επηρεάζει την ευζωία και την παραγωγικότητα. Η υπέρυθρη θερμογραφία αποτελεί μια μη επεμβατική και αντικειμενική μέθοδο που ανιχνεύει μεταβολές της επιφανειακής θερμοκρασίας σχετιζόμενες με την ενεργοποίηση του αυτόνομου νευρικού συστήματος.</w:t>
      </w:r>
    </w:p>
    <w:p w14:paraId="5C4EE8A4" w14:textId="77777777" w:rsidR="0072531A" w:rsidRPr="0072531A" w:rsidRDefault="0072531A" w:rsidP="0072531A">
      <w:pPr>
        <w:jc w:val="both"/>
      </w:pPr>
      <w:r w:rsidRPr="0072531A">
        <w:t>Οι θερμικές αυτές μεταβολές αντανακλούν υποκείμενους παθοφυσιολογικούς μηχανισμούς, όπως φλεγμονή, αγγειοδιαστολή, ενεργοποίηση αλγοϋποδοχέων και απελευθέρωση κυτοκινών, που οδηγούν σε αλλαγές της μικροκυκλοφορίας. Στην παρούσα μελέτη εισάγεται η έννοια των «υπέρυθρων συναισθημάτων», διερευνώντας κατά πόσο οι θερμικοί χάρτες του προσώπου αντικατοπτρίζουν εγκεφαλο-καθοδηγούμενες αποκρίσεις στον πόνο σε χοίρους και σκύλους.</w:t>
      </w:r>
    </w:p>
    <w:p w14:paraId="5A3FC467" w14:textId="77777777" w:rsidR="0072531A" w:rsidRPr="0072531A" w:rsidRDefault="0072531A" w:rsidP="0072531A">
      <w:pPr>
        <w:jc w:val="both"/>
      </w:pPr>
      <w:r w:rsidRPr="0072531A">
        <w:t>Εξετάζεται η συσχέτιση της ενεργοποίησης των αλγοϋποδοχέων με θερμογραφικές μεταβολές σε περιοχές όπως η περικογχική χώρα, το ρινικό κάτοπτρο και τα πτερύγια των ώτων, μετά από ήπια επώδυνα ερεθίσματα. Τα ευρήματα υποδεικνύουν την ύπαρξη διακριτών θερμικών «υπογραφών» που σχετίζονται με την ενεργοποίηση κεντρικών μηχανισμών πόνου και εμφανίζουν διαειδική συνέπεια.</w:t>
      </w:r>
    </w:p>
    <w:p w14:paraId="5B5E81AD" w14:textId="77777777" w:rsidR="0072531A" w:rsidRDefault="0072531A" w:rsidP="0072531A">
      <w:pPr>
        <w:jc w:val="both"/>
        <w:rPr>
          <w:lang w:val="en-GB"/>
        </w:rPr>
      </w:pPr>
      <w:r w:rsidRPr="0072531A">
        <w:t>Συμπερασματικά, η θερμογραφία προσώπου αποτελεί ένα πολλά υποσχόμενο, μη επεμβατικό εργαλείο για την εκτίμηση του πόνου σε πραγματικό χρόνο, με εφαρμογές στην κλινική πράξη, την ευζωία και την έρευνα. Απαιτείται περαιτέρω τυποποίηση για την καθιέρωσή της ως αξιόπιστου βιοδείκτη.</w:t>
      </w:r>
    </w:p>
    <w:p w14:paraId="02ABC19D" w14:textId="77777777" w:rsidR="003A16A9" w:rsidRPr="003A16A9" w:rsidRDefault="003A16A9" w:rsidP="0072531A">
      <w:pPr>
        <w:jc w:val="both"/>
        <w:rPr>
          <w:lang w:val="en-GB"/>
        </w:rPr>
      </w:pPr>
    </w:p>
    <w:p w14:paraId="53A1B704" w14:textId="77777777" w:rsidR="0072531A" w:rsidRPr="0072531A" w:rsidRDefault="0072531A" w:rsidP="0072531A">
      <w:pPr>
        <w:jc w:val="both"/>
      </w:pPr>
      <w:r w:rsidRPr="0072531A">
        <w:rPr>
          <w:b/>
          <w:bCs/>
        </w:rPr>
        <w:t>Βιβλιογραφία</w:t>
      </w:r>
    </w:p>
    <w:p w14:paraId="7DF7073D" w14:textId="77777777" w:rsidR="0072531A" w:rsidRPr="0072531A" w:rsidRDefault="0072531A" w:rsidP="0072531A">
      <w:pPr>
        <w:jc w:val="both"/>
      </w:pPr>
      <w:r w:rsidRPr="0072531A">
        <w:t>Araújo de Melo, B., Mesquita da Silva, S. G., Santos, M. T., Vilela da Silva, P. C., &amp; Bossi Fraga, A. Infrared thermography on animal livestock / Termografia infravermelha na pecuária animal. Conjecturas. 2022. </w:t>
      </w:r>
    </w:p>
    <w:p w14:paraId="08DDB9DB" w14:textId="77777777" w:rsidR="0072531A" w:rsidRPr="0072531A" w:rsidRDefault="0072531A" w:rsidP="0072531A">
      <w:pPr>
        <w:jc w:val="both"/>
      </w:pPr>
      <w:r w:rsidRPr="0072531A">
        <w:lastRenderedPageBreak/>
        <w:t>Barbosa Pereira, C., Czaplik, M., Dohmeier, H., Hochhausen, N., Kunczik, J., &amp; Tolba, R. Contactless monitoring of heart and respiratory rate in anesthetized pigs using infrared thermography. RWTH Aachen University, Germany.</w:t>
      </w:r>
    </w:p>
    <w:p w14:paraId="3D2FC26D" w14:textId="77777777" w:rsidR="0072531A" w:rsidRPr="0072531A" w:rsidRDefault="0072531A" w:rsidP="0072531A">
      <w:pPr>
        <w:jc w:val="both"/>
      </w:pPr>
      <w:r w:rsidRPr="0072531A">
        <w:t xml:space="preserve">Barbieri, S., Talamonti, Z., Nannoni, E., Heinzl, E. U. L., Minero, M., &amp; Canali, E. (2020). </w:t>
      </w:r>
      <w:r w:rsidRPr="0072531A">
        <w:rPr>
          <w:i/>
          <w:iCs/>
        </w:rPr>
        <w:t>Use of thermography in pigs: relationship between surface and core temperature. Animals.</w:t>
      </w:r>
    </w:p>
    <w:p w14:paraId="6C42AE74" w14:textId="77777777" w:rsidR="0072531A" w:rsidRPr="0072531A" w:rsidRDefault="0072531A" w:rsidP="0072531A">
      <w:pPr>
        <w:jc w:val="both"/>
      </w:pPr>
      <w:r w:rsidRPr="0072531A">
        <w:t xml:space="preserve">Cook, N. J., Chabot, B., Lui, T., Bench, C. J., &amp; Schaefer, A. L. (2015). </w:t>
      </w:r>
      <w:r w:rsidRPr="0072531A">
        <w:rPr>
          <w:i/>
          <w:iCs/>
        </w:rPr>
        <w:t>Infrared thermography detects febrile and behavioural responses to vaccination of weaned piglets.</w:t>
      </w:r>
      <w:r w:rsidRPr="0072531A">
        <w:t xml:space="preserve"> Animal.</w:t>
      </w:r>
    </w:p>
    <w:p w14:paraId="552B96B2" w14:textId="77777777" w:rsidR="0072531A" w:rsidRPr="0072531A" w:rsidRDefault="0072531A" w:rsidP="0072531A">
      <w:pPr>
        <w:jc w:val="both"/>
      </w:pPr>
      <w:r w:rsidRPr="0072531A">
        <w:t xml:space="preserve">Hernández-Avalos, I., Mota-Rojas, D., Mora-Medina, P., Martínez-Burnes, J., Casas-Alvarado, A., Verduzco-Mendoza, A., et al. (2023). </w:t>
      </w:r>
      <w:r w:rsidRPr="0072531A">
        <w:rPr>
          <w:i/>
          <w:iCs/>
        </w:rPr>
        <w:t>Assessment of pain and inflammation in domestic animals using infrared thermography: a narrative review.</w:t>
      </w:r>
      <w:r w:rsidRPr="0072531A">
        <w:t xml:space="preserve"> Animals.</w:t>
      </w:r>
    </w:p>
    <w:p w14:paraId="0440FC91" w14:textId="77777777" w:rsidR="0072531A" w:rsidRPr="0072531A" w:rsidRDefault="0072531A" w:rsidP="0072531A">
      <w:pPr>
        <w:jc w:val="both"/>
      </w:pPr>
      <w:r w:rsidRPr="0072531A">
        <w:t>Ilić, M., Suvajdžić, B., Pajičić, Đ., Radaković, M., &amp; Čobanović, N. Application of infrared thermography for welfare and meat quality assessment of slaughter pigs. University of Belgrade, Serbia.</w:t>
      </w:r>
    </w:p>
    <w:p w14:paraId="4C25E83E" w14:textId="77777777" w:rsidR="0072531A" w:rsidRPr="0072531A" w:rsidRDefault="0072531A" w:rsidP="0072531A">
      <w:pPr>
        <w:jc w:val="both"/>
      </w:pPr>
      <w:r w:rsidRPr="0072531A">
        <w:t xml:space="preserve">Jia, G., Li, W., Meng, J., Tan, H., &amp; Feng, Y. (2020). </w:t>
      </w:r>
      <w:r w:rsidRPr="0072531A">
        <w:rPr>
          <w:i/>
          <w:iCs/>
        </w:rPr>
        <w:t>Non-Contact Evaluation of Pigs’ Body Temperature Incorporating Environmental Factors.</w:t>
      </w:r>
      <w:r w:rsidRPr="0072531A">
        <w:t xml:space="preserve"> Huazhong Agricultural University, China.</w:t>
      </w:r>
    </w:p>
    <w:p w14:paraId="654B7ABF" w14:textId="77777777" w:rsidR="0072531A" w:rsidRPr="0072531A" w:rsidRDefault="0072531A" w:rsidP="0072531A">
      <w:pPr>
        <w:jc w:val="both"/>
      </w:pPr>
      <w:r w:rsidRPr="0072531A">
        <w:t xml:space="preserve">McManus, C., Tanure, C. B., Peripolli, V., Seixas, L., Fischer, V., Gabbi, A. M., et al. (2016). </w:t>
      </w:r>
      <w:r w:rsidRPr="0072531A">
        <w:rPr>
          <w:i/>
          <w:iCs/>
        </w:rPr>
        <w:t>Infrared thermography in animal production: An overview.</w:t>
      </w:r>
      <w:r w:rsidRPr="0072531A">
        <w:t xml:space="preserve"> Brazil.</w:t>
      </w:r>
    </w:p>
    <w:p w14:paraId="1BB0E4A1" w14:textId="77777777" w:rsidR="0072531A" w:rsidRPr="0072531A" w:rsidRDefault="0072531A" w:rsidP="0072531A">
      <w:pPr>
        <w:jc w:val="both"/>
      </w:pPr>
      <w:r w:rsidRPr="0072531A">
        <w:t xml:space="preserve">Melo, B. A., Silva, S. G. M., Santos, M. T., Vilela da Silva, P. C., &amp; Fraga, A. B. (2022). </w:t>
      </w:r>
      <w:r w:rsidRPr="0072531A">
        <w:rPr>
          <w:i/>
          <w:iCs/>
        </w:rPr>
        <w:t>Infrared thermography on animal livestock.</w:t>
      </w:r>
      <w:r w:rsidRPr="0072531A">
        <w:t xml:space="preserve"> Conjecturas.</w:t>
      </w:r>
    </w:p>
    <w:p w14:paraId="6C3FB5E6" w14:textId="77777777" w:rsidR="0072531A" w:rsidRPr="0072531A" w:rsidRDefault="0072531A" w:rsidP="0072531A">
      <w:pPr>
        <w:jc w:val="both"/>
      </w:pPr>
      <w:r w:rsidRPr="0072531A">
        <w:t xml:space="preserve">Mota-Rojas, D., Olmos-Hernández, A., Verduzco-Mendoza, A., Hernández-Avalos, I., Casas-Alvarado, A., Mora-Medina, P., et al. (2021). </w:t>
      </w:r>
      <w:r w:rsidRPr="0072531A">
        <w:rPr>
          <w:i/>
          <w:iCs/>
        </w:rPr>
        <w:t>Infrared thermal imaging associated with pain in laboratory animals.</w:t>
      </w:r>
      <w:r w:rsidRPr="0072531A">
        <w:t xml:space="preserve"> Animals, 11(2), 1–20.</w:t>
      </w:r>
    </w:p>
    <w:p w14:paraId="63322859" w14:textId="77777777" w:rsidR="0072531A" w:rsidRPr="0072531A" w:rsidRDefault="0072531A" w:rsidP="0072531A">
      <w:pPr>
        <w:jc w:val="both"/>
      </w:pPr>
      <w:r w:rsidRPr="0072531A">
        <w:t xml:space="preserve">Mota-Rojas, D. (Ed.). </w:t>
      </w:r>
      <w:r w:rsidRPr="0072531A">
        <w:rPr>
          <w:i/>
          <w:iCs/>
        </w:rPr>
        <w:t>Infrared thermography as a tool for assessing animal welfare and its usefulness in veterinary research.</w:t>
      </w:r>
      <w:r w:rsidRPr="0072531A">
        <w:t xml:space="preserve"> Animals (Special Issue Reprint).</w:t>
      </w:r>
    </w:p>
    <w:p w14:paraId="1642B879" w14:textId="77777777" w:rsidR="0072531A" w:rsidRPr="0072531A" w:rsidRDefault="0072531A" w:rsidP="0072531A">
      <w:pPr>
        <w:jc w:val="both"/>
      </w:pPr>
      <w:r w:rsidRPr="0072531A">
        <w:t xml:space="preserve">Rekant, S. I., Lyons, M. A., Pacheco, J. M., Arzt, J., &amp; Rodriguez, L. L. (2015). </w:t>
      </w:r>
      <w:r w:rsidRPr="0072531A">
        <w:rPr>
          <w:i/>
          <w:iCs/>
        </w:rPr>
        <w:t>Veterinary applications of infrared thermography.</w:t>
      </w:r>
    </w:p>
    <w:p w14:paraId="18ABC124" w14:textId="77777777" w:rsidR="0072531A" w:rsidRPr="0072531A" w:rsidRDefault="0072531A" w:rsidP="0072531A">
      <w:pPr>
        <w:jc w:val="both"/>
      </w:pPr>
      <w:r w:rsidRPr="0072531A">
        <w:t xml:space="preserve">Soerensen, D. D., &amp; Pedersen, L. J. (2015). </w:t>
      </w:r>
      <w:r w:rsidRPr="0072531A">
        <w:rPr>
          <w:i/>
          <w:iCs/>
        </w:rPr>
        <w:t>Infrared skin temperature measurements for monitoring health in pigs: a review</w:t>
      </w:r>
      <w:r w:rsidRPr="0072531A">
        <w:t>. Livestock Science.</w:t>
      </w:r>
    </w:p>
    <w:p w14:paraId="101D4AFD" w14:textId="77777777" w:rsidR="0072531A" w:rsidRPr="0072531A" w:rsidRDefault="0072531A" w:rsidP="0072531A">
      <w:pPr>
        <w:jc w:val="both"/>
      </w:pPr>
      <w:r w:rsidRPr="0072531A">
        <w:t xml:space="preserve">Stewart, M., Webster, J. R., Schaefer, A. L., Cook, N. J., &amp; Scott, S. L. (2007). </w:t>
      </w:r>
      <w:r w:rsidRPr="0072531A">
        <w:rPr>
          <w:i/>
          <w:iCs/>
        </w:rPr>
        <w:t>Infrared thermography as a non-invasive tool to study animal welfare.</w:t>
      </w:r>
      <w:r w:rsidRPr="0072531A">
        <w:t xml:space="preserve"> CABI Reviews.</w:t>
      </w:r>
    </w:p>
    <w:p w14:paraId="4ED27545" w14:textId="77777777" w:rsidR="0072531A" w:rsidRPr="0072531A" w:rsidRDefault="0072531A" w:rsidP="0072531A">
      <w:pPr>
        <w:jc w:val="both"/>
      </w:pPr>
      <w:r w:rsidRPr="0072531A">
        <w:t xml:space="preserve">Vincent-Dospital, T., Måløy, K. J., &amp; Toussaint, R. (2021). </w:t>
      </w:r>
      <w:r w:rsidRPr="0072531A">
        <w:rPr>
          <w:i/>
          <w:iCs/>
        </w:rPr>
        <w:t xml:space="preserve">Heat emitting damage in skin: a thermal pathway for mechanical algesia. </w:t>
      </w:r>
      <w:r w:rsidRPr="0072531A">
        <w:t>University of Oslo &amp; University of Strasbourg.</w:t>
      </w:r>
    </w:p>
    <w:p w14:paraId="7AE9BC18" w14:textId="77777777" w:rsidR="0072531A" w:rsidRDefault="0072531A" w:rsidP="0072531A">
      <w:pPr>
        <w:jc w:val="both"/>
      </w:pPr>
      <w:r w:rsidRPr="0072531A">
        <w:t xml:space="preserve">Zhang, C., Wu, X., Xiao, D., Zhang, X., Lei, X., &amp; Lin, S. (2023). </w:t>
      </w:r>
      <w:r w:rsidRPr="0072531A">
        <w:rPr>
          <w:i/>
          <w:iCs/>
        </w:rPr>
        <w:t>An automatic ear temperature monitoring method for group-housed pigs adopting infrared thermography.</w:t>
      </w:r>
      <w:r w:rsidRPr="0072531A">
        <w:t xml:space="preserve"> Kaili University &amp; South China Agricultural University.</w:t>
      </w:r>
    </w:p>
    <w:p w14:paraId="3E178470" w14:textId="77777777" w:rsidR="003A16A9" w:rsidRDefault="003A16A9" w:rsidP="0072531A">
      <w:pPr>
        <w:jc w:val="both"/>
      </w:pPr>
    </w:p>
    <w:p w14:paraId="285E3893" w14:textId="77777777" w:rsidR="003A16A9" w:rsidRPr="0072531A" w:rsidRDefault="003A16A9" w:rsidP="0072531A">
      <w:pPr>
        <w:jc w:val="both"/>
      </w:pPr>
    </w:p>
    <w:p w14:paraId="73E1D15D" w14:textId="77777777" w:rsidR="0072531A" w:rsidRPr="003A16A9" w:rsidRDefault="0072531A" w:rsidP="0072531A">
      <w:pPr>
        <w:jc w:val="both"/>
      </w:pPr>
      <w:r w:rsidRPr="003A16A9">
        <w:rPr>
          <w:b/>
          <w:bCs/>
        </w:rPr>
        <w:lastRenderedPageBreak/>
        <w:t>Καρδιομετατροπή στον Κολπικό Ινιδισμό του Σκύλου: Προγνωστικοί Παράγοντες για τη Διατήρηση του Φλεβοκομβικού Ρυθμού.</w:t>
      </w:r>
    </w:p>
    <w:p w14:paraId="3929C550" w14:textId="77777777" w:rsidR="0072531A" w:rsidRPr="0072531A" w:rsidRDefault="0072531A" w:rsidP="0072531A">
      <w:pPr>
        <w:jc w:val="both"/>
      </w:pPr>
      <w:r w:rsidRPr="0072531A">
        <w:t>Σκαμπάς Νικήτας - Μύρωνας</w:t>
      </w:r>
      <w:r w:rsidRPr="0072531A">
        <w:rPr>
          <w:vertAlign w:val="superscript"/>
        </w:rPr>
        <w:t>1</w:t>
      </w:r>
      <w:r w:rsidRPr="0072531A">
        <w:t>, Κουτίνας Χρήστος</w:t>
      </w:r>
      <w:r w:rsidRPr="0072531A">
        <w:rPr>
          <w:vertAlign w:val="superscript"/>
        </w:rPr>
        <w:t>2</w:t>
      </w:r>
    </w:p>
    <w:p w14:paraId="12835087" w14:textId="77777777" w:rsidR="0072531A" w:rsidRPr="0072531A" w:rsidRDefault="0072531A">
      <w:pPr>
        <w:numPr>
          <w:ilvl w:val="0"/>
          <w:numId w:val="131"/>
        </w:numPr>
        <w:jc w:val="both"/>
      </w:pPr>
      <w:r w:rsidRPr="0072531A">
        <w:rPr>
          <w:vertAlign w:val="superscript"/>
        </w:rPr>
        <w:t> </w:t>
      </w:r>
      <w:r w:rsidRPr="0072531A">
        <w:t>Προπτυχιακός φοιτητής, Τμήμα Κτηνιατρικής, Σχολή Επιστημών Υγείας, Αριστοτέλειο Πανεπιστήμιο Θεσσαλονίκης</w:t>
      </w:r>
    </w:p>
    <w:p w14:paraId="52B502F0" w14:textId="77777777" w:rsidR="0072531A" w:rsidRPr="003A16A9" w:rsidRDefault="0072531A">
      <w:pPr>
        <w:numPr>
          <w:ilvl w:val="0"/>
          <w:numId w:val="131"/>
        </w:numPr>
        <w:jc w:val="both"/>
      </w:pPr>
      <w:r w:rsidRPr="0072531A">
        <w:rPr>
          <w:vertAlign w:val="superscript"/>
        </w:rPr>
        <w:t> </w:t>
      </w:r>
      <w:r w:rsidRPr="0072531A">
        <w:t>Αναπληρωτής Καθηγητής, Κλινική Ζώων Συντροφιάς, Τμήμα Κτηνιατρικής, Σχολή Επιστημών Υγείας, Αριστοτέλειο Πανεπιστήμιο Θεσσαλονίκης.</w:t>
      </w:r>
    </w:p>
    <w:p w14:paraId="282A2E5E" w14:textId="77777777" w:rsidR="003A16A9" w:rsidRPr="0072531A" w:rsidRDefault="003A16A9" w:rsidP="003A16A9">
      <w:pPr>
        <w:ind w:left="720"/>
        <w:jc w:val="both"/>
      </w:pPr>
    </w:p>
    <w:p w14:paraId="053E9E5D" w14:textId="77777777" w:rsidR="0072531A" w:rsidRPr="0072531A" w:rsidRDefault="0072531A" w:rsidP="0072531A">
      <w:pPr>
        <w:jc w:val="both"/>
      </w:pPr>
      <w:r w:rsidRPr="0072531A">
        <w:rPr>
          <w:b/>
          <w:bCs/>
        </w:rPr>
        <w:t>Περίληψη</w:t>
      </w:r>
    </w:p>
    <w:p w14:paraId="4E4DFBD9" w14:textId="77777777" w:rsidR="0072531A" w:rsidRPr="0072531A" w:rsidRDefault="0072531A" w:rsidP="0072531A">
      <w:pPr>
        <w:jc w:val="both"/>
      </w:pPr>
      <w:r w:rsidRPr="0072531A">
        <w:t>Ο κολπικός ινιδισμός (AF) είναι η συχνότερη κλινικά αρρυθμία στον σκύλο, προκαλώντας προοδευτική ηλεκτρική και δομική αναδιαμόρφωση. Η διατήρηση του AF οδηγεί σε διάχυτη κολπική ίνωση, ανεξάρτητα από την ύπαρξη καρδιακής ανεπάρκειας, ενώ η ταχεία κοιλιακή ανταπόκριση επιβαρύνει περαιτέρω το μυοκάρδιο. Σκοπός της ανασκόπησης είναι η παρουσίαση της καρδιομετατροπής (rhythm control) ως εναλλακτική θεραπεία και υπό ποιες συνθήκες υπερτερεί της ρύθμισης της καρδιακής συχνότητας(rate control), η οποία εφαρμόζεται στην κλινική πράξη πιο συχνά .</w:t>
      </w:r>
    </w:p>
    <w:p w14:paraId="20C3982A" w14:textId="77777777" w:rsidR="0072531A" w:rsidRPr="0072531A" w:rsidRDefault="0072531A" w:rsidP="0072531A">
      <w:pPr>
        <w:jc w:val="both"/>
      </w:pPr>
      <w:r w:rsidRPr="0072531A">
        <w:t>Σύμφωνα με τη βιβλιογραφική ανασκόπηση, η ηλεκτρική καρδιομετατροπή υπερτερεί σημαντικά της φαρμακευτικής ανάταξης, με ποσοστά επιτυχίας 92% έναντι 35%. Ωστόσο, η μακροχρόνια διατήρηση του φλεβοκομβικού ρυθμού μετά την επέμβαση παραμένει πρόκληση και εξαρτάται άμεσα από τη χρονιότητα της αρρυθμίας. Δεδομένα υποδεικνύουν ότι διάρκεια AF &lt; 75 ημέρες συνδέεται με ευνοϊκότερη πρόγνωση, ενώ η παρουσία εκφυλιστικής νόσου της μιτροειδούς και η διάταση του αριστερού κόλπου αποτελούν ισχυρούς αρνητικούς προγνωστικούς δείκτες που αυξάνουν την πιθανότητα υποτροπής.</w:t>
      </w:r>
    </w:p>
    <w:p w14:paraId="0AB13F0E" w14:textId="77777777" w:rsidR="0072531A" w:rsidRPr="0072531A" w:rsidRDefault="0072531A" w:rsidP="0072531A">
      <w:pPr>
        <w:jc w:val="both"/>
      </w:pPr>
      <w:r w:rsidRPr="0072531A">
        <w:t>Συμπερασματικά, η εργασία αναδεικνύει την ανάγκη για πρώιμη καρδιομετατροπή, με σκοπό την αποφυγή μη αναστρέψιμων δομικών αλλοιώσεων και την διατήρηση φλεβοκομβικού ρυθμού για μεγαλύτερο χρονικό διάστημα. Η ορθή επιλογή ασθενούς βάσει του ιστορικού και της βαρύτητας της υποκείμενης νόσου είναι καθοριστική για την κλινική έκβαση και τη επιτυχία του rhythm control.</w:t>
      </w:r>
    </w:p>
    <w:p w14:paraId="4CCCAD9D" w14:textId="77777777" w:rsidR="0072531A" w:rsidRPr="0072531A" w:rsidRDefault="0072531A" w:rsidP="0072531A">
      <w:pPr>
        <w:jc w:val="both"/>
      </w:pPr>
    </w:p>
    <w:p w14:paraId="632D3C58" w14:textId="77777777" w:rsidR="0072531A" w:rsidRPr="0072531A" w:rsidRDefault="0072531A" w:rsidP="0072531A">
      <w:pPr>
        <w:jc w:val="both"/>
      </w:pPr>
      <w:r w:rsidRPr="0072531A">
        <w:rPr>
          <w:b/>
          <w:bCs/>
        </w:rPr>
        <w:t>Βιβλιογραφία</w:t>
      </w:r>
    </w:p>
    <w:p w14:paraId="5970F3C7" w14:textId="77777777" w:rsidR="0072531A" w:rsidRPr="0072531A" w:rsidRDefault="0072531A" w:rsidP="0072531A">
      <w:pPr>
        <w:jc w:val="both"/>
      </w:pPr>
      <w:r w:rsidRPr="0072531A">
        <w:t xml:space="preserve">Allen, J., &amp; Côté, É. (2024). </w:t>
      </w:r>
      <w:r w:rsidRPr="0072531A">
        <w:rPr>
          <w:i/>
          <w:iCs/>
        </w:rPr>
        <w:t>Effects of acute atrial fibrillation and cardioversion on left and right atrial pressures in a dog.</w:t>
      </w:r>
      <w:r w:rsidRPr="0072531A">
        <w:t xml:space="preserve"> PubMed, 65(2), 115–118.</w:t>
      </w:r>
      <w:hyperlink r:id="rId185" w:history="1">
        <w:r w:rsidRPr="0072531A">
          <w:rPr>
            <w:rStyle w:val="-"/>
          </w:rPr>
          <w:t> </w:t>
        </w:r>
      </w:hyperlink>
    </w:p>
    <w:p w14:paraId="5D450424" w14:textId="77777777" w:rsidR="0072531A" w:rsidRPr="0072531A" w:rsidRDefault="0072531A" w:rsidP="0072531A">
      <w:pPr>
        <w:jc w:val="both"/>
      </w:pPr>
      <w:r w:rsidRPr="0072531A">
        <w:t xml:space="preserve">Avitall, B., Bi, J., Mykytsey, A., &amp; Chicos, A. (2008). </w:t>
      </w:r>
      <w:r w:rsidRPr="0072531A">
        <w:rPr>
          <w:i/>
          <w:iCs/>
        </w:rPr>
        <w:t>Atrial and ventricular fibrosis induced by atrial fibrillation: Evidence to support early rhythm control.</w:t>
      </w:r>
      <w:r w:rsidRPr="0072531A">
        <w:t xml:space="preserve"> Heart Rhythm, 5(6), 839–845.</w:t>
      </w:r>
      <w:hyperlink r:id="rId186" w:history="1">
        <w:r w:rsidRPr="0072531A">
          <w:rPr>
            <w:rStyle w:val="-"/>
          </w:rPr>
          <w:t> </w:t>
        </w:r>
      </w:hyperlink>
    </w:p>
    <w:p w14:paraId="3BBCB3AB" w14:textId="77777777" w:rsidR="0072531A" w:rsidRPr="0072531A" w:rsidRDefault="0072531A" w:rsidP="0072531A">
      <w:pPr>
        <w:jc w:val="both"/>
      </w:pPr>
      <w:r w:rsidRPr="0072531A">
        <w:t xml:space="preserve">Bright, J. M., &amp; zumBrunnen, J. (2008). </w:t>
      </w:r>
      <w:r w:rsidRPr="0072531A">
        <w:rPr>
          <w:i/>
          <w:iCs/>
        </w:rPr>
        <w:t>Chronicity of atrial fibrillation affects duration of sinus rhythm after transthoracic cardioversion of dogs with naturally occurring atrial fibrillation.</w:t>
      </w:r>
      <w:r w:rsidRPr="0072531A">
        <w:t xml:space="preserve"> Journal of Veterinary Internal Medicine, 22(1), 114–119.</w:t>
      </w:r>
      <w:hyperlink r:id="rId187" w:history="1">
        <w:r w:rsidRPr="0072531A">
          <w:rPr>
            <w:rStyle w:val="-"/>
          </w:rPr>
          <w:t> </w:t>
        </w:r>
      </w:hyperlink>
    </w:p>
    <w:p w14:paraId="514571C0" w14:textId="77777777" w:rsidR="0072531A" w:rsidRPr="0072531A" w:rsidRDefault="0072531A" w:rsidP="0072531A">
      <w:pPr>
        <w:jc w:val="both"/>
      </w:pPr>
      <w:r w:rsidRPr="0072531A">
        <w:t xml:space="preserve">Bright, J. M., Martin, J. M., &amp; Mama, K. (2005). </w:t>
      </w:r>
      <w:r w:rsidRPr="0072531A">
        <w:rPr>
          <w:i/>
          <w:iCs/>
        </w:rPr>
        <w:t>A retrospective evaluation of transthoracic biphasic electrical cardioversion for atrial fibrillation in dogs.</w:t>
      </w:r>
      <w:r w:rsidRPr="0072531A">
        <w:t xml:space="preserve"> Journal of Veterinary Cardiology, 7(2), 85–96.</w:t>
      </w:r>
      <w:hyperlink r:id="rId188" w:history="1">
        <w:r w:rsidRPr="0072531A">
          <w:rPr>
            <w:rStyle w:val="-"/>
          </w:rPr>
          <w:t> </w:t>
        </w:r>
      </w:hyperlink>
    </w:p>
    <w:p w14:paraId="7029A94A" w14:textId="77777777" w:rsidR="0072531A" w:rsidRPr="0072531A" w:rsidRDefault="0072531A" w:rsidP="0072531A">
      <w:pPr>
        <w:jc w:val="both"/>
      </w:pPr>
      <w:r w:rsidRPr="0072531A">
        <w:lastRenderedPageBreak/>
        <w:t xml:space="preserve">Pedro, B., Fontes-Sousa, A. P., &amp; Gelzer, A. R. (2020). </w:t>
      </w:r>
      <w:r w:rsidRPr="0072531A">
        <w:rPr>
          <w:i/>
          <w:iCs/>
        </w:rPr>
        <w:t>Diagnosis and management of canine atrial fibrillation.</w:t>
      </w:r>
      <w:r w:rsidRPr="0072531A">
        <w:t xml:space="preserve"> Veterinary Journal, 265, 105549.</w:t>
      </w:r>
      <w:hyperlink r:id="rId189" w:history="1">
        <w:r w:rsidRPr="0072531A">
          <w:rPr>
            <w:rStyle w:val="-"/>
          </w:rPr>
          <w:t> </w:t>
        </w:r>
      </w:hyperlink>
    </w:p>
    <w:p w14:paraId="09507439" w14:textId="77777777" w:rsidR="0072531A" w:rsidRPr="0072531A" w:rsidRDefault="0072531A" w:rsidP="0072531A">
      <w:pPr>
        <w:jc w:val="both"/>
      </w:pPr>
      <w:r w:rsidRPr="0072531A">
        <w:t xml:space="preserve">Romito, G., Gemma, N., Dondi, F., Mazzoldi, C., Fasoli, S., &amp; Cipone, M. (2024). </w:t>
      </w:r>
      <w:r w:rsidRPr="0072531A">
        <w:rPr>
          <w:i/>
          <w:iCs/>
        </w:rPr>
        <w:t>Efficacy and safety of antiarrhythmic therapy in dogs with naturally acquired tachyarrhythmias treated with amiodarone or sotalol: A retrospective analysis of 64 cases.</w:t>
      </w:r>
      <w:r w:rsidRPr="0072531A">
        <w:t xml:space="preserve"> Journal of Veterinary Cardiology, 53, 20–35.</w:t>
      </w:r>
    </w:p>
    <w:p w14:paraId="6E875764" w14:textId="77777777" w:rsidR="0072531A" w:rsidRDefault="0072531A" w:rsidP="0072531A">
      <w:pPr>
        <w:jc w:val="both"/>
      </w:pPr>
      <w:r w:rsidRPr="0072531A">
        <w:t xml:space="preserve">Ward, J., Ware, W., &amp; Viall, A. (2018). </w:t>
      </w:r>
      <w:r w:rsidRPr="0072531A">
        <w:rPr>
          <w:i/>
          <w:iCs/>
        </w:rPr>
        <w:t>Association between atrial fibrillation and right-sided manifestations of congestive heart failure in dogs with degenerative mitral valve disease or dilated cardiomyopathy.</w:t>
      </w:r>
      <w:r w:rsidRPr="0072531A">
        <w:t xml:space="preserve"> Journal of Veterinary Cardiology, 21, 18–27. </w:t>
      </w:r>
    </w:p>
    <w:p w14:paraId="716199E6" w14:textId="77777777" w:rsidR="003A16A9" w:rsidRDefault="003A16A9" w:rsidP="0072531A">
      <w:pPr>
        <w:jc w:val="both"/>
      </w:pPr>
    </w:p>
    <w:p w14:paraId="41F8BC9A" w14:textId="77777777" w:rsidR="003A16A9" w:rsidRDefault="003A16A9" w:rsidP="0072531A">
      <w:pPr>
        <w:jc w:val="both"/>
      </w:pPr>
    </w:p>
    <w:p w14:paraId="006C3AF6" w14:textId="77777777" w:rsidR="003A16A9" w:rsidRDefault="003A16A9" w:rsidP="0072531A">
      <w:pPr>
        <w:jc w:val="both"/>
      </w:pPr>
    </w:p>
    <w:p w14:paraId="59C7453A" w14:textId="77777777" w:rsidR="003A16A9" w:rsidRDefault="003A16A9" w:rsidP="0072531A">
      <w:pPr>
        <w:jc w:val="both"/>
      </w:pPr>
    </w:p>
    <w:p w14:paraId="3C12DDBD" w14:textId="77777777" w:rsidR="003A16A9" w:rsidRDefault="003A16A9" w:rsidP="0072531A">
      <w:pPr>
        <w:jc w:val="both"/>
      </w:pPr>
    </w:p>
    <w:p w14:paraId="0EE93472" w14:textId="77777777" w:rsidR="003A16A9" w:rsidRDefault="003A16A9" w:rsidP="0072531A">
      <w:pPr>
        <w:jc w:val="both"/>
      </w:pPr>
    </w:p>
    <w:p w14:paraId="0D25D8E4" w14:textId="77777777" w:rsidR="003A16A9" w:rsidRDefault="003A16A9" w:rsidP="0072531A">
      <w:pPr>
        <w:jc w:val="both"/>
      </w:pPr>
    </w:p>
    <w:p w14:paraId="5D0ACB72" w14:textId="77777777" w:rsidR="003A16A9" w:rsidRDefault="003A16A9" w:rsidP="0072531A">
      <w:pPr>
        <w:jc w:val="both"/>
      </w:pPr>
    </w:p>
    <w:p w14:paraId="60448B3C" w14:textId="77777777" w:rsidR="003A16A9" w:rsidRDefault="003A16A9" w:rsidP="0072531A">
      <w:pPr>
        <w:jc w:val="both"/>
      </w:pPr>
    </w:p>
    <w:p w14:paraId="1507188C" w14:textId="77777777" w:rsidR="003A16A9" w:rsidRDefault="003A16A9" w:rsidP="0072531A">
      <w:pPr>
        <w:jc w:val="both"/>
      </w:pPr>
    </w:p>
    <w:p w14:paraId="2102F9EC" w14:textId="77777777" w:rsidR="003A16A9" w:rsidRDefault="003A16A9" w:rsidP="0072531A">
      <w:pPr>
        <w:jc w:val="both"/>
      </w:pPr>
    </w:p>
    <w:p w14:paraId="01DCBB90" w14:textId="77777777" w:rsidR="003A16A9" w:rsidRDefault="003A16A9" w:rsidP="0072531A">
      <w:pPr>
        <w:jc w:val="both"/>
      </w:pPr>
    </w:p>
    <w:p w14:paraId="7BD7B3F6" w14:textId="77777777" w:rsidR="003A16A9" w:rsidRDefault="003A16A9" w:rsidP="0072531A">
      <w:pPr>
        <w:jc w:val="both"/>
      </w:pPr>
    </w:p>
    <w:p w14:paraId="6D115971" w14:textId="77777777" w:rsidR="003A16A9" w:rsidRDefault="003A16A9" w:rsidP="0072531A">
      <w:pPr>
        <w:jc w:val="both"/>
      </w:pPr>
    </w:p>
    <w:p w14:paraId="3D2935C7" w14:textId="77777777" w:rsidR="003A16A9" w:rsidRDefault="003A16A9" w:rsidP="0072531A">
      <w:pPr>
        <w:jc w:val="both"/>
      </w:pPr>
    </w:p>
    <w:p w14:paraId="4D988BE0" w14:textId="77777777" w:rsidR="003A16A9" w:rsidRDefault="003A16A9" w:rsidP="0072531A">
      <w:pPr>
        <w:jc w:val="both"/>
      </w:pPr>
    </w:p>
    <w:p w14:paraId="1DD9616F" w14:textId="77777777" w:rsidR="003A16A9" w:rsidRDefault="003A16A9" w:rsidP="0072531A">
      <w:pPr>
        <w:jc w:val="both"/>
      </w:pPr>
    </w:p>
    <w:p w14:paraId="1B458DF0" w14:textId="77777777" w:rsidR="003A16A9" w:rsidRDefault="003A16A9" w:rsidP="0072531A">
      <w:pPr>
        <w:jc w:val="both"/>
      </w:pPr>
    </w:p>
    <w:p w14:paraId="2F8D4B57" w14:textId="77777777" w:rsidR="003A16A9" w:rsidRDefault="003A16A9" w:rsidP="0072531A">
      <w:pPr>
        <w:jc w:val="both"/>
      </w:pPr>
    </w:p>
    <w:p w14:paraId="6213F44C" w14:textId="77777777" w:rsidR="003A16A9" w:rsidRDefault="003A16A9" w:rsidP="0072531A">
      <w:pPr>
        <w:jc w:val="both"/>
      </w:pPr>
    </w:p>
    <w:p w14:paraId="57D0E788" w14:textId="77777777" w:rsidR="003A16A9" w:rsidRDefault="003A16A9" w:rsidP="0072531A">
      <w:pPr>
        <w:jc w:val="both"/>
      </w:pPr>
    </w:p>
    <w:p w14:paraId="6B641197" w14:textId="77777777" w:rsidR="003A16A9" w:rsidRDefault="003A16A9" w:rsidP="0072531A">
      <w:pPr>
        <w:jc w:val="both"/>
      </w:pPr>
    </w:p>
    <w:p w14:paraId="2124B149" w14:textId="77777777" w:rsidR="003A16A9" w:rsidRDefault="003A16A9" w:rsidP="0072531A">
      <w:pPr>
        <w:jc w:val="both"/>
      </w:pPr>
    </w:p>
    <w:p w14:paraId="23A1D3D7" w14:textId="77777777" w:rsidR="003A16A9" w:rsidRPr="0072531A" w:rsidRDefault="003A16A9" w:rsidP="0072531A">
      <w:pPr>
        <w:jc w:val="both"/>
      </w:pPr>
    </w:p>
    <w:p w14:paraId="5930895E" w14:textId="77777777" w:rsidR="0072531A" w:rsidRPr="0072531A" w:rsidRDefault="0072531A" w:rsidP="0072531A">
      <w:pPr>
        <w:jc w:val="both"/>
      </w:pPr>
      <w:r w:rsidRPr="0072531A">
        <w:rPr>
          <w:b/>
          <w:bCs/>
        </w:rPr>
        <w:lastRenderedPageBreak/>
        <w:t>Μαυρόγυπας (</w:t>
      </w:r>
      <w:r w:rsidRPr="0072531A">
        <w:rPr>
          <w:b/>
          <w:bCs/>
          <w:i/>
          <w:iCs/>
        </w:rPr>
        <w:t>Aegypius monachus</w:t>
      </w:r>
      <w:r w:rsidRPr="0072531A">
        <w:rPr>
          <w:b/>
          <w:bCs/>
        </w:rPr>
        <w:t>)- Οι Σιωπηλοί Καθαριστές της Φύσης σε Κίνδυνο</w:t>
      </w:r>
    </w:p>
    <w:p w14:paraId="3612C6AC" w14:textId="77777777" w:rsidR="0072531A" w:rsidRPr="0072531A" w:rsidRDefault="0072531A" w:rsidP="0072531A">
      <w:pPr>
        <w:jc w:val="both"/>
      </w:pPr>
      <w:r w:rsidRPr="0072531A">
        <w:t>Δρικάκη Χριστίνα</w:t>
      </w:r>
      <w:r w:rsidRPr="0072531A">
        <w:rPr>
          <w:vertAlign w:val="superscript"/>
        </w:rPr>
        <w:t xml:space="preserve">1 </w:t>
      </w:r>
      <w:r w:rsidRPr="0072531A">
        <w:t>,Αδαμοπούλου Βερονίκη-Γεωργία</w:t>
      </w:r>
      <w:r w:rsidRPr="0072531A">
        <w:rPr>
          <w:vertAlign w:val="superscript"/>
        </w:rPr>
        <w:t>1</w:t>
      </w:r>
      <w:r w:rsidRPr="0072531A">
        <w:t>, Κομνηνού Αναστασία</w:t>
      </w:r>
      <w:r w:rsidRPr="0072531A">
        <w:rPr>
          <w:vertAlign w:val="superscript"/>
        </w:rPr>
        <w:t>2  </w:t>
      </w:r>
    </w:p>
    <w:p w14:paraId="095C8111" w14:textId="77777777" w:rsidR="0072531A" w:rsidRPr="0072531A" w:rsidRDefault="0072531A">
      <w:pPr>
        <w:numPr>
          <w:ilvl w:val="0"/>
          <w:numId w:val="132"/>
        </w:numPr>
        <w:jc w:val="both"/>
      </w:pPr>
      <w:r w:rsidRPr="0072531A">
        <w:t>Προπτυχιακή φοιτήτρια, Τμήμα Κτηνιατρικής, Σχολή Επιστημών Υγείας, Αριστοτέλειο Πανεπιστήμιο Θεσσαλονίκης</w:t>
      </w:r>
    </w:p>
    <w:p w14:paraId="3CD00EB7" w14:textId="77777777" w:rsidR="0072531A" w:rsidRPr="003A16A9" w:rsidRDefault="0072531A">
      <w:pPr>
        <w:numPr>
          <w:ilvl w:val="0"/>
          <w:numId w:val="132"/>
        </w:numPr>
        <w:jc w:val="both"/>
      </w:pPr>
      <w:r w:rsidRPr="0072531A">
        <w:t>Καθηγήτρια, Τμήμα Κτηνιατρικής, Σχολή Επιστημών Υγείας, Αριστοτέλειο Πανεπιστήμιο Θεσσαλονίκης</w:t>
      </w:r>
    </w:p>
    <w:p w14:paraId="092B81C4" w14:textId="77777777" w:rsidR="003A16A9" w:rsidRPr="0072531A" w:rsidRDefault="003A16A9" w:rsidP="003A16A9">
      <w:pPr>
        <w:ind w:left="720"/>
        <w:jc w:val="both"/>
      </w:pPr>
    </w:p>
    <w:p w14:paraId="14D15C66" w14:textId="77777777" w:rsidR="0072531A" w:rsidRPr="0072531A" w:rsidRDefault="0072531A" w:rsidP="0072531A">
      <w:pPr>
        <w:jc w:val="both"/>
      </w:pPr>
      <w:r w:rsidRPr="0072531A">
        <w:rPr>
          <w:b/>
          <w:bCs/>
        </w:rPr>
        <w:t>Περίληψη</w:t>
      </w:r>
    </w:p>
    <w:p w14:paraId="3ED26755" w14:textId="77777777" w:rsidR="0072531A" w:rsidRPr="0072531A" w:rsidRDefault="0072531A" w:rsidP="0072531A">
      <w:pPr>
        <w:jc w:val="both"/>
      </w:pPr>
      <w:r w:rsidRPr="0072531A">
        <w:t>Ο μαυρόγυπας (</w:t>
      </w:r>
      <w:r w:rsidRPr="0072531A">
        <w:rPr>
          <w:i/>
          <w:iCs/>
        </w:rPr>
        <w:t>Aegypius monachus</w:t>
      </w:r>
      <w:r w:rsidRPr="0072531A">
        <w:t>) αποτελεί το μεγαλύτερο είδος γύπα στην Ευρώπη και διαδραματίζει καθοριστικό ρόλο στη διατήρηση της οικολογικής ισορροπίας. Κατατάσσεται ως Σχεδόν Απειλούμενο (Near Threatened, NT-IUCN), ενώ ο ευρωπαϊκός πληθυσμός του έχει υποστεί σημαντική μείωση, περιοριζόμενος σήμερα κυρίως στην Ιβηρική Χερσόνησο και την Ελλάδα. Ο μοναδικός αναπαραγόμενος πληθυσμός στα Βαλκανια εντοπίζεται στο Εθνικό Πάρκο Δάσους Δαδιάς–Σουφλίου–Λευκίμης και εκτιμάται σε 29–35 ζεύγη, χωρίς να συμπεριλαμβάνονται τα εννέα άτομα που θανατώθηκαν τον Μάρτιο του 2026 από δηλητηριασμένα δολώματα. Στην Ελλάδα, το είδος απειλείται κυρίως κυρίως από τη μειωμένη διαθεσιμότητα τροφής, την υποβάθμιση ενδιαιτημάτων του, τις δασικές πυρκαγιές, τις δευτερογενείς δηλητηριάσεις, καθώς και από συγκρούσεις με ανεμογεννήτριες και ηλεκτροφόρα καλώδια. Ως πτωματοφάγο είδος, ο μαυρόγυπας παρουσιάζει εξειδικευμένες φυσιολογικές και ανατομικές προσαρμογές όπως εξαιρετικά όξινο γαστρικό pH (0–1), ανθεκτικό ανοσοποιητικό σύστημα, παχύ οισοφάγο και ανεπτυγμένο πρόλοβο, που του επιτρέπουν την ασφαλή κατανάλωση αποσυντιθέμενης βιομάζας και οστών, ακόμη και παρουσία παθογόνων μικροοργανισμών. Η οικολογική του σημασία είναι ιδιαίτερα σημαντική, καθώς συμβάλλει στην ταχεία απομάκρυνση ζωικών πτωμάτων, μειώνοντας το μικροβιακό φορτίο παθογόνων και περιορίζοντας την επαφή μεταξύ άλλων σαρκοφάγων ειδών. Με τον τρόπο αυτό συμβάλλει ουσιαστικά στον περιορισμό της διασποράς λοιμωδών νοσημάτων και ζωοανθρωπονόσων, προστατεύοντας παράλληλα τη δημόσια υγεία. Παρά τις υφιστάμενες πιέσεις, η προοπτική διατήρησης του είδους παρουσιάζει σημάδια βελτίωσης, χάρη στην εφαρμογή στοχευμένων δράσεων προστασίας, προγραμμάτων επανεισαγωγής (π.χ. Βουλγαρία), καθώς και στην ενίσχυση του θεσμικού πλαισίου για τον έλεγχο της χρήσης δηλητηριασμένων δολωμάτων και κτηνιατρικών φαρμάκων (ιδίως NSAIDs), με παράλληλη έμφαση στην προστασία των κρίσιμων ενδιαιτημάτων του.</w:t>
      </w:r>
    </w:p>
    <w:p w14:paraId="28D2FD26" w14:textId="77777777" w:rsidR="0072531A" w:rsidRPr="0072531A" w:rsidRDefault="0072531A" w:rsidP="0072531A">
      <w:pPr>
        <w:jc w:val="both"/>
      </w:pPr>
    </w:p>
    <w:p w14:paraId="41466968" w14:textId="77777777" w:rsidR="0072531A" w:rsidRPr="0072531A" w:rsidRDefault="0072531A" w:rsidP="0072531A">
      <w:pPr>
        <w:jc w:val="both"/>
      </w:pPr>
      <w:r w:rsidRPr="0072531A">
        <w:rPr>
          <w:b/>
          <w:bCs/>
        </w:rPr>
        <w:t>Βιβλιογραφία</w:t>
      </w:r>
    </w:p>
    <w:p w14:paraId="45468303" w14:textId="77777777" w:rsidR="0072531A" w:rsidRPr="0072531A" w:rsidRDefault="0072531A" w:rsidP="0072531A">
      <w:pPr>
        <w:jc w:val="both"/>
      </w:pPr>
      <w:r w:rsidRPr="0072531A">
        <w:t xml:space="preserve">Chung, O., Jin, S., Cho, Y. S., Lim, J., Kim, H., Jho, S., Kim, H.-M., Jun, J., Lee, H., Chon, A., Ko, J., Edwards, J., Weber, J. A., Han, K., O’Brien, S. J., Manica, A., Bhak, J., &amp; Paek, W. K. (2015). The first whole genome and transcriptome of the cinereous vulture reveals adaptation in the gastric and immune defense systems and possible convergent evolution between the Old and New World vultures. </w:t>
      </w:r>
      <w:r w:rsidRPr="0072531A">
        <w:rPr>
          <w:i/>
          <w:iCs/>
        </w:rPr>
        <w:t>Genome Biology, 16</w:t>
      </w:r>
      <w:r w:rsidRPr="0072531A">
        <w:t>, 215.</w:t>
      </w:r>
      <w:hyperlink r:id="rId190" w:history="1">
        <w:r w:rsidRPr="0072531A">
          <w:rPr>
            <w:rStyle w:val="-"/>
          </w:rPr>
          <w:t> </w:t>
        </w:r>
      </w:hyperlink>
    </w:p>
    <w:p w14:paraId="3D1CE7D3" w14:textId="77777777" w:rsidR="0072531A" w:rsidRPr="0072531A" w:rsidRDefault="0072531A" w:rsidP="0072531A">
      <w:pPr>
        <w:jc w:val="both"/>
      </w:pPr>
      <w:r w:rsidRPr="0072531A">
        <w:t xml:space="preserve">DeVault, T. L., Rhodes, O. E., &amp; Shivik, J. A. (2003). Scavenging by vertebrates: Behavioral, ecological, and evolutionary perspectives on an important energy transfer pathway in terrestrial ecosystems. </w:t>
      </w:r>
      <w:r w:rsidRPr="0072531A">
        <w:rPr>
          <w:i/>
          <w:iCs/>
        </w:rPr>
        <w:t>Oikos, 102</w:t>
      </w:r>
      <w:r w:rsidRPr="0072531A">
        <w:t>(2), 225–234.</w:t>
      </w:r>
      <w:hyperlink r:id="rId191" w:history="1">
        <w:r w:rsidRPr="0072531A">
          <w:rPr>
            <w:rStyle w:val="-"/>
          </w:rPr>
          <w:t> </w:t>
        </w:r>
      </w:hyperlink>
    </w:p>
    <w:p w14:paraId="18F66C69" w14:textId="77777777" w:rsidR="0072531A" w:rsidRPr="0072531A" w:rsidRDefault="0072531A" w:rsidP="0072531A">
      <w:pPr>
        <w:jc w:val="both"/>
      </w:pPr>
      <w:r w:rsidRPr="0072531A">
        <w:lastRenderedPageBreak/>
        <w:t xml:space="preserve">MBLC Conference. (2025). The importance of vultures for ecological stability and human society. </w:t>
      </w:r>
      <w:r w:rsidRPr="0072531A">
        <w:rPr>
          <w:i/>
          <w:iCs/>
        </w:rPr>
        <w:t>BIO Web of Conferences</w:t>
      </w:r>
      <w:r w:rsidRPr="0072531A">
        <w:t>.</w:t>
      </w:r>
      <w:hyperlink r:id="rId192" w:history="1">
        <w:r w:rsidRPr="0072531A">
          <w:rPr>
            <w:rStyle w:val="-"/>
          </w:rPr>
          <w:t> </w:t>
        </w:r>
      </w:hyperlink>
    </w:p>
    <w:p w14:paraId="40A9BB0E" w14:textId="77777777" w:rsidR="0072531A" w:rsidRPr="0072531A" w:rsidRDefault="0072531A" w:rsidP="0072531A">
      <w:pPr>
        <w:jc w:val="both"/>
      </w:pPr>
      <w:r w:rsidRPr="0072531A">
        <w:t xml:space="preserve">Morales-Reyes, Z., Pérez-García, J. M., Moleón, M., Botella, F., Carrete, M., Donázar, J. A., &amp; Sánchez-Zapata, J. A. (2021). Key ecological role of scavengers in ecosystems. </w:t>
      </w:r>
      <w:r w:rsidRPr="0072531A">
        <w:rPr>
          <w:i/>
          <w:iCs/>
        </w:rPr>
        <w:t>Animals, 11</w:t>
      </w:r>
      <w:r w:rsidRPr="0072531A">
        <w:t>(1), 124.</w:t>
      </w:r>
      <w:hyperlink r:id="rId193" w:history="1">
        <w:r w:rsidRPr="0072531A">
          <w:rPr>
            <w:rStyle w:val="-"/>
          </w:rPr>
          <w:t> </w:t>
        </w:r>
      </w:hyperlink>
    </w:p>
    <w:p w14:paraId="4A79E9CB" w14:textId="77777777" w:rsidR="0072531A" w:rsidRPr="0072531A" w:rsidRDefault="0072531A" w:rsidP="0072531A">
      <w:pPr>
        <w:jc w:val="both"/>
      </w:pPr>
      <w:r w:rsidRPr="0072531A">
        <w:t xml:space="preserve">Sharma, P., et al. (2022). Systematic mapping on the importance of vultures in the Indian public health discourse. </w:t>
      </w:r>
      <w:r w:rsidRPr="0072531A">
        <w:rPr>
          <w:i/>
          <w:iCs/>
        </w:rPr>
        <w:t>Frontiers in Public Health</w:t>
      </w:r>
      <w:r w:rsidRPr="0072531A">
        <w:t>.</w:t>
      </w:r>
      <w:hyperlink r:id="rId194" w:history="1">
        <w:r w:rsidRPr="0072531A">
          <w:rPr>
            <w:rStyle w:val="-"/>
          </w:rPr>
          <w:t> </w:t>
        </w:r>
      </w:hyperlink>
    </w:p>
    <w:p w14:paraId="420AE531" w14:textId="77777777" w:rsidR="0072531A" w:rsidRPr="0072531A" w:rsidRDefault="0072531A" w:rsidP="0072531A">
      <w:pPr>
        <w:jc w:val="both"/>
      </w:pPr>
      <w:r w:rsidRPr="0072531A">
        <w:t>Vlachos, C. G., Bakaloudis, D. E., &amp; Holloway, G. J. (1999). Population trends of black vulture (</w:t>
      </w:r>
      <w:r w:rsidRPr="0072531A">
        <w:rPr>
          <w:i/>
          <w:iCs/>
        </w:rPr>
        <w:t>Aegypius monachus</w:t>
      </w:r>
      <w:r w:rsidRPr="0072531A">
        <w:t xml:space="preserve">) in Dadia Forest, north-eastern Greece following the establishment of a feeding station. </w:t>
      </w:r>
      <w:r w:rsidRPr="0072531A">
        <w:rPr>
          <w:i/>
          <w:iCs/>
        </w:rPr>
        <w:t>Bird Conservation International, 9</w:t>
      </w:r>
      <w:r w:rsidRPr="0072531A">
        <w:t>(2), 113–118.</w:t>
      </w:r>
      <w:hyperlink r:id="rId195" w:history="1">
        <w:r w:rsidRPr="0072531A">
          <w:rPr>
            <w:rStyle w:val="-"/>
          </w:rPr>
          <w:t> </w:t>
        </w:r>
      </w:hyperlink>
    </w:p>
    <w:p w14:paraId="3707577A" w14:textId="77777777" w:rsidR="0072531A" w:rsidRPr="0072531A" w:rsidRDefault="0072531A" w:rsidP="0072531A">
      <w:pPr>
        <w:jc w:val="both"/>
      </w:pPr>
      <w:r w:rsidRPr="0072531A">
        <w:t xml:space="preserve">Vulture Conservation Foundation. (n.d.). </w:t>
      </w:r>
      <w:r w:rsidRPr="0072531A">
        <w:rPr>
          <w:i/>
          <w:iCs/>
        </w:rPr>
        <w:t>LIFE Aegypius return</w:t>
      </w:r>
      <w:r w:rsidRPr="0072531A">
        <w:t>. Retrieved April 16, 2026, from</w:t>
      </w:r>
      <w:hyperlink r:id="rId196" w:history="1">
        <w:r w:rsidRPr="0072531A">
          <w:rPr>
            <w:rStyle w:val="-"/>
          </w:rPr>
          <w:t xml:space="preserve"> https://4vultures.org/life-aegypius-return/</w:t>
        </w:r>
      </w:hyperlink>
    </w:p>
    <w:p w14:paraId="2FB3B285" w14:textId="77777777" w:rsidR="0072531A" w:rsidRPr="0072531A" w:rsidRDefault="0072531A" w:rsidP="0072531A">
      <w:pPr>
        <w:jc w:val="both"/>
      </w:pPr>
      <w:r w:rsidRPr="0072531A">
        <w:t xml:space="preserve">Wildlife Crime Academy. (n.d.). </w:t>
      </w:r>
      <w:r w:rsidRPr="0072531A">
        <w:rPr>
          <w:i/>
          <w:iCs/>
        </w:rPr>
        <w:t>A world of threats and how to mitigate them</w:t>
      </w:r>
      <w:r w:rsidRPr="0072531A">
        <w:t>.</w:t>
      </w:r>
      <w:hyperlink r:id="rId197" w:history="1">
        <w:r w:rsidRPr="0072531A">
          <w:rPr>
            <w:rStyle w:val="-"/>
          </w:rPr>
          <w:t> </w:t>
        </w:r>
      </w:hyperlink>
    </w:p>
    <w:p w14:paraId="1BD471EF" w14:textId="77777777" w:rsidR="0072531A" w:rsidRPr="0072531A" w:rsidRDefault="0072531A" w:rsidP="0072531A">
      <w:pPr>
        <w:jc w:val="both"/>
      </w:pPr>
      <w:r w:rsidRPr="0072531A">
        <w:t xml:space="preserve">Zhang, Y. (2023). The “sanitary” role of necrophagous birds in ecosystems. </w:t>
      </w:r>
      <w:r w:rsidRPr="0072531A">
        <w:rPr>
          <w:i/>
          <w:iCs/>
        </w:rPr>
        <w:t>Highlights in Science, Engineering and Technology</w:t>
      </w:r>
      <w:r w:rsidRPr="0072531A">
        <w:t>. </w:t>
      </w:r>
    </w:p>
    <w:p w14:paraId="470B08B2" w14:textId="77777777" w:rsidR="003A16A9" w:rsidRDefault="0072531A" w:rsidP="0072531A">
      <w:pPr>
        <w:jc w:val="both"/>
      </w:pPr>
      <w:r w:rsidRPr="0072531A">
        <w:br/>
      </w:r>
      <w:r w:rsidRPr="0072531A">
        <w:br/>
      </w:r>
      <w:r w:rsidRPr="0072531A">
        <w:br/>
      </w:r>
      <w:r w:rsidRPr="0072531A">
        <w:br/>
      </w:r>
      <w:r w:rsidRPr="0072531A">
        <w:br/>
      </w:r>
      <w:r w:rsidRPr="0072531A">
        <w:br/>
      </w:r>
      <w:r w:rsidRPr="0072531A">
        <w:br/>
      </w:r>
      <w:r w:rsidRPr="0072531A">
        <w:br/>
      </w:r>
      <w:r w:rsidRPr="0072531A">
        <w:br/>
      </w:r>
      <w:r w:rsidRPr="0072531A">
        <w:br/>
      </w:r>
    </w:p>
    <w:p w14:paraId="3AAC1FA4" w14:textId="77777777" w:rsidR="003A16A9" w:rsidRDefault="003A16A9" w:rsidP="0072531A">
      <w:pPr>
        <w:jc w:val="both"/>
      </w:pPr>
    </w:p>
    <w:p w14:paraId="486CA741" w14:textId="77777777" w:rsidR="003A16A9" w:rsidRDefault="003A16A9" w:rsidP="0072531A">
      <w:pPr>
        <w:jc w:val="both"/>
      </w:pPr>
    </w:p>
    <w:p w14:paraId="7965B8AC" w14:textId="77777777" w:rsidR="003A16A9" w:rsidRDefault="003A16A9" w:rsidP="0072531A">
      <w:pPr>
        <w:jc w:val="both"/>
      </w:pPr>
    </w:p>
    <w:p w14:paraId="6B67D6E8" w14:textId="77777777" w:rsidR="003A16A9" w:rsidRDefault="003A16A9" w:rsidP="0072531A">
      <w:pPr>
        <w:jc w:val="both"/>
      </w:pPr>
    </w:p>
    <w:p w14:paraId="375C2025" w14:textId="77777777" w:rsidR="003A16A9" w:rsidRDefault="003A16A9" w:rsidP="0072531A">
      <w:pPr>
        <w:jc w:val="both"/>
      </w:pPr>
    </w:p>
    <w:p w14:paraId="074086C1" w14:textId="77777777" w:rsidR="003A16A9" w:rsidRDefault="003A16A9" w:rsidP="0072531A">
      <w:pPr>
        <w:jc w:val="both"/>
      </w:pPr>
    </w:p>
    <w:p w14:paraId="751A4F89" w14:textId="77777777" w:rsidR="003A16A9" w:rsidRDefault="003A16A9" w:rsidP="0072531A">
      <w:pPr>
        <w:jc w:val="both"/>
      </w:pPr>
    </w:p>
    <w:p w14:paraId="3B7A016A" w14:textId="77777777" w:rsidR="003A16A9" w:rsidRDefault="003A16A9" w:rsidP="0072531A">
      <w:pPr>
        <w:jc w:val="both"/>
      </w:pPr>
    </w:p>
    <w:p w14:paraId="3C11677B" w14:textId="77777777" w:rsidR="003A16A9" w:rsidRDefault="003A16A9" w:rsidP="0072531A">
      <w:pPr>
        <w:jc w:val="both"/>
      </w:pPr>
    </w:p>
    <w:p w14:paraId="40239A97" w14:textId="1FFCAA79" w:rsidR="0072531A" w:rsidRPr="0072531A" w:rsidRDefault="0072531A" w:rsidP="0072531A">
      <w:pPr>
        <w:jc w:val="both"/>
      </w:pPr>
      <w:r w:rsidRPr="0072531A">
        <w:br/>
      </w:r>
    </w:p>
    <w:p w14:paraId="30EE789C" w14:textId="77777777" w:rsidR="0072531A" w:rsidRPr="0072531A" w:rsidRDefault="0072531A" w:rsidP="0072531A">
      <w:pPr>
        <w:jc w:val="both"/>
      </w:pPr>
      <w:r w:rsidRPr="0072531A">
        <w:rPr>
          <w:b/>
          <w:bCs/>
        </w:rPr>
        <w:lastRenderedPageBreak/>
        <w:t>Climate-Driven Shifts in Vector-Borne Disease Patterns: A Comparative Perspective Between Mediterranean and Baltic Regions</w:t>
      </w:r>
    </w:p>
    <w:p w14:paraId="4795C5C6" w14:textId="77777777" w:rsidR="0072531A" w:rsidRPr="0072531A" w:rsidRDefault="0072531A" w:rsidP="0072531A">
      <w:pPr>
        <w:jc w:val="both"/>
      </w:pPr>
      <w:r w:rsidRPr="0072531A">
        <w:t>Violet Adeline Wierbos</w:t>
      </w:r>
      <w:r w:rsidRPr="0072531A">
        <w:rPr>
          <w:vertAlign w:val="superscript"/>
        </w:rPr>
        <w:t>1</w:t>
      </w:r>
      <w:r w:rsidRPr="0072531A">
        <w:t>, Kamyar Eskandari</w:t>
      </w:r>
      <w:r w:rsidRPr="0072531A">
        <w:rPr>
          <w:vertAlign w:val="superscript"/>
        </w:rPr>
        <w:t>2</w:t>
      </w:r>
      <w:r w:rsidRPr="0072531A">
        <w:t>, Ευστράτιος Παραλής</w:t>
      </w:r>
      <w:r w:rsidRPr="0072531A">
        <w:rPr>
          <w:vertAlign w:val="superscript"/>
        </w:rPr>
        <w:t>2</w:t>
      </w:r>
      <w:r w:rsidRPr="0072531A">
        <w:t>, Giovanni Baviera</w:t>
      </w:r>
      <w:r w:rsidRPr="0072531A">
        <w:rPr>
          <w:vertAlign w:val="superscript"/>
        </w:rPr>
        <w:t>3</w:t>
      </w:r>
      <w:r w:rsidRPr="0072531A">
        <w:t>, Βασίλης Σκαμπαρδώνης</w:t>
      </w:r>
      <w:r w:rsidRPr="0072531A">
        <w:rPr>
          <w:vertAlign w:val="superscript"/>
        </w:rPr>
        <w:t>4</w:t>
      </w:r>
    </w:p>
    <w:p w14:paraId="57D1133F" w14:textId="77777777" w:rsidR="0072531A" w:rsidRPr="0072531A" w:rsidRDefault="0072531A">
      <w:pPr>
        <w:numPr>
          <w:ilvl w:val="0"/>
          <w:numId w:val="133"/>
        </w:numPr>
        <w:jc w:val="both"/>
      </w:pPr>
      <w:r w:rsidRPr="0072531A">
        <w:t>Προπτυχιακή φοιτήτρια, Κτηνιατρική Σχολή, Πανεπιστήμιο Επιστημών Ζωής και Τεχνολογιών της Λετονίας</w:t>
      </w:r>
    </w:p>
    <w:p w14:paraId="0ADC3B52" w14:textId="77777777" w:rsidR="0072531A" w:rsidRPr="0072531A" w:rsidRDefault="0072531A">
      <w:pPr>
        <w:numPr>
          <w:ilvl w:val="0"/>
          <w:numId w:val="133"/>
        </w:numPr>
        <w:jc w:val="both"/>
      </w:pPr>
      <w:r w:rsidRPr="0072531A">
        <w:t>Προπτυχιακός φοιτητής, Τμήμα Κτηνιατρικής, Σχολή Επιστημών Υγείας, Πανεπιστήμιο Θεσσαλίας</w:t>
      </w:r>
    </w:p>
    <w:p w14:paraId="3DDC6DB0" w14:textId="77777777" w:rsidR="0072531A" w:rsidRPr="0072531A" w:rsidRDefault="0072531A">
      <w:pPr>
        <w:numPr>
          <w:ilvl w:val="0"/>
          <w:numId w:val="133"/>
        </w:numPr>
        <w:jc w:val="both"/>
      </w:pPr>
      <w:r w:rsidRPr="0072531A">
        <w:t>Κτηνίατρος (DVM)</w:t>
      </w:r>
    </w:p>
    <w:p w14:paraId="4C68DBEB" w14:textId="77777777" w:rsidR="0072531A" w:rsidRPr="003A16A9" w:rsidRDefault="0072531A">
      <w:pPr>
        <w:numPr>
          <w:ilvl w:val="0"/>
          <w:numId w:val="133"/>
        </w:numPr>
        <w:jc w:val="both"/>
      </w:pPr>
      <w:r w:rsidRPr="0072531A">
        <w:t>Επιβλέπων, Αναπληρωτής Καθηγητής, Εργαστήριο Επιδημιολογίας, Βιοστατιστικής και Οικονομίας της Ζωικής Υγείας, Τμήμα Κτηνιατρικής, Πανεπιστήμιο Θεσσαλίας.</w:t>
      </w:r>
    </w:p>
    <w:p w14:paraId="7D3F6842" w14:textId="77777777" w:rsidR="003A16A9" w:rsidRPr="0072531A" w:rsidRDefault="003A16A9" w:rsidP="003A16A9">
      <w:pPr>
        <w:ind w:left="720"/>
        <w:jc w:val="both"/>
      </w:pPr>
    </w:p>
    <w:p w14:paraId="6DC99E2F" w14:textId="77777777" w:rsidR="0072531A" w:rsidRPr="0072531A" w:rsidRDefault="0072531A" w:rsidP="0072531A">
      <w:pPr>
        <w:jc w:val="both"/>
      </w:pPr>
      <w:r w:rsidRPr="0072531A">
        <w:rPr>
          <w:b/>
          <w:bCs/>
        </w:rPr>
        <w:t>Περίληψη</w:t>
      </w:r>
    </w:p>
    <w:p w14:paraId="6AC66CC7" w14:textId="77777777" w:rsidR="0072531A" w:rsidRPr="0072531A" w:rsidRDefault="0072531A" w:rsidP="0072531A">
      <w:pPr>
        <w:jc w:val="both"/>
      </w:pPr>
      <w:r w:rsidRPr="0072531A">
        <w:t>Η κλιματική αλλαγή μεταβάλλει την οικολογία και τη γεωγραφική κατανομή των διαβιβαστών σε ολόκληρη την Ευρώπη. Οι περιοχές της Μεσογείου (π.χ. Ελλάδα, Ιταλία) αντιμετωπίζουν μακροχρόνια κυκλοφορία παθογόνων που μεταδίδονται μέσω διαβιβαστών, όπως ο ιός του Δυτικού Νείλου, διάφορα είδη Leishmania (Leishmania spp.) και παράγοντες που μεταδίδονται από κρότωνες. Οι περιοχές της Βαλτικής και της Βόρειας Ευρώπης (π.χ. Λετονία) βιώνουν την ταχεία εμφάνιση διαβιβαστών και νοσημάτων που στο παρελθόν ήταν σπάνια σε υψηλότερα γεωγραφικά πλάτη. Μια συγκριτική ανάλυση αυτών των αντίθετων κλιματικών ζωνών παρέχει μια μοναδική ευκαιρία για την κατανόηση των οικολογικών μεταβολών, την πρόβλεψη μελλοντικών κινδύνων και την ενημέρωση των στρατηγικών ετοιμότητας στο πλαίσιο της Ενιαίας Υγείας (One Health).</w:t>
      </w:r>
    </w:p>
    <w:p w14:paraId="59480A4C" w14:textId="77777777" w:rsidR="0072531A" w:rsidRDefault="0072531A" w:rsidP="0072531A">
      <w:pPr>
        <w:jc w:val="both"/>
        <w:rPr>
          <w:lang w:val="en-GB"/>
        </w:rPr>
      </w:pPr>
      <w:r w:rsidRPr="0072531A">
        <w:t>Η εργασία στοχεύει να διερευνήσει πώς οι περιβαλλοντικές αλλαγές που καθοδηγούνται από το κλίμα επηρεάζουν την οικολογία των διαβιβαστών στις περιοχές της Μεσογείου σε σύγκριση με τις περιοχές της Βαλτικής, και να αξιολογήσει τις επιπτώσεις για την κτηνιατρική δημόσια υγεία, τον κίνδυνο ζωονόσων και τη διατομεακή συνεργασία. Αυτό το έργο προσφέρει στους επιβλέποντες την ευκαιρία να καθοδηγήσουν μια διεπιστημονική, διαπεριφερειακή ανάλυση ευθυγραμμισμένη με την Ενιαία Υγεία, την επιδημιολογία, την οικολογία των λοιμωδών νοσημάτων και την κλιματική αλλαγή. Η πολυεθνική συγγραφική ομάδα (Ελλάδα, Ιταλία, Λετονία) παρέχει ισχυρή συγκριτική αξία και πρόσβαση σε διαφορετικά περιφερειακά πλαίσια.</w:t>
      </w:r>
    </w:p>
    <w:p w14:paraId="1382F86E" w14:textId="77777777" w:rsidR="003A16A9" w:rsidRPr="003A16A9" w:rsidRDefault="003A16A9" w:rsidP="0072531A">
      <w:pPr>
        <w:jc w:val="both"/>
        <w:rPr>
          <w:lang w:val="en-GB"/>
        </w:rPr>
      </w:pPr>
    </w:p>
    <w:p w14:paraId="3BBFF720" w14:textId="77777777" w:rsidR="0072531A" w:rsidRPr="0072531A" w:rsidRDefault="0072531A" w:rsidP="0072531A">
      <w:pPr>
        <w:jc w:val="both"/>
      </w:pPr>
      <w:r w:rsidRPr="0072531A">
        <w:rPr>
          <w:b/>
          <w:bCs/>
        </w:rPr>
        <w:t>Βιβλιογραφία</w:t>
      </w:r>
    </w:p>
    <w:p w14:paraId="4E786795" w14:textId="77777777" w:rsidR="0072531A" w:rsidRPr="0072531A" w:rsidRDefault="0072531A" w:rsidP="0072531A">
      <w:pPr>
        <w:jc w:val="both"/>
      </w:pPr>
      <w:r w:rsidRPr="0072531A">
        <w:t>Alhamadn, M. A. (2025). The association between climate change and Lyme disease incidence in Northern European countries by the Baltic and North Seas: An ecological time-series study. medRxiv. Advance online publication. </w:t>
      </w:r>
    </w:p>
    <w:p w14:paraId="7C2A9A9D" w14:textId="77777777" w:rsidR="0072531A" w:rsidRPr="0072531A" w:rsidRDefault="0072531A" w:rsidP="0072531A">
      <w:pPr>
        <w:jc w:val="both"/>
      </w:pPr>
      <w:r w:rsidRPr="0072531A">
        <w:t>Asilian, A., Sadeghinia, A., Shariati, F., Jome, M. I., &amp; Ghoddusi, A. (2003). Efficacy of permethrin-impregnated uniforms in the prevention of cutaneous leishmaniasis in Iranian soldiers. Journal of Clinical Pharmacy and Therapeutics, 28(3), 175–178. </w:t>
      </w:r>
    </w:p>
    <w:p w14:paraId="097A70ED" w14:textId="77777777" w:rsidR="0072531A" w:rsidRPr="0072531A" w:rsidRDefault="0072531A" w:rsidP="0072531A">
      <w:pPr>
        <w:jc w:val="both"/>
      </w:pPr>
      <w:r w:rsidRPr="0072531A">
        <w:lastRenderedPageBreak/>
        <w:t>Athanasakopoulou, Z., Sofia, M., Skampardonis, V., Giannakopoulos, A., Birtsas, P., Tsolakos, K., Spyrou, V., Chatzopoulos, D. C., Satra, M., Diamantopoulos, V., Mpellou, S., Galamatis, D., Papatsiros, V. G., &amp; Billinis, C. (2023). Indication of West Nile virus (WNV) lineage 2 overwintering among wild birds in the regions of Peloponnese and Western Greece. Veterinary Sciences, 10(11), Article 661.</w:t>
      </w:r>
    </w:p>
    <w:p w14:paraId="394AD930" w14:textId="77777777" w:rsidR="0072531A" w:rsidRPr="0072531A" w:rsidRDefault="0072531A" w:rsidP="0072531A">
      <w:pPr>
        <w:jc w:val="both"/>
      </w:pPr>
      <w:r w:rsidRPr="0072531A">
        <w:t>Baldacchino, F., Montarsi, F., Arnoldi, D., Giglio, G., Rosso, F., Capelli, G., ... Rizzoli, A. (2017). Spatial and temporal distribution of Aedes albopictus (Diptera: Culicidae) in Piedmont (North-Western Italy). Parasite, 24, Article 41. </w:t>
      </w:r>
    </w:p>
    <w:p w14:paraId="077ADCE9" w14:textId="77777777" w:rsidR="0072531A" w:rsidRPr="0072531A" w:rsidRDefault="0072531A" w:rsidP="0072531A">
      <w:pPr>
        <w:jc w:val="both"/>
      </w:pPr>
      <w:r w:rsidRPr="0072531A">
        <w:t>Bellini, R., &amp; Angelini, P. (2013). Invasive mosquito species love Italy. Outlook on Agriculture, 42(4), 231–238. </w:t>
      </w:r>
    </w:p>
    <w:p w14:paraId="0F797B4A" w14:textId="77777777" w:rsidR="0072531A" w:rsidRPr="0072531A" w:rsidRDefault="0072531A" w:rsidP="0072531A">
      <w:pPr>
        <w:jc w:val="both"/>
      </w:pPr>
      <w:r w:rsidRPr="0072531A">
        <w:t>BEYOND Centre of Excellence. (2025). Early warning system of mosquito diseases (EYWA). National Observatory of Athens. </w:t>
      </w:r>
    </w:p>
    <w:p w14:paraId="427B728A" w14:textId="77777777" w:rsidR="0072531A" w:rsidRPr="0072531A" w:rsidRDefault="0072531A" w:rsidP="0072531A">
      <w:pPr>
        <w:jc w:val="both"/>
      </w:pPr>
      <w:r w:rsidRPr="0072531A">
        <w:t>Bormane, A., Lucenko, I., Duks, A., Mavtchoutko, V., Ranka, R., Salmina, K., &amp; Baumanis, V. (2004). Vectors of tick-borne diseases and epidemiological situation in Latvia in 1993–2002. International Journal of Medical Microbiology Supplements, 293, 36–47. </w:t>
      </w:r>
    </w:p>
    <w:p w14:paraId="14E5FBDE" w14:textId="77777777" w:rsidR="0072531A" w:rsidRPr="0072531A" w:rsidRDefault="0072531A" w:rsidP="0072531A">
      <w:pPr>
        <w:jc w:val="both"/>
      </w:pPr>
      <w:r w:rsidRPr="0072531A">
        <w:t>Burn, L., Vyse, A., Pilz, A., Tran, T. M. P., Fletcher, M. A., Angulo, F. J., ... Stark, J. H. (2023). Incidence of Lyme borreliosis in Europe: A systematic review (2005–2020). Vector-Borne and Zoonotic Diseases, 23(4), 172–194. </w:t>
      </w:r>
    </w:p>
    <w:p w14:paraId="55FC1E0F" w14:textId="77777777" w:rsidR="0072531A" w:rsidRPr="0072531A" w:rsidRDefault="0072531A" w:rsidP="0072531A">
      <w:pPr>
        <w:jc w:val="both"/>
      </w:pPr>
      <w:r w:rsidRPr="0072531A">
        <w:t>Capligina, V., Seleznova, M., Akopjana, S., Freimane, L., Lazovska, M., Krumins, R., ... Ranka, R. (2020). Large-scale countrywide screening for tick-borne pathogens in field-collected ticks in Latvia during 2017–2019. Parasites &amp; Vectors, 13(1), Article 351. </w:t>
      </w:r>
    </w:p>
    <w:p w14:paraId="4419F7F2" w14:textId="77777777" w:rsidR="0072531A" w:rsidRPr="0072531A" w:rsidRDefault="0072531A" w:rsidP="0072531A">
      <w:pPr>
        <w:jc w:val="both"/>
      </w:pPr>
      <w:r w:rsidRPr="0072531A">
        <w:t>Carrieri, M., Angelini, P., Venturelli, C., Maccagnani, B., &amp; Bellini, R. (2014). Evaluation of a model for the prediction of Aedes albopictus population in central Italy. Medical and Veterinary Entomology, 28(3), 253–264. </w:t>
      </w:r>
    </w:p>
    <w:p w14:paraId="3349D83B" w14:textId="77777777" w:rsidR="0072531A" w:rsidRPr="0072531A" w:rsidRDefault="0072531A" w:rsidP="0072531A">
      <w:pPr>
        <w:jc w:val="both"/>
      </w:pPr>
      <w:r w:rsidRPr="0072531A">
        <w:t>Carrieri, M., Angelini, P., Venturelli, C., Albieri, A., Bellini, R., &amp; Maini, S. (2023). Effects of the weather on the seasonal population trend of Aedes albopictus (Diptera: Culicidae) in Northern Italy. Insects, 14(11), Article 868. </w:t>
      </w:r>
    </w:p>
    <w:p w14:paraId="32F916B1" w14:textId="77777777" w:rsidR="0072531A" w:rsidRPr="0072531A" w:rsidRDefault="0072531A" w:rsidP="0072531A">
      <w:pPr>
        <w:jc w:val="both"/>
      </w:pPr>
      <w:r w:rsidRPr="0072531A">
        <w:t>Chitimia-Dobler, L., Dobler, G., Lang, D., Bormane, A., Ranka, R., Schaper, S., ... Zavadska, D. (2025). Distribution and genotypic landscape of tick-borne encephalitis virus in ticks from Latvia from 2019 to 2023. Pathogens, 14(9), Article 950. </w:t>
      </w:r>
    </w:p>
    <w:p w14:paraId="18E8542D" w14:textId="77777777" w:rsidR="0072531A" w:rsidRPr="0072531A" w:rsidRDefault="0072531A" w:rsidP="0072531A">
      <w:pPr>
        <w:jc w:val="both"/>
      </w:pPr>
      <w:r w:rsidRPr="0072531A">
        <w:t>Cunze, S., Glock, G., Kochmann, J., &amp; Klimpel, S. (2022). Ticks on the move—climate change-induced range shifts of three tick species in Europe: Current and future habitat suitability for Ixodes ricinus in comparison with Dermacentor reticulatus and Dermacentor marginatus. Parasitology Research, 121(8), 2241–2252. </w:t>
      </w:r>
    </w:p>
    <w:p w14:paraId="23F20DF4" w14:textId="77777777" w:rsidR="0072531A" w:rsidRPr="0072531A" w:rsidRDefault="0072531A" w:rsidP="0072531A">
      <w:pPr>
        <w:jc w:val="both"/>
      </w:pPr>
      <w:r w:rsidRPr="0072531A">
        <w:t>Destoumieux-Garzón, D., Mavingui, P., Boetsch, G., Boissier, J., Darriet, F., Duboz, P., ... Voituron, Y. (2018). The One Health concept: 10 years old and a long road ahead. Frontiers in Veterinary Science, 5, Article 14. </w:t>
      </w:r>
    </w:p>
    <w:p w14:paraId="180E07AF" w14:textId="77777777" w:rsidR="0072531A" w:rsidRPr="0072531A" w:rsidRDefault="0072531A" w:rsidP="0072531A">
      <w:pPr>
        <w:jc w:val="both"/>
      </w:pPr>
      <w:r w:rsidRPr="0072531A">
        <w:t>Ejov, M., &amp; Dagne, D. (2014). Strategic framework for leishmaniasis control in the WHO European Region 2014–2020. World Health Organization Regional Office for Europe. </w:t>
      </w:r>
    </w:p>
    <w:p w14:paraId="6D498755" w14:textId="77777777" w:rsidR="0072531A" w:rsidRPr="0072531A" w:rsidRDefault="0072531A" w:rsidP="0072531A">
      <w:pPr>
        <w:jc w:val="both"/>
      </w:pPr>
      <w:r w:rsidRPr="0072531A">
        <w:lastRenderedPageBreak/>
        <w:t>European Food Safety Authority, Maggiore, A., Afonso, A., Barrucci, F., &amp; De Sanctis, G. (2020). Climate change as a driver of emerging risks for food and feed safety, plant, animal health and nutritional quality. EFSA Supporting Publications, 17(6), 1881E. </w:t>
      </w:r>
    </w:p>
    <w:p w14:paraId="38D9C203" w14:textId="77777777" w:rsidR="0072531A" w:rsidRPr="0072531A" w:rsidRDefault="0072531A" w:rsidP="0072531A">
      <w:pPr>
        <w:jc w:val="both"/>
      </w:pPr>
      <w:r w:rsidRPr="0072531A">
        <w:t>Fotakis, E. A., Papamichail, D., Boutsini, S., Patsoula, E., &amp; Panagiotopoulos, T. (2024). Leishmaniasis in Greece: Prospects of transitioning to a One Health surveillance system. One Health, 19, Article 100896. </w:t>
      </w:r>
    </w:p>
    <w:p w14:paraId="14F4C9EE" w14:textId="77777777" w:rsidR="0072531A" w:rsidRPr="0072531A" w:rsidRDefault="0072531A" w:rsidP="0072531A">
      <w:pPr>
        <w:jc w:val="both"/>
      </w:pPr>
      <w:r w:rsidRPr="0072531A">
        <w:t>Freimane, Z., Dobler, G., Karelis, G., Chitimia-Dobler, L., Savicka, O., &amp; Zavadska, D. (2025a). Seroprevalence of tick-borne encephalitis virus in Latvia using standard and subtype-specific NS1-based ELISA assays. Pathogens, 14(11), Article 1115. </w:t>
      </w:r>
    </w:p>
    <w:p w14:paraId="0DF364F7" w14:textId="77777777" w:rsidR="0072531A" w:rsidRPr="0072531A" w:rsidRDefault="0072531A" w:rsidP="0072531A">
      <w:pPr>
        <w:jc w:val="both"/>
      </w:pPr>
      <w:r w:rsidRPr="0072531A">
        <w:t>Freimane, Z., Dobler, G., Karelis, G., Kuzmane, S., Savicka, O., Chitimia-Dobler, L., ... Zavadska, D. (2025b). Tick-borne encephalitis in Latvia: An epidemiological and clinical comparison of European and Siberian subtype infections. Infection, 53(6), 2691–2699. </w:t>
      </w:r>
    </w:p>
    <w:p w14:paraId="4D74FF5E" w14:textId="77777777" w:rsidR="0072531A" w:rsidRPr="0072531A" w:rsidRDefault="0072531A" w:rsidP="0072531A">
      <w:pPr>
        <w:jc w:val="both"/>
      </w:pPr>
      <w:r w:rsidRPr="0072531A">
        <w:t>Giannakopoulos, A., Tsokana, C. N., Pervanidou, D., Papadopoulos, E., Papaspyropoulos, K., Spyrou, V., Rodi Burriel, A., Vakali, A., Hadjichristodoulou, C., &amp; Billinis, C. (2016). Environmental parameters as risk factors for human and canine Leishmania infection in Thessaly, Central Greece. Parasitology, 143(9), 1179–1186. </w:t>
      </w:r>
    </w:p>
    <w:p w14:paraId="1C75965D" w14:textId="77777777" w:rsidR="0072531A" w:rsidRPr="0072531A" w:rsidRDefault="0072531A" w:rsidP="0072531A">
      <w:pPr>
        <w:jc w:val="both"/>
      </w:pPr>
      <w:r w:rsidRPr="0072531A">
        <w:t>Gossner, C. M., Marrama, L., Carson, M., Allerberger, F., Calistri, P., Dilaveris, D., Lecollinet, S., Morgan, D., Nowotny, N., Paty, M.-C., Pervanidou, D., Rizzo, C., Roberts, H., Schmoll, F., Van Bortel, W., &amp; Gervelmeyer, A. (2017). West Nile virus surveillance in Europe: Moving towards an integrated animal-human-vector approach. Eurosurveillance, 22(18). </w:t>
      </w:r>
    </w:p>
    <w:p w14:paraId="66161FC3" w14:textId="77777777" w:rsidR="0072531A" w:rsidRPr="0072531A" w:rsidRDefault="0072531A" w:rsidP="0072531A">
      <w:pPr>
        <w:jc w:val="both"/>
      </w:pPr>
      <w:r w:rsidRPr="0072531A">
        <w:t>Gradoni, L., Valerio, L., Michaelakis, A., &amp; Severini, F. (2021). Aedes mosquito-borne diseases in Italy: A review of the current situation and the impact of climate change. Le Infezioni in Medicina, 29(3), 332–347. </w:t>
      </w:r>
    </w:p>
    <w:p w14:paraId="79CD5B98" w14:textId="77777777" w:rsidR="0072531A" w:rsidRPr="0072531A" w:rsidRDefault="0072531A" w:rsidP="0072531A">
      <w:pPr>
        <w:jc w:val="both"/>
      </w:pPr>
      <w:r w:rsidRPr="0072531A">
        <w:t>Gray, J. S., Dautel, H., Estrada-Peña, A., Kahl, O., &amp; Lindgren, E. (2009). Effects of climate change on ticks and tick-borne diseases in Europe. Interdisciplinary Perspectives on Infectious Diseases, 2009(1), Article 593232. </w:t>
      </w:r>
    </w:p>
    <w:p w14:paraId="563FDBAA" w14:textId="77777777" w:rsidR="0072531A" w:rsidRPr="0072531A" w:rsidRDefault="0072531A" w:rsidP="0072531A">
      <w:pPr>
        <w:jc w:val="both"/>
      </w:pPr>
      <w:r w:rsidRPr="0072531A">
        <w:t>Halsby, K., Davidson, A., Ravikumar, S., Pilz, A., Stark, J. H., &amp; Moïsi, J. C. (2024). Publicly available surveillance data on tick-borne encephalitis in Europe, 2023. Ticks and Tick-borne Diseases, 15(6), Article 102388. </w:t>
      </w:r>
    </w:p>
    <w:p w14:paraId="6ADAF5ED" w14:textId="77777777" w:rsidR="0072531A" w:rsidRPr="0072531A" w:rsidRDefault="0072531A" w:rsidP="0072531A">
      <w:pPr>
        <w:jc w:val="both"/>
      </w:pPr>
      <w:r w:rsidRPr="0072531A">
        <w:t>Huitink, H., Marini, G., Rosà, R., &amp; Capelli, G. (2024). The effect of climate change on the distribution and transmission of mosquito-borne diseases in Europe: A focus on Italy. Pathogens, 13(10), Article 836. </w:t>
      </w:r>
    </w:p>
    <w:p w14:paraId="6D1977E3" w14:textId="77777777" w:rsidR="0072531A" w:rsidRPr="0072531A" w:rsidRDefault="0072531A" w:rsidP="0072531A">
      <w:pPr>
        <w:jc w:val="both"/>
      </w:pPr>
      <w:r w:rsidRPr="0072531A">
        <w:t>ISPRA. (2025). Climate change: Environmental indicators framework. Italian Institute for Environmental Protection and Research. </w:t>
      </w:r>
    </w:p>
    <w:p w14:paraId="051923CC" w14:textId="77777777" w:rsidR="0072531A" w:rsidRPr="0072531A" w:rsidRDefault="0072531A" w:rsidP="0072531A">
      <w:pPr>
        <w:jc w:val="both"/>
      </w:pPr>
      <w:r w:rsidRPr="0072531A">
        <w:t>Jaagus, J., Briede, A., Rimkus, E., &amp; Sepp, M. (2018). Changes in precipitation regime in the Baltic countries in 1966–2015. Theoretical and Applied Climatology, 131(1), 433–443. </w:t>
      </w:r>
    </w:p>
    <w:p w14:paraId="307F04FA" w14:textId="77777777" w:rsidR="0072531A" w:rsidRPr="0072531A" w:rsidRDefault="0072531A" w:rsidP="0072531A">
      <w:pPr>
        <w:jc w:val="both"/>
      </w:pPr>
      <w:r w:rsidRPr="0072531A">
        <w:t>Khoobdel, M. (2008). Evaluation of permethrin treated clothing for personal protection against Phlebotomus papatasi (Diptera: Psychodidae). Journal of Entomology, 5(1), 51–55. </w:t>
      </w:r>
    </w:p>
    <w:p w14:paraId="13EEC9AF" w14:textId="77777777" w:rsidR="0072531A" w:rsidRPr="0072531A" w:rsidRDefault="0072531A" w:rsidP="0072531A">
      <w:pPr>
        <w:jc w:val="both"/>
      </w:pPr>
      <w:r w:rsidRPr="0072531A">
        <w:t>Kouroupis, D., Charisi, K., &amp; Pyrpasopoulou, A. (2023). The ongoing epidemic of West Nile virus in Greece: The contribution of biological vectors and reservoirs and the importance of climate and socioeconomic factors revisited. Tropical Medicine and Infectious Disease, 8(9), Article 453. </w:t>
      </w:r>
    </w:p>
    <w:p w14:paraId="4ABBF067" w14:textId="77777777" w:rsidR="0072531A" w:rsidRPr="0072531A" w:rsidRDefault="0072531A" w:rsidP="0072531A">
      <w:pPr>
        <w:jc w:val="both"/>
      </w:pPr>
      <w:r w:rsidRPr="0072531A">
        <w:lastRenderedPageBreak/>
        <w:t>Kutuzova, V., Ivanovs, V., &amp; Ticmane, G. (2018). Lyme disease: Features of diagnostics and management strategies amongst Latvian general practitioners. Journal of Pharmacy and Pharmacology, 6(9), 835–840.</w:t>
      </w:r>
    </w:p>
    <w:p w14:paraId="2702713E" w14:textId="77777777" w:rsidR="0072531A" w:rsidRPr="0072531A" w:rsidRDefault="0072531A" w:rsidP="0072531A">
      <w:pPr>
        <w:jc w:val="both"/>
      </w:pPr>
      <w:r w:rsidRPr="0072531A">
        <w:t>Lenaerts, K., Tagliapietra, S., &amp; Wolff, G. B. (2022). How can the European Union adapt to climate change? Intereconomics, 57(5), 314–321. </w:t>
      </w:r>
    </w:p>
    <w:p w14:paraId="23BF187D" w14:textId="77777777" w:rsidR="0072531A" w:rsidRPr="0072531A" w:rsidRDefault="0072531A" w:rsidP="0072531A">
      <w:pPr>
        <w:jc w:val="both"/>
      </w:pPr>
      <w:r w:rsidRPr="0072531A">
        <w:t>Lindgren, E., &amp; Jaenson, T. G. (2006). Lyme borreliosis in Europe: Influences of climate and climate change, epidemiology, ecology and adaptation measures. World Health Organization Regional Office for Europe. </w:t>
      </w:r>
    </w:p>
    <w:p w14:paraId="751B3964" w14:textId="77777777" w:rsidR="0072531A" w:rsidRPr="0072531A" w:rsidRDefault="0072531A" w:rsidP="0072531A">
      <w:pPr>
        <w:jc w:val="both"/>
      </w:pPr>
      <w:r w:rsidRPr="0072531A">
        <w:t>Mann, S., Frasca, K., Scherrer, S., Casper, A. F., Anyanwu, C., Humphrey, J. P., ... Henao-Martínez, A. F. (2021). A review of leishmaniasis: Current knowledge and future directions. Current Tropical Medicine Reports, 8(1), 40–55. </w:t>
      </w:r>
    </w:p>
    <w:p w14:paraId="3075A432" w14:textId="77777777" w:rsidR="0072531A" w:rsidRPr="0072531A" w:rsidRDefault="0072531A" w:rsidP="0072531A">
      <w:pPr>
        <w:jc w:val="both"/>
      </w:pPr>
      <w:r w:rsidRPr="0072531A">
        <w:t>Martello, E., Petrić, D., Ducheyne, E., Chiavacci, L., Quaglia, A., Gubert, A., ... Capelli, G. (2016). Aedes albopictus (Diptera: Culicidae) in Northern Italy: The role of weather conditions and land use on population dynamics. Journal of Medical Entomology, 53(4), 881–889.</w:t>
      </w:r>
    </w:p>
    <w:p w14:paraId="2C28D72D" w14:textId="77777777" w:rsidR="0072531A" w:rsidRPr="0072531A" w:rsidRDefault="0072531A" w:rsidP="0072531A">
      <w:pPr>
        <w:jc w:val="both"/>
      </w:pPr>
      <w:r w:rsidRPr="0072531A">
        <w:t>Medlock, J. M., Hansford, K. M., Bormane, A., Derdakova, M., Estrada-Peña, A., George, J. C., ... Van Bortel, W. (2013). Driving forces for changes in geographical distribution of Ixodes ricinus ticks in Europe. Parasites &amp; Vectors, 6(1), Article 1. </w:t>
      </w:r>
    </w:p>
    <w:p w14:paraId="35D397FD" w14:textId="77777777" w:rsidR="0072531A" w:rsidRPr="0072531A" w:rsidRDefault="0072531A" w:rsidP="0072531A">
      <w:pPr>
        <w:jc w:val="both"/>
      </w:pPr>
      <w:r w:rsidRPr="0072531A">
        <w:t>Montarsi, F., Drago, A., Martini, S., Calzolari, M., De Filippo, G., Carrer, G., ... Capelli, G. (2025). The first detection of Aedes flavopictus in Italy: A new potential threat for public health? Veterinaria Italiana, 61(1). </w:t>
      </w:r>
    </w:p>
    <w:p w14:paraId="117A990F" w14:textId="77777777" w:rsidR="0072531A" w:rsidRPr="0072531A" w:rsidRDefault="0072531A" w:rsidP="0072531A">
      <w:pPr>
        <w:jc w:val="both"/>
      </w:pPr>
      <w:r w:rsidRPr="0072531A">
        <w:t>Morales-Yuste, M., Martín-Sánchez, J., &amp; Corpas-Lopez, V. (2022). Canine leishmaniasis: Update on epidemiology, diagnosis, treatment, and prevention. Veterinary Sciences, 9(8), Article 387.</w:t>
      </w:r>
    </w:p>
    <w:p w14:paraId="274E8741" w14:textId="77777777" w:rsidR="0072531A" w:rsidRPr="0072531A" w:rsidRDefault="0072531A" w:rsidP="0072531A">
      <w:pPr>
        <w:jc w:val="both"/>
      </w:pPr>
      <w:r w:rsidRPr="0072531A">
        <w:t>National Public Health Organization. (n.d.). West Nile virus infection – Epidemiological surveillance reports, Greece.</w:t>
      </w:r>
    </w:p>
    <w:p w14:paraId="0AA781F0" w14:textId="77777777" w:rsidR="0072531A" w:rsidRPr="0072531A" w:rsidRDefault="0072531A" w:rsidP="0072531A">
      <w:pPr>
        <w:jc w:val="both"/>
      </w:pPr>
      <w:r w:rsidRPr="0072531A">
        <w:t>Pervanidou, D. (2021). West Nile virus infection prevention and control measures in Greece. Climate-ADAPT; European Environment Agency. </w:t>
      </w:r>
    </w:p>
    <w:p w14:paraId="573085F0" w14:textId="77777777" w:rsidR="0072531A" w:rsidRPr="0072531A" w:rsidRDefault="0072531A" w:rsidP="0072531A">
      <w:pPr>
        <w:jc w:val="both"/>
      </w:pPr>
      <w:r w:rsidRPr="0072531A">
        <w:t>Pervanidou, D., Vakali, A., Georgakopoulou, T., Panagiotopoulos, T., Patsoula, E., Koliopoulos, G., Politis, C., Stamoulis, K., Gavana, E., Pappa, S., Mavrouli, M., Emmanouil, M., Sourvinos, G., Mentis, A., Tsakris, A., Hadjichristodoulou, C., Tsiodras, S., &amp; Papa, A. (2020). West Nile virus in humans, Greece, 2018: The largest seasonal number of cases, 9 years after its emergence in the country. Eurosurveillance, 25(32), Article 1900543. </w:t>
      </w:r>
    </w:p>
    <w:p w14:paraId="7B8F3967" w14:textId="77777777" w:rsidR="0072531A" w:rsidRPr="0072531A" w:rsidRDefault="0072531A" w:rsidP="0072531A">
      <w:pPr>
        <w:jc w:val="both"/>
      </w:pPr>
      <w:r w:rsidRPr="0072531A">
        <w:t>Petersen, E., Ippolito, G., &amp; Zumla, A. (2025). Rising tide of vector-borne diseases in Europe: Surveillance, clinical awareness, and public health preparedness. International Journal of Infectious Diseases, 159, Article 108038. </w:t>
      </w:r>
    </w:p>
    <w:p w14:paraId="409A0FDE" w14:textId="77777777" w:rsidR="0072531A" w:rsidRPr="0072531A" w:rsidRDefault="0072531A" w:rsidP="0072531A">
      <w:pPr>
        <w:jc w:val="both"/>
      </w:pPr>
      <w:r w:rsidRPr="0072531A">
        <w:t>Randolph, S. E. (2010). To what extent has climate change contributed to the recent epidemiology of tick-borne diseases? Veterinary Parasitology, 167(2-4), 92–94. </w:t>
      </w:r>
    </w:p>
    <w:p w14:paraId="715F7D67" w14:textId="77777777" w:rsidR="0072531A" w:rsidRPr="0072531A" w:rsidRDefault="0072531A" w:rsidP="0072531A">
      <w:pPr>
        <w:jc w:val="both"/>
      </w:pPr>
      <w:r w:rsidRPr="0072531A">
        <w:t>Rizzoli, A., Silaghi, C., Obiegala, A., Rudolf, I., Hubálek, Z., Földvári, G., ... Kazimírová, M. (2014). Ixodes ricinus and its transmitted pathogens in urban and peri-urban areas in Europe: New hazards and relevance for public health. Frontiers in Public Health, 2, Article 251.</w:t>
      </w:r>
    </w:p>
    <w:p w14:paraId="775ADCBD" w14:textId="77777777" w:rsidR="0072531A" w:rsidRPr="0072531A" w:rsidRDefault="0072531A" w:rsidP="0072531A">
      <w:pPr>
        <w:jc w:val="both"/>
      </w:pPr>
      <w:r w:rsidRPr="0072531A">
        <w:lastRenderedPageBreak/>
        <w:t>Roiz, D., Neteler, M., Castellani, C., Arnoldi, D., &amp; Rizzoli, A. (2016). Aedes albopictus (Diptera: Culicidae) in Italy: The role of weather conditions and land use on population dynamics. Parasites &amp; Vectors, 9(1), Article 469. </w:t>
      </w:r>
    </w:p>
    <w:p w14:paraId="73D33678" w14:textId="77777777" w:rsidR="0072531A" w:rsidRPr="0072531A" w:rsidRDefault="0072531A" w:rsidP="0072531A">
      <w:pPr>
        <w:jc w:val="both"/>
      </w:pPr>
      <w:r w:rsidRPr="0072531A">
        <w:t>Semenza, J. C., &amp; Suk, J. E. (2018). Vector-borne diseases and climate change: A European perspective. FEMS Microbiology Letters, 365(2), Article fnx244. </w:t>
      </w:r>
    </w:p>
    <w:p w14:paraId="08DD8485" w14:textId="77777777" w:rsidR="0072531A" w:rsidRPr="0072531A" w:rsidRDefault="0072531A" w:rsidP="0072531A">
      <w:pPr>
        <w:jc w:val="both"/>
      </w:pPr>
      <w:r w:rsidRPr="0072531A">
        <w:t>Semenza, J. C., Lindgren, E., Balkanyi, L., Espinosa, L., Almqvist, M. S., Penttinen, P., &amp; Rocklöv, J. (2016). Determinants and drivers of infectious disease threat events in Europe. Emerging Infectious Diseases, 22(4), 581–589. </w:t>
      </w:r>
    </w:p>
    <w:p w14:paraId="35319D96" w14:textId="77777777" w:rsidR="0072531A" w:rsidRPr="0072531A" w:rsidRDefault="0072531A" w:rsidP="0072531A">
      <w:pPr>
        <w:jc w:val="both"/>
      </w:pPr>
      <w:r w:rsidRPr="0072531A">
        <w:t>Shang, C. S., Chou, Y. M., &amp; Fang, C. T. (2025). Integrating cross-sectoral epidemic surveillance, prevention, and control in Taiwan: The National One Health Joint Plan of Action 2026–2030. Journal of the Formosan Medical Association, 124(12), 1450–1458. </w:t>
      </w:r>
    </w:p>
    <w:p w14:paraId="4B7750F8" w14:textId="77777777" w:rsidR="0072531A" w:rsidRPr="0072531A" w:rsidRDefault="0072531A" w:rsidP="0072531A">
      <w:pPr>
        <w:jc w:val="both"/>
      </w:pPr>
      <w:r w:rsidRPr="0072531A">
        <w:t>Snegiriovaitė, J., Radzijevskaja, J., &amp; Paulauskas, A. (2020). A brief review: The prevalence of tick-borne pathogens in urban and suburban areas. Biologija, 66(4), 187–197. </w:t>
      </w:r>
    </w:p>
    <w:p w14:paraId="3B6A0CE4" w14:textId="77777777" w:rsidR="0072531A" w:rsidRPr="0072531A" w:rsidRDefault="0072531A" w:rsidP="0072531A">
      <w:pPr>
        <w:jc w:val="both"/>
      </w:pPr>
      <w:r w:rsidRPr="0072531A">
        <w:t>Spano, D., Mereu, V., Bacciu, V., Marras, S., Trabucco, A., &amp; Caserta, M. (2020). Analysis of climate risk: An integrated assessment for Italy. Executive summary. CMCC Foundation - Euro-Mediterranean Center on Climate Change. </w:t>
      </w:r>
    </w:p>
    <w:p w14:paraId="6E7D55A6" w14:textId="77777777" w:rsidR="0072531A" w:rsidRPr="0072531A" w:rsidRDefault="0072531A" w:rsidP="0072531A">
      <w:pPr>
        <w:jc w:val="both"/>
      </w:pPr>
      <w:r w:rsidRPr="0072531A">
        <w:t>Steere, A. C., Strle, F., Wormser, G. P., Hu, L. T., Branda, J. A., Hovius, J. W., ... Mead, P. S. (2016). Lyme borreliosis. Nature Reviews Disease Primers, 2(1), 1–19. </w:t>
      </w:r>
    </w:p>
    <w:p w14:paraId="594BC4CD" w14:textId="77777777" w:rsidR="0072531A" w:rsidRPr="0072531A" w:rsidRDefault="0072531A" w:rsidP="0072531A">
      <w:pPr>
        <w:jc w:val="both"/>
      </w:pPr>
      <w:r w:rsidRPr="0072531A">
        <w:t>Sumilo, D., Asokliene, L., Bormane, A., Vasilenko, V., Golovljova, I., &amp; Randolph, S. E. (2007). Climate change cannot explain the upsurge of tick-borne encephalitis in the Baltics. PLOS ONE, 2(6), Article e500.</w:t>
      </w:r>
    </w:p>
    <w:p w14:paraId="4AC9E448" w14:textId="77777777" w:rsidR="0072531A" w:rsidRPr="0072531A" w:rsidRDefault="0072531A" w:rsidP="0072531A">
      <w:pPr>
        <w:jc w:val="both"/>
      </w:pPr>
      <w:r w:rsidRPr="0072531A">
        <w:t>Tamba, M., Bonilauri, P., Galletti, G., Casadei, G., Santi, A., Rossi, A., &amp; Calzolari, M. (2024). West Nile virus surveillance using sentinel birds: Results of eleven years of testing in corvids in a region of northern Italy. Frontiers in Veterinary Science, 11, Article 1407271. </w:t>
      </w:r>
    </w:p>
    <w:p w14:paraId="3E478901" w14:textId="77777777" w:rsidR="0072531A" w:rsidRPr="0072531A" w:rsidRDefault="0072531A" w:rsidP="0072531A">
      <w:pPr>
        <w:jc w:val="both"/>
      </w:pPr>
      <w:r w:rsidRPr="0072531A">
        <w:t>Toma, L., Severini, F., Di Luca, M., Bella, A., &amp; Romi, R. (2011). National surveillance of Aedes albopictus in Italy. Veterinaria Italiana: Monograph Series, 23. </w:t>
      </w:r>
    </w:p>
    <w:p w14:paraId="595FC5F3" w14:textId="77777777" w:rsidR="0072531A" w:rsidRPr="0072531A" w:rsidRDefault="0072531A" w:rsidP="0072531A">
      <w:pPr>
        <w:jc w:val="both"/>
      </w:pPr>
      <w:r w:rsidRPr="0072531A">
        <w:t>Vanwambeke, S. O., Šumilo, D., Bormane, A., Lambin, E. F., &amp; Randolph, S. E. (2010). Landscape predictors of tick-borne encephalitis in Latvia: Land cover, land use, and land ownership. Vector-Borne and Zoonotic Diseases, 10(5), 497–506. </w:t>
      </w:r>
    </w:p>
    <w:p w14:paraId="4A39EC45" w14:textId="77777777" w:rsidR="0072531A" w:rsidRPr="0072531A" w:rsidRDefault="0072531A" w:rsidP="0072531A">
      <w:pPr>
        <w:jc w:val="both"/>
      </w:pPr>
      <w:r w:rsidRPr="0072531A">
        <w:t>World Health Organization, United Nations Environment Programme, &amp; World Organisation for Animal Health. (2022). One health joint plan of action (2022</w:t>
      </w:r>
      <w:r w:rsidRPr="0072531A">
        <w:rPr>
          <w:rFonts w:ascii="Arial" w:hAnsi="Arial" w:cs="Arial"/>
        </w:rPr>
        <w:t>‒</w:t>
      </w:r>
      <w:r w:rsidRPr="0072531A">
        <w:t>2026): Working together for the health of humans, animals, plants and the environment. World Health Organization.</w:t>
      </w:r>
      <w:r w:rsidRPr="0072531A">
        <w:rPr>
          <w:rFonts w:ascii="Aptos" w:hAnsi="Aptos" w:cs="Aptos"/>
        </w:rPr>
        <w:t> </w:t>
      </w:r>
    </w:p>
    <w:p w14:paraId="2B29E99C" w14:textId="77777777" w:rsidR="0072531A" w:rsidRPr="0072531A" w:rsidRDefault="0072531A" w:rsidP="0072531A">
      <w:pPr>
        <w:jc w:val="both"/>
      </w:pPr>
      <w:r w:rsidRPr="0072531A">
        <w:t>Zavadska, D., Odzelevica, Z., Karelis, G., Liepina, L., Litauniece, Z. A., Bormane, A., ... Schmitt, H. J. (2018). Tick-borne encephalitis: A 43-year summary of epidemiological and clinical data from Latvia (1973 to 2016). PLOS ONE, 13(11), Article e0204844. </w:t>
      </w:r>
    </w:p>
    <w:p w14:paraId="01F3D7A6" w14:textId="7E4B3EBD" w:rsidR="0072531A" w:rsidRPr="003A16A9" w:rsidRDefault="0072531A" w:rsidP="0072531A">
      <w:pPr>
        <w:jc w:val="both"/>
        <w:rPr>
          <w:lang w:val="en-GB"/>
        </w:rPr>
      </w:pPr>
      <w:r w:rsidRPr="0072531A">
        <w:br/>
      </w:r>
      <w:r w:rsidRPr="0072531A">
        <w:br/>
      </w:r>
      <w:r w:rsidRPr="0072531A">
        <w:br/>
      </w:r>
      <w:r w:rsidRPr="0072531A">
        <w:br/>
      </w:r>
      <w:r w:rsidRPr="0072531A">
        <w:br/>
      </w:r>
    </w:p>
    <w:p w14:paraId="02A4A3D8" w14:textId="77777777" w:rsidR="0072531A" w:rsidRPr="0072531A" w:rsidRDefault="0072531A" w:rsidP="0072531A">
      <w:pPr>
        <w:jc w:val="both"/>
      </w:pPr>
      <w:r w:rsidRPr="0072531A">
        <w:rPr>
          <w:b/>
          <w:bCs/>
        </w:rPr>
        <w:lastRenderedPageBreak/>
        <w:t>Συγκριτική Αξιολόγηση Αλγορίθμων Τεχνητής Νοημοσύνης και Κλινικής Διαγνωστικής προσέγγισης σε Ακτινογραφίες του Θώρακος  Ζώων Συντροφιάς</w:t>
      </w:r>
    </w:p>
    <w:p w14:paraId="012E5337" w14:textId="77777777" w:rsidR="0072531A" w:rsidRPr="0072531A" w:rsidRDefault="0072531A" w:rsidP="0072531A">
      <w:pPr>
        <w:jc w:val="both"/>
      </w:pPr>
      <w:r w:rsidRPr="0072531A">
        <w:t>Kamyar Eskandari¹, Μαριάνα Μπαρμπαγιάννη², Ανάργυρος Καρατράντος³</w:t>
      </w:r>
    </w:p>
    <w:p w14:paraId="693B22DD" w14:textId="77777777" w:rsidR="0072531A" w:rsidRPr="0072531A" w:rsidRDefault="0072531A">
      <w:pPr>
        <w:numPr>
          <w:ilvl w:val="0"/>
          <w:numId w:val="134"/>
        </w:numPr>
        <w:jc w:val="both"/>
      </w:pPr>
      <w:r w:rsidRPr="0072531A">
        <w:t>Προπτυχιακός Φοιτητής, Τμήμα Κτηνιατρικής, Σχολή Επιστημών Υγείας, Πανεπιστήμιο Θεσσαλίας.</w:t>
      </w:r>
    </w:p>
    <w:p w14:paraId="1CB57236" w14:textId="77777777" w:rsidR="0072531A" w:rsidRPr="0072531A" w:rsidRDefault="0072531A">
      <w:pPr>
        <w:numPr>
          <w:ilvl w:val="0"/>
          <w:numId w:val="134"/>
        </w:numPr>
        <w:jc w:val="both"/>
      </w:pPr>
      <w:r w:rsidRPr="0072531A">
        <w:t>Αναπληρώτρια Καθηγήτρια,  Απεικονιστική Διαγνωστική Χειρουργικής Κλινικής, Τμήμα Κτηνιατρικής, Πανεπιστήμιο Θεσσαλίας.</w:t>
      </w:r>
    </w:p>
    <w:p w14:paraId="77EB456D" w14:textId="77777777" w:rsidR="0072531A" w:rsidRPr="0072531A" w:rsidRDefault="0072531A">
      <w:pPr>
        <w:numPr>
          <w:ilvl w:val="0"/>
          <w:numId w:val="134"/>
        </w:numPr>
        <w:jc w:val="both"/>
      </w:pPr>
      <w:r w:rsidRPr="0072531A">
        <w:t>Υποψήφιος Διδάκτορας, Απεικονιστική Διαγνωστική Χειρουργικής Κλινικής, Τμήμα Κτηνιατρικής, Πανεπιστήμιο Θεσσαλίας.</w:t>
      </w:r>
    </w:p>
    <w:p w14:paraId="17D34F33" w14:textId="77777777" w:rsidR="0072531A" w:rsidRPr="0072531A" w:rsidRDefault="0072531A" w:rsidP="0072531A">
      <w:pPr>
        <w:jc w:val="both"/>
      </w:pPr>
    </w:p>
    <w:p w14:paraId="209220E2" w14:textId="77777777" w:rsidR="0072531A" w:rsidRPr="0072531A" w:rsidRDefault="0072531A" w:rsidP="0072531A">
      <w:pPr>
        <w:jc w:val="both"/>
      </w:pPr>
      <w:r w:rsidRPr="0072531A">
        <w:rPr>
          <w:b/>
          <w:bCs/>
        </w:rPr>
        <w:t>Περίληψη</w:t>
      </w:r>
    </w:p>
    <w:p w14:paraId="21045146" w14:textId="77777777" w:rsidR="0072531A" w:rsidRDefault="0072531A" w:rsidP="0072531A">
      <w:pPr>
        <w:jc w:val="both"/>
        <w:rPr>
          <w:lang w:val="en-GB"/>
        </w:rPr>
      </w:pPr>
      <w:r w:rsidRPr="0072531A">
        <w:t>Ενώ η τεχνητή νοημοσύνη (AI) αποτελεί πλέον καθιερωμένο κλινικό εργαλείο στην κτηνιατρική, η διαγνωστική της αξιοπιστία στην Εκτίμηση πολύπλοκων πνευμονικών  παθολογιών παραμένει αμφισβητούμενη. Η φυσιολογία του ασθενούς, και ειδικά το θωρακικό λίπος, δημιουργεί συχνά ακτινολογικά τεχνουργήματα που μιμούνται Πνευμονικές παθήσεις, επηρεάζοντας την ακρίβεια των αλγορίθμων και οδηγώντας σε πιθανά ψευδώς θετικές διαγνώσεις. Η παρούσα μελέτη έχει ως στόχο την αξιολόγηση της ευαισθησίας και της ειδικότητας δύων ιατρικών λογισμικών AI, συγκεκριμένα των  SignalPET και PicoxIA, στην ανίχνευση παθολογικών πνευμονικών προτύπων, συγκρίνοντάς τα με επιβεβαιωμένες κλινικές διαγνώσεις, ενώ εξετάζει ρητά την επιρροή του σωματικού βάρους του ασθενούς. Για να επιτευχθεί αυτός ο στόχος, θα διεξαχθεί αναδρομική κλινική ανάλυση σε 5 ζώα συντροφιάς. Ακτινογραφίες θώρακος με επιβεβαιωμένη παρουσία ή απουσία πνευμονικής παθολογίας μέσω κλινικών προτύπων αναφοράς (CT, αξιολόγηση ειδικού) θα αναλυθούν με τους αλγόριθμους SignalPET και PicoxIA. Συγκρίνοντας τις αυτοματοποιημένες διαγνωστικές αναφορές απευθείας με τις Απεικονιστικές γνωματεύσεις, αυτή η έρευνα επιδιώκει να εντοπίσει τους τρέχοντες κλινικούς περιορισμούς του AI.</w:t>
      </w:r>
    </w:p>
    <w:p w14:paraId="74BB0999" w14:textId="77777777" w:rsidR="00B3096C" w:rsidRPr="00B3096C" w:rsidRDefault="00B3096C" w:rsidP="0072531A">
      <w:pPr>
        <w:jc w:val="both"/>
        <w:rPr>
          <w:lang w:val="en-GB"/>
        </w:rPr>
      </w:pPr>
    </w:p>
    <w:p w14:paraId="3DAEB5BC" w14:textId="77777777" w:rsidR="0072531A" w:rsidRPr="0072531A" w:rsidRDefault="0072531A" w:rsidP="0072531A">
      <w:pPr>
        <w:jc w:val="both"/>
      </w:pPr>
      <w:r w:rsidRPr="0072531A">
        <w:rPr>
          <w:b/>
          <w:bCs/>
        </w:rPr>
        <w:t>Βιβλιογραφία</w:t>
      </w:r>
    </w:p>
    <w:p w14:paraId="727EB5D3" w14:textId="77777777" w:rsidR="0072531A" w:rsidRPr="0072531A" w:rsidRDefault="0072531A" w:rsidP="0072531A">
      <w:pPr>
        <w:jc w:val="both"/>
      </w:pPr>
      <w:r w:rsidRPr="0072531A">
        <w:t>Berry, C. R., Nelson, N. C., &amp; Winter, M. D.  (2015). Atlas of small animal diagnostic imaging. Wiley-Blackwell.</w:t>
      </w:r>
    </w:p>
    <w:p w14:paraId="02125944" w14:textId="77777777" w:rsidR="0072531A" w:rsidRPr="0072531A" w:rsidRDefault="0072531A" w:rsidP="0072531A">
      <w:pPr>
        <w:jc w:val="both"/>
      </w:pPr>
      <w:r w:rsidRPr="0072531A">
        <w:t>Kealy, J. K., McAllister, H., &amp; Graham, J. P. (2011). Diagnostic radiology and ultrasonography of the dog and cat (5th ed.). Elsevier Saunders.</w:t>
      </w:r>
    </w:p>
    <w:p w14:paraId="14F731B0" w14:textId="77777777" w:rsidR="0072531A" w:rsidRPr="0072531A" w:rsidRDefault="0072531A" w:rsidP="0072531A">
      <w:pPr>
        <w:jc w:val="both"/>
      </w:pPr>
      <w:r w:rsidRPr="0072531A">
        <w:t>Rubini, A., Di Via, R., Pastore, V. P., Del Signore, F., Rosto, M., De Bonis, A., Odone, F., &amp; Vignoli, M. (2025). Artificial Intelligence in Chest Radiography—A Comparative Review of Human and Veterinary Medicine. Veterinary Sciences, 12(5), 404.</w:t>
      </w:r>
    </w:p>
    <w:p w14:paraId="69419B1A" w14:textId="6CB4F508" w:rsidR="00B3096C" w:rsidRDefault="0072531A" w:rsidP="0072531A">
      <w:pPr>
        <w:jc w:val="both"/>
      </w:pPr>
      <w:r w:rsidRPr="0072531A">
        <w:br/>
      </w:r>
      <w:r w:rsidRPr="0072531A">
        <w:br/>
      </w:r>
      <w:r w:rsidRPr="0072531A">
        <w:br/>
      </w:r>
      <w:r w:rsidRPr="0072531A">
        <w:br/>
      </w:r>
    </w:p>
    <w:p w14:paraId="75291B3B" w14:textId="77777777" w:rsidR="00B3096C" w:rsidRDefault="00B3096C">
      <w:r>
        <w:br w:type="page"/>
      </w:r>
    </w:p>
    <w:p w14:paraId="0BDB687D" w14:textId="1B4D2EC9" w:rsidR="00B3096C" w:rsidRPr="00B3096C" w:rsidRDefault="00B3096C" w:rsidP="00B3096C">
      <w:pPr>
        <w:jc w:val="both"/>
      </w:pPr>
      <w:r w:rsidRPr="00B3096C">
        <w:rPr>
          <w:b/>
          <w:bCs/>
        </w:rPr>
        <w:lastRenderedPageBreak/>
        <w:t>Neoplasia in Pet Rabbits: Epidemiological Patterns and Diagnostic Strategies</w:t>
      </w:r>
    </w:p>
    <w:p w14:paraId="7B44420C" w14:textId="77777777" w:rsidR="00B3096C" w:rsidRPr="00B3096C" w:rsidRDefault="00B3096C" w:rsidP="00B3096C">
      <w:pPr>
        <w:jc w:val="both"/>
      </w:pPr>
      <w:r w:rsidRPr="00B3096C">
        <w:t>Bitsakaki Aikaterini</w:t>
      </w:r>
      <w:r w:rsidRPr="00B3096C">
        <w:rPr>
          <w:vertAlign w:val="superscript"/>
        </w:rPr>
        <w:t>1</w:t>
      </w:r>
      <w:r w:rsidRPr="00B3096C">
        <w:t>, Svarna Foteini</w:t>
      </w:r>
      <w:r w:rsidRPr="00B3096C">
        <w:rPr>
          <w:vertAlign w:val="superscript"/>
        </w:rPr>
        <w:t>1</w:t>
      </w:r>
      <w:r w:rsidRPr="00B3096C">
        <w:t>, Tsernou Despoina-Maria</w:t>
      </w:r>
      <w:r w:rsidRPr="00B3096C">
        <w:rPr>
          <w:vertAlign w:val="superscript"/>
        </w:rPr>
        <w:t>1</w:t>
      </w:r>
      <w:r w:rsidRPr="00B3096C">
        <w:t>, Komnenou Anastasia</w:t>
      </w:r>
      <w:r w:rsidRPr="00B3096C">
        <w:rPr>
          <w:vertAlign w:val="superscript"/>
        </w:rPr>
        <w:t>2</w:t>
      </w:r>
    </w:p>
    <w:p w14:paraId="04A6C0DF" w14:textId="77777777" w:rsidR="00B3096C" w:rsidRPr="00B3096C" w:rsidRDefault="00B3096C">
      <w:pPr>
        <w:numPr>
          <w:ilvl w:val="0"/>
          <w:numId w:val="135"/>
        </w:numPr>
        <w:jc w:val="both"/>
      </w:pPr>
      <w:r w:rsidRPr="00B3096C">
        <w:t>Undergraduate student, School of Veterinary Medicine, Faculty of Health Science, Aristotle University of Thessaloniki.</w:t>
      </w:r>
    </w:p>
    <w:p w14:paraId="0C41DDE4" w14:textId="77777777" w:rsidR="00B3096C" w:rsidRPr="00B3096C" w:rsidRDefault="00B3096C">
      <w:pPr>
        <w:numPr>
          <w:ilvl w:val="0"/>
          <w:numId w:val="135"/>
        </w:numPr>
        <w:jc w:val="both"/>
      </w:pPr>
      <w:r w:rsidRPr="00B3096C">
        <w:t>Professor, School of Veterinary Medicine, Faculty of Health Science, Aristotle University of Thessaloniki, Aristotle University of Thessaloniki</w:t>
      </w:r>
    </w:p>
    <w:p w14:paraId="55EA341E" w14:textId="77777777" w:rsidR="00B3096C" w:rsidRPr="00B3096C" w:rsidRDefault="00B3096C" w:rsidP="00B3096C">
      <w:pPr>
        <w:jc w:val="both"/>
      </w:pPr>
    </w:p>
    <w:p w14:paraId="14DE36E5" w14:textId="77777777" w:rsidR="00B3096C" w:rsidRPr="00B3096C" w:rsidRDefault="00B3096C" w:rsidP="00B3096C">
      <w:pPr>
        <w:jc w:val="both"/>
      </w:pPr>
      <w:r w:rsidRPr="00B3096C">
        <w:rPr>
          <w:b/>
          <w:bCs/>
        </w:rPr>
        <w:t>Abstract</w:t>
      </w:r>
    </w:p>
    <w:p w14:paraId="2BECBA6C" w14:textId="77777777" w:rsidR="00B3096C" w:rsidRPr="00B3096C" w:rsidRDefault="00B3096C" w:rsidP="00B3096C">
      <w:pPr>
        <w:jc w:val="both"/>
      </w:pPr>
      <w:r w:rsidRPr="00B3096C">
        <w:t> Neoplasia represents one of the leading causes of mortality in pet rabbits over five years of age. The epidemiology of neoplastic diseases in these animals differs significantly from that observed of other companion animals, as well as in  laboratory or farm rabbits. Primary neoplasms in rabbits may arise in any organ system; however, they are most commonly observed in the reproductive, hematopoietic, and integumentary systems. The most frequently encountered neoplasms include uterine adenocarcinoma, lymphoma, thymoma, and neoplasms of the mammary glands and skin. The incidence of neoplasia is strongly age-related, with increasing prevalence in older animals. Unspayed females are particularly predisposed, especially to tumors of the reproductive tract and mammary glands, while breed-related susceptibility may also play a role. The unique physiological and anatomical characteristics of rabbits influence not only the pathogenesis of neoplastic diseases, but also their diagnostic evaluation and therapeutic management. Diagnosis is based on a combination of laboratory testing (including hematological and biochemical analyses) and imaging techniques. In addition, cytological and histopathological examinations are essential for definitive tumor identification and classification. Raising awareness among both veterinarians and owners is crucial for effective prevention, particularly through timely spaying of female rabbits, as well as for facilitating early diagnosis and appropriate therapeutic management. </w:t>
      </w:r>
    </w:p>
    <w:p w14:paraId="33B882CC" w14:textId="77777777" w:rsidR="00B3096C" w:rsidRPr="00B3096C" w:rsidRDefault="00B3096C" w:rsidP="00B3096C">
      <w:pPr>
        <w:jc w:val="both"/>
      </w:pPr>
    </w:p>
    <w:p w14:paraId="487EA37A" w14:textId="77777777" w:rsidR="00B3096C" w:rsidRPr="00B3096C" w:rsidRDefault="00B3096C" w:rsidP="00B3096C">
      <w:pPr>
        <w:jc w:val="both"/>
      </w:pPr>
      <w:r w:rsidRPr="00B3096C">
        <w:rPr>
          <w:b/>
          <w:bCs/>
        </w:rPr>
        <w:t>Bibliography</w:t>
      </w:r>
    </w:p>
    <w:p w14:paraId="3D525138" w14:textId="77777777" w:rsidR="00B3096C" w:rsidRPr="00B3096C" w:rsidRDefault="00B3096C" w:rsidP="00B3096C">
      <w:pPr>
        <w:jc w:val="both"/>
      </w:pPr>
      <w:r w:rsidRPr="00B3096C">
        <w:t xml:space="preserve">Bertram, C. A., et al. (2020). </w:t>
      </w:r>
      <w:r w:rsidRPr="00B3096C">
        <w:rPr>
          <w:i/>
          <w:iCs/>
        </w:rPr>
        <w:t xml:space="preserve">Neoplasia and tumor-like lesions in pet rabbits (Oryctolagus cuniculus): A retrospective analysis of cases between 1995 and 2019. </w:t>
      </w:r>
      <w:r w:rsidRPr="00B3096C">
        <w:t>Veterinary Pathology, 58(5), 901–911.</w:t>
      </w:r>
    </w:p>
    <w:p w14:paraId="1A029947" w14:textId="77777777" w:rsidR="00B3096C" w:rsidRPr="00B3096C" w:rsidRDefault="00B3096C" w:rsidP="00B3096C">
      <w:pPr>
        <w:jc w:val="both"/>
      </w:pPr>
      <w:r w:rsidRPr="00B3096C">
        <w:t>van Zeeland, Y. (2017).</w:t>
      </w:r>
      <w:r w:rsidRPr="00B3096C">
        <w:rPr>
          <w:i/>
          <w:iCs/>
        </w:rPr>
        <w:t xml:space="preserve"> Rabbit oncology.</w:t>
      </w:r>
      <w:r w:rsidRPr="00B3096C">
        <w:t xml:space="preserve"> Veterinary Clinics of North America: Exotic Animal Practice, 20(1), 135–182.</w:t>
      </w:r>
    </w:p>
    <w:p w14:paraId="70BEFAA7" w14:textId="77777777" w:rsidR="00B3096C" w:rsidRPr="00B3096C" w:rsidRDefault="00B3096C" w:rsidP="00B3096C">
      <w:pPr>
        <w:jc w:val="both"/>
      </w:pPr>
      <w:r w:rsidRPr="00B3096C">
        <w:t xml:space="preserve">Lee, A., &amp; Berg, K. J. (2026). </w:t>
      </w:r>
      <w:r w:rsidRPr="00B3096C">
        <w:rPr>
          <w:i/>
          <w:iCs/>
        </w:rPr>
        <w:t>Recent advances in rabbit oncology</w:t>
      </w:r>
      <w:r w:rsidRPr="00B3096C">
        <w:t>. Veterinary Clinics of North America: Exotic Animal Practice [Preprint].</w:t>
      </w:r>
    </w:p>
    <w:p w14:paraId="69A2CBE8" w14:textId="77777777" w:rsidR="00B3096C" w:rsidRPr="00B3096C" w:rsidRDefault="00B3096C" w:rsidP="00B3096C">
      <w:pPr>
        <w:jc w:val="both"/>
      </w:pPr>
      <w:r w:rsidRPr="00B3096C">
        <w:t xml:space="preserve">Hill, F. I., et al. (2024). </w:t>
      </w:r>
      <w:r w:rsidRPr="00B3096C">
        <w:rPr>
          <w:i/>
          <w:iCs/>
        </w:rPr>
        <w:t>Neoplastic and non-neoplastic lesions in biopsy samples from pet rabbits in Hong Kong: A retrospective analysis, 2019–2022</w:t>
      </w:r>
      <w:r w:rsidRPr="00B3096C">
        <w:t>. Journal of Veterinary Diagnostic Investigation, 36(5), 701–710.</w:t>
      </w:r>
    </w:p>
    <w:p w14:paraId="25756B35" w14:textId="77777777" w:rsidR="00B3096C" w:rsidRPr="00B3096C" w:rsidRDefault="00B3096C" w:rsidP="00B3096C">
      <w:pPr>
        <w:jc w:val="both"/>
      </w:pPr>
      <w:r w:rsidRPr="00B3096C">
        <w:t xml:space="preserve">Pornsukarom, S., et al. (2023). </w:t>
      </w:r>
      <w:r w:rsidRPr="00B3096C">
        <w:rPr>
          <w:i/>
          <w:iCs/>
        </w:rPr>
        <w:t>Analysis of occurrence and risk factors associated with pet rabbits’ tumors in central Thailand</w:t>
      </w:r>
      <w:r w:rsidRPr="00B3096C">
        <w:t>. Journal of Veterinary Medical Science, 85(12), 1341–1347.</w:t>
      </w:r>
    </w:p>
    <w:p w14:paraId="249EA79F" w14:textId="77777777" w:rsidR="00B3096C" w:rsidRPr="00B3096C" w:rsidRDefault="00B3096C" w:rsidP="00B3096C">
      <w:pPr>
        <w:jc w:val="both"/>
      </w:pPr>
      <w:r w:rsidRPr="00B3096C">
        <w:lastRenderedPageBreak/>
        <w:t xml:space="preserve">Shiga, T., et al. (2022). </w:t>
      </w:r>
      <w:r w:rsidRPr="00B3096C">
        <w:rPr>
          <w:i/>
          <w:iCs/>
        </w:rPr>
        <w:t>Age at death and cause of death of pet rabbits (Oryctolagus cuniculus) seen at an exotic animal clinic in Tokyo, Japan: A retrospective study of 898 cases (2006–2020)</w:t>
      </w:r>
      <w:r w:rsidRPr="00B3096C">
        <w:t>. Journal of Exotic Pet Medicine, 43, 35–39.</w:t>
      </w:r>
    </w:p>
    <w:p w14:paraId="759150A8" w14:textId="77777777" w:rsidR="00B3096C" w:rsidRPr="00B3096C" w:rsidRDefault="00B3096C" w:rsidP="00B3096C">
      <w:pPr>
        <w:jc w:val="both"/>
      </w:pPr>
      <w:r w:rsidRPr="00B3096C">
        <w:t xml:space="preserve">Robertson, J. A., et al. (2022). </w:t>
      </w:r>
      <w:r w:rsidRPr="00B3096C">
        <w:rPr>
          <w:i/>
          <w:iCs/>
        </w:rPr>
        <w:t>Clinical and pathological findings of rabbits with lymphoma: 16 cases (1996–2019)</w:t>
      </w:r>
      <w:r w:rsidRPr="00B3096C">
        <w:t>. Journal of the American Veterinary Medical Association, 260(9), 1–10.</w:t>
      </w:r>
    </w:p>
    <w:p w14:paraId="62D02B53" w14:textId="77777777" w:rsidR="00B3096C" w:rsidRDefault="00B3096C" w:rsidP="00B3096C">
      <w:pPr>
        <w:jc w:val="both"/>
      </w:pPr>
      <w:r w:rsidRPr="00B3096C">
        <w:br/>
      </w:r>
    </w:p>
    <w:p w14:paraId="1590D1F6" w14:textId="77777777" w:rsidR="00B3096C" w:rsidRDefault="00B3096C" w:rsidP="00B3096C">
      <w:pPr>
        <w:jc w:val="both"/>
      </w:pPr>
    </w:p>
    <w:p w14:paraId="20F4091B" w14:textId="77777777" w:rsidR="00B3096C" w:rsidRDefault="00B3096C" w:rsidP="00B3096C">
      <w:pPr>
        <w:jc w:val="both"/>
      </w:pPr>
    </w:p>
    <w:p w14:paraId="31A409B4" w14:textId="77777777" w:rsidR="00B3096C" w:rsidRDefault="00B3096C" w:rsidP="00B3096C">
      <w:pPr>
        <w:jc w:val="both"/>
      </w:pPr>
    </w:p>
    <w:p w14:paraId="2D831EC7" w14:textId="77777777" w:rsidR="00B3096C" w:rsidRDefault="00B3096C" w:rsidP="00B3096C">
      <w:pPr>
        <w:jc w:val="both"/>
      </w:pPr>
    </w:p>
    <w:p w14:paraId="3A837067" w14:textId="77777777" w:rsidR="00B3096C" w:rsidRDefault="00B3096C" w:rsidP="00B3096C">
      <w:pPr>
        <w:jc w:val="both"/>
      </w:pPr>
    </w:p>
    <w:p w14:paraId="31F96BF1" w14:textId="77777777" w:rsidR="00B3096C" w:rsidRDefault="00B3096C" w:rsidP="00B3096C">
      <w:pPr>
        <w:jc w:val="both"/>
      </w:pPr>
    </w:p>
    <w:p w14:paraId="76BF87DC" w14:textId="77777777" w:rsidR="00B3096C" w:rsidRDefault="00B3096C" w:rsidP="00B3096C">
      <w:pPr>
        <w:jc w:val="both"/>
      </w:pPr>
    </w:p>
    <w:p w14:paraId="270B921E" w14:textId="77777777" w:rsidR="00B3096C" w:rsidRDefault="00B3096C" w:rsidP="00B3096C">
      <w:pPr>
        <w:jc w:val="both"/>
      </w:pPr>
    </w:p>
    <w:p w14:paraId="23B0A67B" w14:textId="77777777" w:rsidR="00B3096C" w:rsidRDefault="00B3096C" w:rsidP="00B3096C">
      <w:pPr>
        <w:jc w:val="both"/>
      </w:pPr>
    </w:p>
    <w:p w14:paraId="63072B85" w14:textId="77777777" w:rsidR="00B3096C" w:rsidRDefault="00B3096C" w:rsidP="00B3096C">
      <w:pPr>
        <w:jc w:val="both"/>
      </w:pPr>
    </w:p>
    <w:p w14:paraId="7513AF4D" w14:textId="77777777" w:rsidR="00B3096C" w:rsidRDefault="00B3096C" w:rsidP="00B3096C">
      <w:pPr>
        <w:jc w:val="both"/>
      </w:pPr>
    </w:p>
    <w:p w14:paraId="1DBC521D" w14:textId="77777777" w:rsidR="00B3096C" w:rsidRDefault="00B3096C" w:rsidP="00B3096C">
      <w:pPr>
        <w:jc w:val="both"/>
      </w:pPr>
    </w:p>
    <w:p w14:paraId="098C4A53" w14:textId="77777777" w:rsidR="00B3096C" w:rsidRDefault="00B3096C" w:rsidP="00B3096C">
      <w:pPr>
        <w:jc w:val="both"/>
      </w:pPr>
    </w:p>
    <w:p w14:paraId="7471F7FB" w14:textId="77777777" w:rsidR="00B3096C" w:rsidRDefault="00B3096C" w:rsidP="00B3096C">
      <w:pPr>
        <w:jc w:val="both"/>
      </w:pPr>
    </w:p>
    <w:p w14:paraId="5583AF19" w14:textId="77777777" w:rsidR="00B3096C" w:rsidRDefault="00B3096C" w:rsidP="00B3096C">
      <w:pPr>
        <w:jc w:val="both"/>
      </w:pPr>
    </w:p>
    <w:p w14:paraId="56BD531E" w14:textId="77777777" w:rsidR="00B3096C" w:rsidRDefault="00B3096C" w:rsidP="00B3096C">
      <w:pPr>
        <w:jc w:val="both"/>
      </w:pPr>
    </w:p>
    <w:p w14:paraId="534D91FE" w14:textId="77777777" w:rsidR="00B3096C" w:rsidRDefault="00B3096C" w:rsidP="00B3096C">
      <w:pPr>
        <w:jc w:val="both"/>
      </w:pPr>
    </w:p>
    <w:p w14:paraId="67C413BF" w14:textId="77777777" w:rsidR="00B3096C" w:rsidRDefault="00B3096C" w:rsidP="00B3096C">
      <w:pPr>
        <w:jc w:val="both"/>
      </w:pPr>
    </w:p>
    <w:p w14:paraId="0BE2228B" w14:textId="77777777" w:rsidR="00B3096C" w:rsidRDefault="00B3096C" w:rsidP="00B3096C">
      <w:pPr>
        <w:jc w:val="both"/>
      </w:pPr>
    </w:p>
    <w:p w14:paraId="17726F39" w14:textId="77777777" w:rsidR="00B3096C" w:rsidRDefault="00B3096C" w:rsidP="00B3096C">
      <w:pPr>
        <w:jc w:val="both"/>
      </w:pPr>
    </w:p>
    <w:p w14:paraId="53439646" w14:textId="77777777" w:rsidR="00B3096C" w:rsidRDefault="00B3096C" w:rsidP="00B3096C">
      <w:pPr>
        <w:jc w:val="both"/>
      </w:pPr>
    </w:p>
    <w:p w14:paraId="1AA37A39" w14:textId="77777777" w:rsidR="00B3096C" w:rsidRDefault="00B3096C" w:rsidP="00B3096C">
      <w:pPr>
        <w:jc w:val="both"/>
      </w:pPr>
    </w:p>
    <w:p w14:paraId="3AFBE648" w14:textId="77777777" w:rsidR="00B3096C" w:rsidRDefault="00B3096C" w:rsidP="00B3096C">
      <w:pPr>
        <w:jc w:val="both"/>
      </w:pPr>
    </w:p>
    <w:p w14:paraId="555D6EA8" w14:textId="77777777" w:rsidR="00B3096C" w:rsidRDefault="00B3096C" w:rsidP="00B3096C">
      <w:pPr>
        <w:jc w:val="both"/>
      </w:pPr>
    </w:p>
    <w:p w14:paraId="2FB8C595" w14:textId="77777777" w:rsidR="00B3096C" w:rsidRPr="00B3096C" w:rsidRDefault="00B3096C" w:rsidP="00B3096C">
      <w:pPr>
        <w:jc w:val="both"/>
      </w:pPr>
    </w:p>
    <w:p w14:paraId="1091111E" w14:textId="5E80A87D" w:rsidR="00B3096C" w:rsidRPr="00B3096C" w:rsidRDefault="00B3096C" w:rsidP="00B3096C">
      <w:pPr>
        <w:jc w:val="both"/>
      </w:pPr>
      <w:r w:rsidRPr="00B3096C">
        <w:rPr>
          <w:b/>
          <w:bCs/>
        </w:rPr>
        <w:lastRenderedPageBreak/>
        <w:t>Nociceptive Pathway – Pain Threshold </w:t>
      </w:r>
    </w:p>
    <w:p w14:paraId="284A6D50" w14:textId="77777777" w:rsidR="00B3096C" w:rsidRPr="00B3096C" w:rsidRDefault="00B3096C" w:rsidP="00B3096C">
      <w:pPr>
        <w:jc w:val="both"/>
      </w:pPr>
      <w:r w:rsidRPr="00B3096C">
        <w:t> Davarouka Dimitra¹, Petrakou Anthoula Maria¹, Flouraki Eugenia² </w:t>
      </w:r>
    </w:p>
    <w:p w14:paraId="4A505F7E" w14:textId="77777777" w:rsidR="00B3096C" w:rsidRPr="00B3096C" w:rsidRDefault="00B3096C">
      <w:pPr>
        <w:numPr>
          <w:ilvl w:val="0"/>
          <w:numId w:val="136"/>
        </w:numPr>
        <w:jc w:val="both"/>
      </w:pPr>
      <w:r w:rsidRPr="00B3096C">
        <w:t>Undergraduate Student, Department of Veterinary Medicine, School of Health Sciences, University of Thessaly </w:t>
      </w:r>
    </w:p>
    <w:p w14:paraId="086C3EEA" w14:textId="77777777" w:rsidR="00B3096C" w:rsidRPr="00B3096C" w:rsidRDefault="00B3096C">
      <w:pPr>
        <w:numPr>
          <w:ilvl w:val="0"/>
          <w:numId w:val="136"/>
        </w:numPr>
        <w:jc w:val="both"/>
      </w:pPr>
      <w:r w:rsidRPr="00B3096C">
        <w:t>Associate Professor of Intensive Care and Anaesthesiology of Animals, Department of Veterinary Medicine, School of Health Sciences, University of Thessaly </w:t>
      </w:r>
    </w:p>
    <w:p w14:paraId="3BB65E31" w14:textId="77777777" w:rsidR="00B3096C" w:rsidRPr="00B3096C" w:rsidRDefault="00B3096C" w:rsidP="00B3096C">
      <w:pPr>
        <w:jc w:val="both"/>
      </w:pPr>
    </w:p>
    <w:p w14:paraId="5E4846B4" w14:textId="77777777" w:rsidR="00B3096C" w:rsidRPr="00B3096C" w:rsidRDefault="00B3096C" w:rsidP="00B3096C">
      <w:pPr>
        <w:jc w:val="both"/>
      </w:pPr>
      <w:r w:rsidRPr="00B3096C">
        <w:rPr>
          <w:b/>
          <w:bCs/>
        </w:rPr>
        <w:t>Abstract</w:t>
      </w:r>
    </w:p>
    <w:p w14:paraId="15CD5D7B" w14:textId="77777777" w:rsidR="00B3096C" w:rsidRPr="00B3096C" w:rsidRDefault="00B3096C" w:rsidP="00B3096C">
      <w:pPr>
        <w:jc w:val="both"/>
      </w:pPr>
      <w:r w:rsidRPr="00B3096C">
        <w:t> Pain is defined as an unpleasant sensory and emotional experience associated with actual or potential tissue damage. The nociceptive pathway is organized as a chain of three neurons: the primary peripheral sensory neuron (Aδ and C fibers) detects mechanical, thermal, or chemical stimuli; the secondary neuron in the dorsal horn of the spinal cord integrates and modifies the signal; and the tertiary neuron projects to the thalamus and the cerebral cortex, where the stimulus becomes a conscious experience. Along the nociceptive pathway, the processes of transduction, conduction, transmission, modulation, projection, and perception of painful stimuli take place. Pain is classified as acute, which appears after trauma or surgical intervention and serves a primarily protective role, and chronic, which persists beyond the expected healing period and is characterized by disproportionate duration and intensity. At the same time, physiological pain has a high threshold, is well localized, and functions as a warning mechanism, whereas pathological pain arises from inflammation or neural injury, is accompanied by hyperalgesia and allodynia, and reflects dysfunction of neural processing, requiring multimodal and preventive management. It is important to distinguish pain from nociception, as the latter refers to the neural processing of noxious stimuli, whereas pain requires conscious perception and the involvement of higher brain centers. </w:t>
      </w:r>
    </w:p>
    <w:p w14:paraId="0287F55B" w14:textId="77777777" w:rsidR="00B3096C" w:rsidRPr="00B3096C" w:rsidRDefault="00B3096C" w:rsidP="00B3096C">
      <w:pPr>
        <w:jc w:val="both"/>
      </w:pPr>
    </w:p>
    <w:p w14:paraId="34DC43FB" w14:textId="77777777" w:rsidR="00B3096C" w:rsidRPr="00B3096C" w:rsidRDefault="00B3096C" w:rsidP="00B3096C">
      <w:pPr>
        <w:jc w:val="both"/>
      </w:pPr>
      <w:r w:rsidRPr="00B3096C">
        <w:rPr>
          <w:b/>
          <w:bCs/>
        </w:rPr>
        <w:t>Bibliography</w:t>
      </w:r>
    </w:p>
    <w:p w14:paraId="0128B634" w14:textId="77777777" w:rsidR="00B3096C" w:rsidRPr="00B3096C" w:rsidRDefault="00B3096C" w:rsidP="00B3096C">
      <w:pPr>
        <w:jc w:val="both"/>
      </w:pPr>
      <w:r w:rsidRPr="00B3096C">
        <w:t xml:space="preserve">Duke-Novakovski, T., de Vries, M., &amp; Seymour, C. (Eds.). (2016). </w:t>
      </w:r>
      <w:r w:rsidRPr="00B3096C">
        <w:rPr>
          <w:i/>
          <w:iCs/>
        </w:rPr>
        <w:t>BSAVA manual of canine and feline anaesthesia and analgesia</w:t>
      </w:r>
      <w:r w:rsidRPr="00B3096C">
        <w:t xml:space="preserve"> (3rd ed.). Gloucester: British Small Animal Veterinary Association.</w:t>
      </w:r>
    </w:p>
    <w:p w14:paraId="11E28DFC" w14:textId="77777777" w:rsidR="00B3096C" w:rsidRPr="00B3096C" w:rsidRDefault="00B3096C" w:rsidP="00B3096C">
      <w:pPr>
        <w:jc w:val="both"/>
      </w:pPr>
      <w:r w:rsidRPr="00B3096C">
        <w:t xml:space="preserve">Gruen, M. E., Lascelles, B. D. X., Colleran, E., Gottlieb, A., Johnson, J., Lotsikas, P., Marcellin-Little, D., &amp; Wright, B. (2022). </w:t>
      </w:r>
      <w:r w:rsidRPr="00B3096C">
        <w:rPr>
          <w:i/>
          <w:iCs/>
        </w:rPr>
        <w:t>2022 AAHA pain management guidelines for dogs and cats</w:t>
      </w:r>
      <w:r w:rsidRPr="00B3096C">
        <w:t>. Journal of the American Animal Hospital Association, 58(1), 55–76.</w:t>
      </w:r>
    </w:p>
    <w:p w14:paraId="3B6DACA7" w14:textId="77777777" w:rsidR="00B3096C" w:rsidRPr="00B3096C" w:rsidRDefault="00B3096C" w:rsidP="00B3096C">
      <w:pPr>
        <w:jc w:val="both"/>
      </w:pPr>
      <w:r w:rsidRPr="00B3096C">
        <w:t xml:space="preserve">Lamont, L. A., Tranquilli, W. J., &amp; Grimm, K. A. (2000). </w:t>
      </w:r>
      <w:r w:rsidRPr="00B3096C">
        <w:rPr>
          <w:i/>
          <w:iCs/>
        </w:rPr>
        <w:t>Physiology of pain</w:t>
      </w:r>
      <w:r w:rsidRPr="00B3096C">
        <w:t>. Veterinary Clinics of North America: Small Animal Practice, 30(4), 703–728.</w:t>
      </w:r>
    </w:p>
    <w:p w14:paraId="7985592B" w14:textId="77777777" w:rsidR="00B3096C" w:rsidRPr="00B3096C" w:rsidRDefault="00B3096C" w:rsidP="00B3096C">
      <w:pPr>
        <w:jc w:val="both"/>
      </w:pPr>
      <w:r w:rsidRPr="00B3096C">
        <w:t xml:space="preserve">Meintjes, R. A. (2012). </w:t>
      </w:r>
      <w:r w:rsidRPr="00B3096C">
        <w:rPr>
          <w:i/>
          <w:iCs/>
        </w:rPr>
        <w:t>An overview of the physiology of pain for the veterinarian</w:t>
      </w:r>
      <w:r w:rsidRPr="00B3096C">
        <w:t xml:space="preserve">. </w:t>
      </w:r>
      <w:r w:rsidRPr="00B3096C">
        <w:rPr>
          <w:i/>
          <w:iCs/>
        </w:rPr>
        <w:t>The Veterinary Journal, 193</w:t>
      </w:r>
      <w:r w:rsidRPr="00B3096C">
        <w:t>(2), 289–293.</w:t>
      </w:r>
    </w:p>
    <w:p w14:paraId="0BBACEB2" w14:textId="77777777" w:rsidR="00B3096C" w:rsidRPr="00B3096C" w:rsidRDefault="00B3096C" w:rsidP="00B3096C">
      <w:pPr>
        <w:jc w:val="both"/>
      </w:pPr>
      <w:r w:rsidRPr="00B3096C">
        <w:t xml:space="preserve">Pedersen, T. R., Berendt, M., &amp; Rusbridge, C. (2025). </w:t>
      </w:r>
      <w:r w:rsidRPr="00B3096C">
        <w:rPr>
          <w:i/>
          <w:iCs/>
        </w:rPr>
        <w:t>Neuroanatomy of spinal nociception and pain in dogs and cats: A practical review for the veterinary clinician</w:t>
      </w:r>
      <w:r w:rsidRPr="00B3096C">
        <w:t xml:space="preserve">. </w:t>
      </w:r>
      <w:r w:rsidRPr="00B3096C">
        <w:rPr>
          <w:i/>
          <w:iCs/>
        </w:rPr>
        <w:t>Frontiers in Veterinary Science, 12</w:t>
      </w:r>
      <w:r w:rsidRPr="00B3096C">
        <w:t>, 1534685.</w:t>
      </w:r>
    </w:p>
    <w:p w14:paraId="189830BF" w14:textId="77777777" w:rsidR="00B3096C" w:rsidRPr="00B3096C" w:rsidRDefault="00B3096C" w:rsidP="00B3096C">
      <w:pPr>
        <w:jc w:val="both"/>
      </w:pPr>
      <w:r w:rsidRPr="00B3096C">
        <w:lastRenderedPageBreak/>
        <w:t xml:space="preserve">Robertson, S. A. (2002). </w:t>
      </w:r>
      <w:r w:rsidRPr="00B3096C">
        <w:rPr>
          <w:i/>
          <w:iCs/>
        </w:rPr>
        <w:t>What is pain?</w:t>
      </w:r>
      <w:r w:rsidRPr="00B3096C">
        <w:t xml:space="preserve"> </w:t>
      </w:r>
      <w:r w:rsidRPr="00B3096C">
        <w:rPr>
          <w:i/>
          <w:iCs/>
        </w:rPr>
        <w:t>Journal of the American Veterinary Medical Association, 221</w:t>
      </w:r>
      <w:r w:rsidRPr="00B3096C">
        <w:t>(2), 202–205.</w:t>
      </w:r>
    </w:p>
    <w:p w14:paraId="2192DE10" w14:textId="77777777" w:rsidR="00B3096C" w:rsidRPr="00B3096C" w:rsidRDefault="00B3096C" w:rsidP="00B3096C">
      <w:pPr>
        <w:jc w:val="both"/>
      </w:pPr>
      <w:r w:rsidRPr="00B3096C">
        <w:t xml:space="preserve">Sator-Katzenschlager, S. (2014). </w:t>
      </w:r>
      <w:r w:rsidRPr="00B3096C">
        <w:rPr>
          <w:i/>
          <w:iCs/>
        </w:rPr>
        <w:t>Pain and neuroplasticity</w:t>
      </w:r>
      <w:r w:rsidRPr="00B3096C">
        <w:t xml:space="preserve">. </w:t>
      </w:r>
      <w:r w:rsidRPr="00B3096C">
        <w:rPr>
          <w:i/>
          <w:iCs/>
        </w:rPr>
        <w:t>Revista Médica Clínica Las Condes, 25</w:t>
      </w:r>
      <w:r w:rsidRPr="00B3096C">
        <w:t>(4), 699–706.</w:t>
      </w:r>
    </w:p>
    <w:p w14:paraId="1A5DDB04" w14:textId="77777777" w:rsidR="00B3096C" w:rsidRPr="00B3096C" w:rsidRDefault="00B3096C" w:rsidP="00B3096C">
      <w:pPr>
        <w:jc w:val="both"/>
      </w:pPr>
      <w:r w:rsidRPr="00B3096C">
        <w:t xml:space="preserve">Short, C. E. (1998). </w:t>
      </w:r>
      <w:r w:rsidRPr="00B3096C">
        <w:rPr>
          <w:i/>
          <w:iCs/>
        </w:rPr>
        <w:t>Fundamentals of pain perception in animals</w:t>
      </w:r>
      <w:r w:rsidRPr="00B3096C">
        <w:t xml:space="preserve">. </w:t>
      </w:r>
      <w:r w:rsidRPr="00B3096C">
        <w:rPr>
          <w:i/>
          <w:iCs/>
        </w:rPr>
        <w:t>Applied Animal Behaviour Science, 59</w:t>
      </w:r>
      <w:r w:rsidRPr="00B3096C">
        <w:t>(2–3), 125–133.</w:t>
      </w:r>
    </w:p>
    <w:p w14:paraId="2E6B7E65" w14:textId="77777777" w:rsidR="00B3096C" w:rsidRDefault="00B3096C" w:rsidP="00B3096C">
      <w:pPr>
        <w:jc w:val="both"/>
      </w:pPr>
      <w:r w:rsidRPr="00B3096C">
        <w:br/>
      </w:r>
      <w:r w:rsidRPr="00B3096C">
        <w:br/>
      </w:r>
    </w:p>
    <w:p w14:paraId="6AC99C77" w14:textId="77777777" w:rsidR="00B3096C" w:rsidRDefault="00B3096C" w:rsidP="00B3096C">
      <w:pPr>
        <w:jc w:val="both"/>
      </w:pPr>
    </w:p>
    <w:p w14:paraId="1C18E013" w14:textId="77777777" w:rsidR="00B3096C" w:rsidRDefault="00B3096C" w:rsidP="00B3096C">
      <w:pPr>
        <w:jc w:val="both"/>
      </w:pPr>
    </w:p>
    <w:p w14:paraId="4F118D23" w14:textId="77777777" w:rsidR="00B3096C" w:rsidRDefault="00B3096C" w:rsidP="00B3096C">
      <w:pPr>
        <w:jc w:val="both"/>
      </w:pPr>
    </w:p>
    <w:p w14:paraId="5ED1DE73" w14:textId="77777777" w:rsidR="00B3096C" w:rsidRDefault="00B3096C" w:rsidP="00B3096C">
      <w:pPr>
        <w:jc w:val="both"/>
      </w:pPr>
    </w:p>
    <w:p w14:paraId="764FBADB" w14:textId="77777777" w:rsidR="00B3096C" w:rsidRDefault="00B3096C" w:rsidP="00B3096C">
      <w:pPr>
        <w:jc w:val="both"/>
      </w:pPr>
    </w:p>
    <w:p w14:paraId="4B95660E" w14:textId="77777777" w:rsidR="00B3096C" w:rsidRDefault="00B3096C" w:rsidP="00B3096C">
      <w:pPr>
        <w:jc w:val="both"/>
      </w:pPr>
    </w:p>
    <w:p w14:paraId="68D176FD" w14:textId="77777777" w:rsidR="00B3096C" w:rsidRDefault="00B3096C" w:rsidP="00B3096C">
      <w:pPr>
        <w:jc w:val="both"/>
      </w:pPr>
    </w:p>
    <w:p w14:paraId="028CF87E" w14:textId="77777777" w:rsidR="00B3096C" w:rsidRDefault="00B3096C" w:rsidP="00B3096C">
      <w:pPr>
        <w:jc w:val="both"/>
      </w:pPr>
    </w:p>
    <w:p w14:paraId="40381026" w14:textId="77777777" w:rsidR="00B3096C" w:rsidRDefault="00B3096C" w:rsidP="00B3096C">
      <w:pPr>
        <w:jc w:val="both"/>
      </w:pPr>
    </w:p>
    <w:p w14:paraId="73AE7FB6" w14:textId="77777777" w:rsidR="00B3096C" w:rsidRDefault="00B3096C" w:rsidP="00B3096C">
      <w:pPr>
        <w:jc w:val="both"/>
      </w:pPr>
    </w:p>
    <w:p w14:paraId="59D81812" w14:textId="77777777" w:rsidR="00B3096C" w:rsidRDefault="00B3096C" w:rsidP="00B3096C">
      <w:pPr>
        <w:jc w:val="both"/>
      </w:pPr>
    </w:p>
    <w:p w14:paraId="3F10BF30" w14:textId="77777777" w:rsidR="00B3096C" w:rsidRDefault="00B3096C" w:rsidP="00B3096C">
      <w:pPr>
        <w:jc w:val="both"/>
      </w:pPr>
    </w:p>
    <w:p w14:paraId="4F2CF451" w14:textId="77777777" w:rsidR="00B3096C" w:rsidRDefault="00B3096C" w:rsidP="00B3096C">
      <w:pPr>
        <w:jc w:val="both"/>
      </w:pPr>
    </w:p>
    <w:p w14:paraId="0DC6FAC0" w14:textId="77777777" w:rsidR="00B3096C" w:rsidRDefault="00B3096C" w:rsidP="00B3096C">
      <w:pPr>
        <w:jc w:val="both"/>
      </w:pPr>
    </w:p>
    <w:p w14:paraId="5EDD4242" w14:textId="77777777" w:rsidR="00B3096C" w:rsidRDefault="00B3096C" w:rsidP="00B3096C">
      <w:pPr>
        <w:jc w:val="both"/>
      </w:pPr>
    </w:p>
    <w:p w14:paraId="6856C2EB" w14:textId="77777777" w:rsidR="00B3096C" w:rsidRDefault="00B3096C" w:rsidP="00B3096C">
      <w:pPr>
        <w:jc w:val="both"/>
      </w:pPr>
    </w:p>
    <w:p w14:paraId="5B292613" w14:textId="77777777" w:rsidR="00B3096C" w:rsidRDefault="00B3096C" w:rsidP="00B3096C">
      <w:pPr>
        <w:jc w:val="both"/>
      </w:pPr>
    </w:p>
    <w:p w14:paraId="12948B79" w14:textId="77777777" w:rsidR="00B3096C" w:rsidRDefault="00B3096C" w:rsidP="00B3096C">
      <w:pPr>
        <w:jc w:val="both"/>
      </w:pPr>
    </w:p>
    <w:p w14:paraId="02D24E19" w14:textId="77777777" w:rsidR="00B3096C" w:rsidRDefault="00B3096C" w:rsidP="00B3096C">
      <w:pPr>
        <w:jc w:val="both"/>
      </w:pPr>
    </w:p>
    <w:p w14:paraId="0ECB1B78" w14:textId="77777777" w:rsidR="00B3096C" w:rsidRDefault="00B3096C" w:rsidP="00B3096C">
      <w:pPr>
        <w:jc w:val="both"/>
      </w:pPr>
    </w:p>
    <w:p w14:paraId="3B67C9C0" w14:textId="77777777" w:rsidR="00B3096C" w:rsidRDefault="00B3096C" w:rsidP="00B3096C">
      <w:pPr>
        <w:jc w:val="both"/>
      </w:pPr>
    </w:p>
    <w:p w14:paraId="61E364D8" w14:textId="77777777" w:rsidR="00B3096C" w:rsidRDefault="00B3096C" w:rsidP="00B3096C">
      <w:pPr>
        <w:jc w:val="both"/>
      </w:pPr>
    </w:p>
    <w:p w14:paraId="1DA7DBB5" w14:textId="17B3A591" w:rsidR="00B3096C" w:rsidRPr="00B3096C" w:rsidRDefault="00B3096C" w:rsidP="00B3096C">
      <w:pPr>
        <w:jc w:val="both"/>
      </w:pPr>
      <w:r w:rsidRPr="00B3096C">
        <w:br/>
      </w:r>
    </w:p>
    <w:p w14:paraId="27E1BF3C" w14:textId="77777777" w:rsidR="00B3096C" w:rsidRDefault="00B3096C" w:rsidP="00B3096C">
      <w:pPr>
        <w:jc w:val="both"/>
        <w:rPr>
          <w:b/>
          <w:bCs/>
        </w:rPr>
      </w:pPr>
      <w:r w:rsidRPr="00B3096C">
        <w:rPr>
          <w:b/>
          <w:bCs/>
        </w:rPr>
        <w:lastRenderedPageBreak/>
        <w:t>Therapeutic Approach to Primary Immune-Mediated Hemolytic Anemia in a Dog</w:t>
      </w:r>
    </w:p>
    <w:p w14:paraId="7DBDB311" w14:textId="284F7183" w:rsidR="00B3096C" w:rsidRPr="00B3096C" w:rsidRDefault="00B3096C" w:rsidP="00B3096C">
      <w:pPr>
        <w:jc w:val="both"/>
        <w:rPr>
          <w:b/>
          <w:bCs/>
        </w:rPr>
      </w:pPr>
      <w:r>
        <w:t>G</w:t>
      </w:r>
      <w:r w:rsidRPr="00B3096C">
        <w:t>raikousis A</w:t>
      </w:r>
      <w:r w:rsidRPr="00B3096C">
        <w:rPr>
          <w:vertAlign w:val="superscript"/>
        </w:rPr>
        <w:t>1</w:t>
      </w:r>
      <w:r w:rsidRPr="00B3096C">
        <w:t xml:space="preserve">, Kolokoutsa H </w:t>
      </w:r>
      <w:r w:rsidRPr="00B3096C">
        <w:rPr>
          <w:vertAlign w:val="superscript"/>
        </w:rPr>
        <w:t>2</w:t>
      </w:r>
      <w:r w:rsidRPr="00B3096C">
        <w:t>, Tsimpogianni A</w:t>
      </w:r>
      <w:r w:rsidRPr="00B3096C">
        <w:rPr>
          <w:vertAlign w:val="superscript"/>
        </w:rPr>
        <w:t>3</w:t>
      </w:r>
      <w:r w:rsidRPr="00B3096C">
        <w:t>, Konstantinidis A.O</w:t>
      </w:r>
      <w:r w:rsidRPr="00B3096C">
        <w:rPr>
          <w:vertAlign w:val="superscript"/>
        </w:rPr>
        <w:t>4</w:t>
      </w:r>
    </w:p>
    <w:p w14:paraId="718B86A3" w14:textId="41BFF888" w:rsidR="00B3096C" w:rsidRPr="00B3096C" w:rsidRDefault="00B3096C">
      <w:pPr>
        <w:numPr>
          <w:ilvl w:val="0"/>
          <w:numId w:val="137"/>
        </w:numPr>
        <w:jc w:val="both"/>
      </w:pPr>
      <w:r w:rsidRPr="00B3096C">
        <w:t>Undergraduate student, Department of Veterinary Medicine, School of Health Sciences, Aristotle University of Thessaloniki</w:t>
      </w:r>
    </w:p>
    <w:p w14:paraId="10B917F9" w14:textId="6177B279" w:rsidR="00B3096C" w:rsidRPr="00B3096C" w:rsidRDefault="00B3096C">
      <w:pPr>
        <w:numPr>
          <w:ilvl w:val="0"/>
          <w:numId w:val="137"/>
        </w:numPr>
        <w:jc w:val="both"/>
      </w:pPr>
      <w:r w:rsidRPr="00B3096C">
        <w:t>Undergraduate student, Department of Veterinary Medicine, School of Health Sciences, Aristotle University of Thessaloniki</w:t>
      </w:r>
    </w:p>
    <w:p w14:paraId="27D96F92" w14:textId="77777777" w:rsidR="00B3096C" w:rsidRPr="00B3096C" w:rsidRDefault="00B3096C">
      <w:pPr>
        <w:numPr>
          <w:ilvl w:val="0"/>
          <w:numId w:val="137"/>
        </w:numPr>
        <w:jc w:val="both"/>
      </w:pPr>
      <w:r w:rsidRPr="00B3096C">
        <w:t>DVM, Postgraduate Student, Companion Animal Clinic, School of Veterinary Medicine, Aristotle University of Thessaloniki, Greece</w:t>
      </w:r>
    </w:p>
    <w:p w14:paraId="5B99EBC9" w14:textId="77777777" w:rsidR="00B3096C" w:rsidRDefault="00B3096C">
      <w:pPr>
        <w:numPr>
          <w:ilvl w:val="0"/>
          <w:numId w:val="137"/>
        </w:numPr>
        <w:jc w:val="both"/>
      </w:pPr>
      <w:r w:rsidRPr="00B3096C">
        <w:rPr>
          <w:vertAlign w:val="superscript"/>
        </w:rPr>
        <w:t> </w:t>
      </w:r>
      <w:r w:rsidRPr="00B3096C">
        <w:t>DVM, MSc, PhD, Research Associate, Clinic of Companion Animal Medicine, School of Veterinary Medicine, Aristotle University of Thessaloniki, Greece</w:t>
      </w:r>
    </w:p>
    <w:p w14:paraId="4754C2B4" w14:textId="77777777" w:rsidR="00B3096C" w:rsidRPr="00B3096C" w:rsidRDefault="00B3096C" w:rsidP="00B3096C">
      <w:pPr>
        <w:ind w:left="720"/>
        <w:jc w:val="both"/>
      </w:pPr>
    </w:p>
    <w:p w14:paraId="3AF75D41" w14:textId="77777777" w:rsidR="00B3096C" w:rsidRPr="00B3096C" w:rsidRDefault="00B3096C" w:rsidP="00B3096C">
      <w:pPr>
        <w:jc w:val="both"/>
      </w:pPr>
      <w:r w:rsidRPr="00B3096C">
        <w:rPr>
          <w:b/>
          <w:bCs/>
        </w:rPr>
        <w:t>Abstract</w:t>
      </w:r>
      <w:r w:rsidRPr="00B3096C">
        <w:br/>
      </w:r>
      <w:r w:rsidRPr="00B3096C">
        <w:rPr>
          <w:b/>
          <w:bCs/>
        </w:rPr>
        <w:t>Introduction</w:t>
      </w:r>
      <w:r w:rsidRPr="00B3096C">
        <w:br/>
        <w:t xml:space="preserve"> Primary immune-mediated hemolytic anemia (IMHA) is a common cause of morbidity and mortality in dogs and often requires aggressive, multi-modal immunosuppressive therapy. This report describes the therapeutic management of a dog with severe primary IMHA.</w:t>
      </w:r>
    </w:p>
    <w:p w14:paraId="3EC15B48" w14:textId="77777777" w:rsidR="00B3096C" w:rsidRPr="00B3096C" w:rsidRDefault="00B3096C" w:rsidP="00B3096C">
      <w:pPr>
        <w:jc w:val="both"/>
      </w:pPr>
      <w:r w:rsidRPr="00B3096C">
        <w:rPr>
          <w:b/>
          <w:bCs/>
        </w:rPr>
        <w:t>Clinical Case</w:t>
      </w:r>
      <w:r w:rsidRPr="00B3096C">
        <w:br/>
        <w:t xml:space="preserve"> A 3-year-old spayed female mixed-breed dog was presented in a lethargic state with a history of primary IMHA. The patient had been receiving dexamethasone therapy, despite which anemia had progressed. Clinical examination revealed moderate pallor of the mucous membranes. Hematological evaluation showed severe anemia (hematocrit 3.3%). The patient received two transfusions of packed red blood cells, and therapy was adjusted to prednisone (3 mg/kg/day), mycophenolate mofetil (10 mg/kg every 12 hours), and clopidogrel (1.8 mg/kg). Three days later, the hematocrit increased to 30.6%, and the dog was discharged clinically stable.</w:t>
      </w:r>
    </w:p>
    <w:p w14:paraId="1AD7BCBD" w14:textId="77777777" w:rsidR="00B3096C" w:rsidRPr="00B3096C" w:rsidRDefault="00B3096C" w:rsidP="00B3096C">
      <w:pPr>
        <w:jc w:val="both"/>
      </w:pPr>
      <w:r w:rsidRPr="00B3096C">
        <w:rPr>
          <w:b/>
          <w:bCs/>
        </w:rPr>
        <w:t>Results</w:t>
      </w:r>
      <w:r w:rsidRPr="00B3096C">
        <w:br/>
        <w:t>Follow-up evaluations were performed every three weeks. Stabilization of the hematocrit at 33–37.5% allowed gradual reductions of prednisone to 1.5 mg/kg/day. Three weeks after the last reduction, a significant drop in hematocrit indicated inadequate disease control under the current regimen, prompting an increase of prednisone to 2 mg/kg/day. Two months later, the hematocrit was 32.2%. The patient exhibited marked cranial organomegaly and skin lesions consistent with dystrophic calcinosis cutis, likely related to long-term corticosteroid therapy. Cyclosporine (10 mg/kg every 12 hours) was added, and the prednisone dose was reduced with the aim of gradual discontinuation.</w:t>
      </w:r>
    </w:p>
    <w:p w14:paraId="365A8E73" w14:textId="77777777" w:rsidR="00B3096C" w:rsidRDefault="00B3096C" w:rsidP="00B3096C">
      <w:pPr>
        <w:jc w:val="both"/>
      </w:pPr>
      <w:r w:rsidRPr="00B3096C">
        <w:rPr>
          <w:b/>
          <w:bCs/>
        </w:rPr>
        <w:t>Conclusions</w:t>
      </w:r>
      <w:r w:rsidRPr="00B3096C">
        <w:br/>
        <w:t>Immune-mediated hemolytic anemia is a disease that requires careful therapeutic management. Monotherapy with corticosteroids may be insufficient, particularly in cases of relapse or inadequate response, often necessitating combination immunosuppressive therapy. Moreover, the use of these drugs carries the risk of adverse effects, making close and systematic monitoring essential.</w:t>
      </w:r>
      <w:r w:rsidRPr="00B3096C">
        <w:br/>
      </w:r>
    </w:p>
    <w:p w14:paraId="642B7492" w14:textId="77777777" w:rsidR="00B3096C" w:rsidRDefault="00B3096C" w:rsidP="00B3096C">
      <w:pPr>
        <w:jc w:val="both"/>
      </w:pPr>
    </w:p>
    <w:p w14:paraId="6170617F" w14:textId="4B179E94" w:rsidR="00B3096C" w:rsidRPr="00B3096C" w:rsidRDefault="00B3096C" w:rsidP="00B3096C">
      <w:pPr>
        <w:jc w:val="both"/>
      </w:pPr>
      <w:r w:rsidRPr="00B3096C">
        <w:lastRenderedPageBreak/>
        <w:br/>
      </w:r>
      <w:r w:rsidRPr="00B3096C">
        <w:rPr>
          <w:b/>
          <w:bCs/>
        </w:rPr>
        <w:t>Bibliography</w:t>
      </w:r>
    </w:p>
    <w:p w14:paraId="2F591FE0" w14:textId="77777777" w:rsidR="00B3096C" w:rsidRPr="00B3096C" w:rsidRDefault="00B3096C" w:rsidP="00B3096C">
      <w:pPr>
        <w:jc w:val="both"/>
      </w:pPr>
      <w:r w:rsidRPr="00B3096C">
        <w:t>Garden, Oliver A., et al. (2019) "ACVIM consensus statement on the diagnosis of immune-mediated hemolytic anemia in dogs and cats." </w:t>
      </w:r>
      <w:r w:rsidRPr="00B3096C">
        <w:rPr>
          <w:i/>
          <w:iCs/>
        </w:rPr>
        <w:t>Journal of veterinary internal medicine</w:t>
      </w:r>
      <w:r w:rsidRPr="00B3096C">
        <w:t> 33.2 : 313-334.</w:t>
      </w:r>
    </w:p>
    <w:p w14:paraId="0928ACF2" w14:textId="77777777" w:rsidR="00B3096C" w:rsidRPr="00B3096C" w:rsidRDefault="00B3096C" w:rsidP="00B3096C">
      <w:pPr>
        <w:jc w:val="both"/>
      </w:pPr>
      <w:r w:rsidRPr="00B3096C">
        <w:t>Swann, James W., et al. (2019) "ACVIM consensus statement on the treatment of immune-mediated hemolytic anemia in dogs." </w:t>
      </w:r>
      <w:r w:rsidRPr="00B3096C">
        <w:rPr>
          <w:i/>
          <w:iCs/>
        </w:rPr>
        <w:t>Journal of Veterinary Internal Medicine</w:t>
      </w:r>
      <w:r w:rsidRPr="00B3096C">
        <w:t> 33.3 : 1141-1172.</w:t>
      </w:r>
    </w:p>
    <w:p w14:paraId="787F67D9" w14:textId="77777777" w:rsidR="00B3096C" w:rsidRPr="00B3096C" w:rsidRDefault="00B3096C" w:rsidP="00B3096C">
      <w:pPr>
        <w:jc w:val="both"/>
      </w:pPr>
      <w:r w:rsidRPr="00B3096C">
        <w:br/>
      </w:r>
      <w:r w:rsidRPr="00B3096C">
        <w:br/>
      </w:r>
    </w:p>
    <w:p w14:paraId="4ABFE8EA" w14:textId="77777777" w:rsidR="00B3096C" w:rsidRDefault="00B3096C" w:rsidP="00B3096C">
      <w:pPr>
        <w:jc w:val="both"/>
      </w:pPr>
    </w:p>
    <w:p w14:paraId="021B6396" w14:textId="6AC680B5" w:rsidR="00B3096C" w:rsidRDefault="00B3096C" w:rsidP="00B3096C">
      <w:pPr>
        <w:jc w:val="both"/>
      </w:pPr>
    </w:p>
    <w:p w14:paraId="4DC52241" w14:textId="77777777" w:rsidR="00B3096C" w:rsidRDefault="00B3096C" w:rsidP="00B3096C">
      <w:pPr>
        <w:jc w:val="both"/>
      </w:pPr>
    </w:p>
    <w:p w14:paraId="43D2A9FF" w14:textId="77777777" w:rsidR="00B3096C" w:rsidRDefault="00B3096C" w:rsidP="00B3096C">
      <w:pPr>
        <w:jc w:val="both"/>
      </w:pPr>
    </w:p>
    <w:p w14:paraId="6D015478" w14:textId="77777777" w:rsidR="00B3096C" w:rsidRDefault="00B3096C" w:rsidP="00B3096C">
      <w:pPr>
        <w:jc w:val="both"/>
      </w:pPr>
    </w:p>
    <w:p w14:paraId="46DB1F0A" w14:textId="77777777" w:rsidR="00B3096C" w:rsidRDefault="00B3096C" w:rsidP="00B3096C">
      <w:pPr>
        <w:jc w:val="both"/>
      </w:pPr>
    </w:p>
    <w:p w14:paraId="17D8D262" w14:textId="77777777" w:rsidR="00B3096C" w:rsidRDefault="00B3096C" w:rsidP="00B3096C">
      <w:pPr>
        <w:jc w:val="both"/>
      </w:pPr>
    </w:p>
    <w:p w14:paraId="023A6491" w14:textId="77777777" w:rsidR="00B3096C" w:rsidRDefault="00B3096C" w:rsidP="00B3096C">
      <w:pPr>
        <w:jc w:val="both"/>
      </w:pPr>
    </w:p>
    <w:p w14:paraId="0A44A778" w14:textId="77777777" w:rsidR="00B3096C" w:rsidRDefault="00B3096C" w:rsidP="00B3096C">
      <w:pPr>
        <w:jc w:val="both"/>
      </w:pPr>
    </w:p>
    <w:p w14:paraId="590E30FB" w14:textId="77777777" w:rsidR="00B3096C" w:rsidRDefault="00B3096C" w:rsidP="00B3096C">
      <w:pPr>
        <w:jc w:val="both"/>
      </w:pPr>
    </w:p>
    <w:p w14:paraId="30EB33FB" w14:textId="77777777" w:rsidR="00B3096C" w:rsidRDefault="00B3096C" w:rsidP="00B3096C">
      <w:pPr>
        <w:jc w:val="both"/>
      </w:pPr>
    </w:p>
    <w:p w14:paraId="1245760A" w14:textId="77777777" w:rsidR="00B3096C" w:rsidRDefault="00B3096C" w:rsidP="00B3096C">
      <w:pPr>
        <w:jc w:val="both"/>
      </w:pPr>
    </w:p>
    <w:p w14:paraId="35E34BCD" w14:textId="77777777" w:rsidR="00B3096C" w:rsidRDefault="00B3096C" w:rsidP="00B3096C">
      <w:pPr>
        <w:jc w:val="both"/>
      </w:pPr>
    </w:p>
    <w:p w14:paraId="0345A90F" w14:textId="77777777" w:rsidR="00B3096C" w:rsidRDefault="00B3096C" w:rsidP="00B3096C">
      <w:pPr>
        <w:jc w:val="both"/>
      </w:pPr>
    </w:p>
    <w:p w14:paraId="3E516D27" w14:textId="77777777" w:rsidR="00B3096C" w:rsidRDefault="00B3096C" w:rsidP="00B3096C">
      <w:pPr>
        <w:jc w:val="both"/>
      </w:pPr>
    </w:p>
    <w:p w14:paraId="13415935" w14:textId="77777777" w:rsidR="00B3096C" w:rsidRDefault="00B3096C" w:rsidP="00B3096C">
      <w:pPr>
        <w:jc w:val="both"/>
      </w:pPr>
    </w:p>
    <w:p w14:paraId="467FE70B" w14:textId="77777777" w:rsidR="00B3096C" w:rsidRDefault="00B3096C" w:rsidP="00B3096C">
      <w:pPr>
        <w:jc w:val="both"/>
      </w:pPr>
    </w:p>
    <w:p w14:paraId="3961ACF9" w14:textId="77777777" w:rsidR="00B3096C" w:rsidRDefault="00B3096C" w:rsidP="00B3096C">
      <w:pPr>
        <w:jc w:val="both"/>
      </w:pPr>
    </w:p>
    <w:p w14:paraId="6A6AB81A" w14:textId="77777777" w:rsidR="00B3096C" w:rsidRDefault="00B3096C" w:rsidP="00B3096C">
      <w:pPr>
        <w:jc w:val="both"/>
      </w:pPr>
    </w:p>
    <w:p w14:paraId="0DCD4A50" w14:textId="77777777" w:rsidR="00B3096C" w:rsidRDefault="00B3096C" w:rsidP="00B3096C">
      <w:pPr>
        <w:jc w:val="both"/>
      </w:pPr>
    </w:p>
    <w:p w14:paraId="3ACAF5A1" w14:textId="77777777" w:rsidR="00B3096C" w:rsidRDefault="00B3096C" w:rsidP="00B3096C">
      <w:pPr>
        <w:jc w:val="both"/>
      </w:pPr>
    </w:p>
    <w:p w14:paraId="4132C7ED" w14:textId="77777777" w:rsidR="00B3096C" w:rsidRDefault="00B3096C" w:rsidP="00B3096C">
      <w:pPr>
        <w:jc w:val="both"/>
      </w:pPr>
    </w:p>
    <w:p w14:paraId="6C8A28BA" w14:textId="77777777" w:rsidR="00B3096C" w:rsidRPr="00B3096C" w:rsidRDefault="00B3096C" w:rsidP="00B3096C">
      <w:pPr>
        <w:jc w:val="both"/>
      </w:pPr>
    </w:p>
    <w:p w14:paraId="3F57473A" w14:textId="77777777" w:rsidR="00B3096C" w:rsidRPr="00B3096C" w:rsidRDefault="00B3096C" w:rsidP="00B3096C">
      <w:pPr>
        <w:jc w:val="both"/>
      </w:pPr>
      <w:r w:rsidRPr="00B3096C">
        <w:rPr>
          <w:b/>
          <w:bCs/>
        </w:rPr>
        <w:lastRenderedPageBreak/>
        <w:t>Feline Infectious Peritonitis: An Overview and Comparative Analysis of Gross and Microscopic Lesions in the Two Disease Forms</w:t>
      </w:r>
    </w:p>
    <w:p w14:paraId="12545D55" w14:textId="77777777" w:rsidR="00B3096C" w:rsidRPr="00B3096C" w:rsidRDefault="00B3096C" w:rsidP="00B3096C">
      <w:pPr>
        <w:jc w:val="both"/>
      </w:pPr>
      <w:r w:rsidRPr="00B3096C">
        <w:t>Vasileios Goukos</w:t>
      </w:r>
      <w:r w:rsidRPr="00B3096C">
        <w:rPr>
          <w:vertAlign w:val="superscript"/>
        </w:rPr>
        <w:t>1</w:t>
      </w:r>
      <w:r w:rsidRPr="00B3096C">
        <w:t>, Christina Marouda</w:t>
      </w:r>
      <w:r w:rsidRPr="00B3096C">
        <w:rPr>
          <w:vertAlign w:val="superscript"/>
        </w:rPr>
        <w:t>2</w:t>
      </w:r>
    </w:p>
    <w:p w14:paraId="498D3083" w14:textId="77777777" w:rsidR="00B3096C" w:rsidRPr="00B3096C" w:rsidRDefault="00B3096C">
      <w:pPr>
        <w:numPr>
          <w:ilvl w:val="0"/>
          <w:numId w:val="138"/>
        </w:numPr>
        <w:jc w:val="both"/>
      </w:pPr>
      <w:r w:rsidRPr="00B3096C">
        <w:t>Undergraduate Student, School of Veterinary Medicine, Faculty of Health Sciences, Aristotle University of Thessaloniki</w:t>
      </w:r>
    </w:p>
    <w:p w14:paraId="488AF8FE" w14:textId="77777777" w:rsidR="00B3096C" w:rsidRDefault="00B3096C">
      <w:pPr>
        <w:numPr>
          <w:ilvl w:val="0"/>
          <w:numId w:val="138"/>
        </w:numPr>
        <w:jc w:val="both"/>
      </w:pPr>
      <w:r w:rsidRPr="00B3096C">
        <w:t>Assistant Professor, Laboratory of Pathology, Department of Veterinary Medicine, School of Health Sciences, Aristotle University of Thessaloniki</w:t>
      </w:r>
    </w:p>
    <w:p w14:paraId="19CE6C4D" w14:textId="77777777" w:rsidR="00B3096C" w:rsidRPr="00B3096C" w:rsidRDefault="00B3096C" w:rsidP="00B3096C">
      <w:pPr>
        <w:ind w:left="720"/>
        <w:jc w:val="both"/>
      </w:pPr>
    </w:p>
    <w:p w14:paraId="167EF53A" w14:textId="77777777" w:rsidR="00B3096C" w:rsidRPr="00B3096C" w:rsidRDefault="00B3096C" w:rsidP="00B3096C">
      <w:pPr>
        <w:jc w:val="both"/>
      </w:pPr>
      <w:r w:rsidRPr="00B3096C">
        <w:rPr>
          <w:b/>
          <w:bCs/>
        </w:rPr>
        <w:t>Abstract</w:t>
      </w:r>
    </w:p>
    <w:p w14:paraId="1F927A74" w14:textId="77777777" w:rsidR="00B3096C" w:rsidRPr="00B3096C" w:rsidRDefault="00B3096C" w:rsidP="00B3096C">
      <w:pPr>
        <w:jc w:val="both"/>
      </w:pPr>
      <w:r w:rsidRPr="00B3096C">
        <w:t> Feline Infectious Peritonitis (FIP) is a viral, systemic, and potentially fatal disease affecting both domestic and wild felids. It is caused by a mutated form of the feline enteric coronavirus (FCoV). Clinically, two forms of the disease are recognized: the effusive (wet) form, characterized by fluid accumulation in body cavities (thoracic and abdominal), and the non-effusive (dry) form, characterized by granulomatous lesions in various organs. Both forms are multisystemic, differing in their gross and microscopic lesions, and are associated with the host’s immune response. The aim of this study is the comparative presentation of the morphological lesions of the two forms of FIP, in order to aid their practical differentiation in clinical practice, along with a brief overview of disease pathogenesis and the main diagnostic approaches.</w:t>
      </w:r>
      <w:r w:rsidRPr="00B3096C">
        <w:rPr>
          <w:b/>
          <w:bCs/>
        </w:rPr>
        <w:br/>
      </w:r>
    </w:p>
    <w:p w14:paraId="51707973" w14:textId="77777777" w:rsidR="00B3096C" w:rsidRPr="00B3096C" w:rsidRDefault="00B3096C" w:rsidP="00B3096C">
      <w:pPr>
        <w:jc w:val="both"/>
      </w:pPr>
      <w:r w:rsidRPr="00B3096C">
        <w:rPr>
          <w:b/>
          <w:bCs/>
        </w:rPr>
        <w:t>Bibliography:</w:t>
      </w:r>
    </w:p>
    <w:p w14:paraId="62F00B4A" w14:textId="77777777" w:rsidR="00B3096C" w:rsidRPr="00B3096C" w:rsidRDefault="00B3096C" w:rsidP="00B3096C">
      <w:pPr>
        <w:jc w:val="both"/>
      </w:pPr>
      <w:r w:rsidRPr="00B3096C">
        <w:t xml:space="preserve">Hartmann, K. (2005). </w:t>
      </w:r>
      <w:r w:rsidRPr="00B3096C">
        <w:rPr>
          <w:i/>
          <w:iCs/>
        </w:rPr>
        <w:t>Feline infectious peritonitis</w:t>
      </w:r>
      <w:r w:rsidRPr="00B3096C">
        <w:t xml:space="preserve">. </w:t>
      </w:r>
      <w:r w:rsidRPr="00B3096C">
        <w:rPr>
          <w:i/>
          <w:iCs/>
        </w:rPr>
        <w:t>Veterinary Clinics of North America: Small Animal Practice, 35</w:t>
      </w:r>
      <w:r w:rsidRPr="00B3096C">
        <w:t>(1), 39–vi.</w:t>
      </w:r>
    </w:p>
    <w:p w14:paraId="2DEDFFE8" w14:textId="77777777" w:rsidR="00B3096C" w:rsidRPr="00B3096C" w:rsidRDefault="00B3096C" w:rsidP="00B3096C">
      <w:pPr>
        <w:jc w:val="both"/>
      </w:pPr>
      <w:r w:rsidRPr="00B3096C">
        <w:t xml:space="preserve">Solikhah, T. I., Agustin, Q. A. D., Damaratri, R. A., Siwi, D. A. F., Rafi'uttaqi, G. N., Hartadi, V. A., &amp; Solikhah, G. P. (2024). </w:t>
      </w:r>
      <w:r w:rsidRPr="00B3096C">
        <w:rPr>
          <w:i/>
          <w:iCs/>
        </w:rPr>
        <w:t>A review of feline infectious peritonitis virus infection</w:t>
      </w:r>
      <w:r w:rsidRPr="00B3096C">
        <w:t xml:space="preserve">. </w:t>
      </w:r>
      <w:r w:rsidRPr="00B3096C">
        <w:rPr>
          <w:i/>
          <w:iCs/>
        </w:rPr>
        <w:t>Veterinary World, 17</w:t>
      </w:r>
      <w:r w:rsidRPr="00B3096C">
        <w:t>(11), 2417–2432.</w:t>
      </w:r>
    </w:p>
    <w:p w14:paraId="1E7F41F2" w14:textId="77777777" w:rsidR="00B3096C" w:rsidRPr="00B3096C" w:rsidRDefault="00B3096C" w:rsidP="00B3096C">
      <w:pPr>
        <w:jc w:val="both"/>
      </w:pPr>
      <w:r w:rsidRPr="00B3096C">
        <w:t xml:space="preserve">Uzal, F. A., Plattner, B. L., &amp; Hostetter, J. M. (2016). </w:t>
      </w:r>
      <w:r w:rsidRPr="00B3096C">
        <w:rPr>
          <w:i/>
          <w:iCs/>
        </w:rPr>
        <w:t>Alimentary system</w:t>
      </w:r>
      <w:r w:rsidRPr="00B3096C">
        <w:t xml:space="preserve">. In M. G. Maxie (Ed.), </w:t>
      </w:r>
      <w:r w:rsidRPr="00B3096C">
        <w:rPr>
          <w:i/>
          <w:iCs/>
        </w:rPr>
        <w:t>Jubb, Kennedy, and Palmer’s pathology of domestic animals</w:t>
      </w:r>
      <w:r w:rsidRPr="00B3096C">
        <w:t xml:space="preserve"> (Vol. 2). St. Louis, MO: Elsevier.</w:t>
      </w:r>
    </w:p>
    <w:p w14:paraId="1311B284" w14:textId="49CE96AE" w:rsidR="00B3096C" w:rsidRPr="00B3096C" w:rsidRDefault="00B3096C" w:rsidP="00B3096C">
      <w:pPr>
        <w:jc w:val="both"/>
      </w:pP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p>
    <w:p w14:paraId="28FA1E03" w14:textId="77777777" w:rsidR="00B3096C" w:rsidRPr="00B3096C" w:rsidRDefault="00B3096C" w:rsidP="00B3096C">
      <w:pPr>
        <w:jc w:val="both"/>
      </w:pPr>
      <w:r w:rsidRPr="00B3096C">
        <w:rPr>
          <w:b/>
          <w:bCs/>
        </w:rPr>
        <w:lastRenderedPageBreak/>
        <w:t>FeCocktail: A next-generation vaccine against PRRSV.</w:t>
      </w:r>
    </w:p>
    <w:p w14:paraId="1E5E2B70" w14:textId="77777777" w:rsidR="00B3096C" w:rsidRPr="00B3096C" w:rsidRDefault="00B3096C" w:rsidP="00B3096C">
      <w:pPr>
        <w:jc w:val="both"/>
      </w:pPr>
      <w:r w:rsidRPr="00B3096C">
        <w:t>Chatzitheodorou Georgios-Rafail</w:t>
      </w:r>
      <w:r w:rsidRPr="00B3096C">
        <w:rPr>
          <w:vertAlign w:val="superscript"/>
        </w:rPr>
        <w:t>1</w:t>
      </w:r>
      <w:r w:rsidRPr="00B3096C">
        <w:t>, Papakonstantinou Georgios²</w:t>
      </w:r>
    </w:p>
    <w:p w14:paraId="1DB53311" w14:textId="77777777" w:rsidR="00B3096C" w:rsidRPr="00B3096C" w:rsidRDefault="00B3096C">
      <w:pPr>
        <w:numPr>
          <w:ilvl w:val="0"/>
          <w:numId w:val="139"/>
        </w:numPr>
        <w:jc w:val="both"/>
      </w:pPr>
      <w:r w:rsidRPr="00B3096C">
        <w:t>Undergraduate Student, Faculty of Veterinary Medicine, School of Health Sciences, University of Thessaly</w:t>
      </w:r>
    </w:p>
    <w:p w14:paraId="4B74E2AD" w14:textId="77777777" w:rsidR="00B3096C" w:rsidRDefault="00B3096C">
      <w:pPr>
        <w:numPr>
          <w:ilvl w:val="0"/>
          <w:numId w:val="139"/>
        </w:numPr>
        <w:jc w:val="both"/>
      </w:pPr>
      <w:r w:rsidRPr="00B3096C">
        <w:t>Assistant Professor, D.V.M., Ph.D., Swine Pathology, Faculty of Veterinary Medicine, School of Health Sciences, University of Thessaly</w:t>
      </w:r>
    </w:p>
    <w:p w14:paraId="228BF54D" w14:textId="77777777" w:rsidR="00B3096C" w:rsidRPr="00B3096C" w:rsidRDefault="00B3096C" w:rsidP="00B3096C">
      <w:pPr>
        <w:ind w:left="720"/>
        <w:jc w:val="both"/>
      </w:pPr>
    </w:p>
    <w:p w14:paraId="5E28D5F8" w14:textId="77777777" w:rsidR="00B3096C" w:rsidRPr="00B3096C" w:rsidRDefault="00B3096C" w:rsidP="00B3096C">
      <w:pPr>
        <w:jc w:val="both"/>
      </w:pPr>
      <w:r w:rsidRPr="00B3096C">
        <w:rPr>
          <w:b/>
          <w:bCs/>
        </w:rPr>
        <w:t>Abstract</w:t>
      </w:r>
    </w:p>
    <w:p w14:paraId="5FA5841A" w14:textId="77777777" w:rsidR="00B3096C" w:rsidRPr="00B3096C" w:rsidRDefault="00B3096C" w:rsidP="00B3096C">
      <w:pPr>
        <w:jc w:val="both"/>
      </w:pPr>
      <w:r w:rsidRPr="00B3096C">
        <w:t> Porcine Reproductive and Respiratory Syndrome Virus (PRRSV) is one of the most significant viral pathogens affecting the global swine industry, causing reproductive failure in sows and respiratory disease in piglets, resulting in substantial economic losses. Current control strategies rely primarily on modified live virus (MLV) vaccines; however, their limited cross-protection and potential safety concerns necessitate the development of safer and more broadly protective vaccination approaches. In this study, we present FeCocktail, a novel ferritin-based nanoparticle subunit vaccine designed to induce enhanced immune responses against PRRSV. The vaccine incorporates recombinant viral epitopes derived from the structural glycoproteins GP3, GP4, and GP5. Ferritin nanoparticles were used as biocompatible carriers, employing the SpyCatcher/SpyTag “Plug-and-Display” system to enable stable and multivalent antigen presentation. Immunization studies demonstrated that FeCocktail elicited robust humoral and cellular immune responses, characterized by significant cytokine production (IFN-γ, IL-4, and IL-2) from both CD3</w:t>
      </w:r>
      <w:r w:rsidRPr="00B3096C">
        <w:rPr>
          <w:rFonts w:ascii="Cambria Math" w:hAnsi="Cambria Math" w:cs="Cambria Math"/>
        </w:rPr>
        <w:t>⁺</w:t>
      </w:r>
      <w:r w:rsidRPr="00B3096C">
        <w:t>CD4</w:t>
      </w:r>
      <w:r w:rsidRPr="00B3096C">
        <w:rPr>
          <w:rFonts w:ascii="Cambria Math" w:hAnsi="Cambria Math" w:cs="Cambria Math"/>
        </w:rPr>
        <w:t>⁺</w:t>
      </w:r>
      <w:r w:rsidRPr="00B3096C">
        <w:t xml:space="preserve"> and CD3</w:t>
      </w:r>
      <w:r w:rsidRPr="00B3096C">
        <w:rPr>
          <w:rFonts w:ascii="Cambria Math" w:hAnsi="Cambria Math" w:cs="Cambria Math"/>
        </w:rPr>
        <w:t>⁺</w:t>
      </w:r>
      <w:r w:rsidRPr="00B3096C">
        <w:t>CD8</w:t>
      </w:r>
      <w:r w:rsidRPr="00B3096C">
        <w:rPr>
          <w:rFonts w:ascii="Cambria Math" w:hAnsi="Cambria Math" w:cs="Cambria Math"/>
        </w:rPr>
        <w:t>⁺</w:t>
      </w:r>
      <w:r w:rsidRPr="00B3096C">
        <w:t xml:space="preserve"> T cells. Following viral challenge, vaccinated piglets exhibited significantly reduced viral loads and alleviated lung pathology compared with control groups, while no cytotoxic effects or adverse reactions were observed. Overall, FeCocktail represents a safe and promising nanoparticle-based vaccination strategy with the potential to provide cross-protection against diverse PRRSV strains.</w:t>
      </w:r>
    </w:p>
    <w:p w14:paraId="6BC9C0B2" w14:textId="77777777" w:rsidR="00B3096C" w:rsidRPr="00B3096C" w:rsidRDefault="00B3096C" w:rsidP="00B3096C">
      <w:pPr>
        <w:jc w:val="both"/>
      </w:pPr>
    </w:p>
    <w:p w14:paraId="35F2520B" w14:textId="77777777" w:rsidR="00B3096C" w:rsidRPr="00B3096C" w:rsidRDefault="00B3096C" w:rsidP="00B3096C">
      <w:pPr>
        <w:jc w:val="both"/>
      </w:pPr>
      <w:r w:rsidRPr="00B3096C">
        <w:rPr>
          <w:b/>
          <w:bCs/>
        </w:rPr>
        <w:t>Bibliography</w:t>
      </w:r>
    </w:p>
    <w:p w14:paraId="2C4240B2" w14:textId="77777777" w:rsidR="00B3096C" w:rsidRPr="00B3096C" w:rsidRDefault="00B3096C" w:rsidP="00B3096C">
      <w:pPr>
        <w:jc w:val="both"/>
      </w:pPr>
      <w:r w:rsidRPr="00B3096C">
        <w:t xml:space="preserve">Albina, E. (1997). </w:t>
      </w:r>
      <w:r w:rsidRPr="00B3096C">
        <w:rPr>
          <w:i/>
          <w:iCs/>
        </w:rPr>
        <w:t>Epidemiology of porcine reproductive and respiratory syndrome (PRRS): An overview</w:t>
      </w:r>
      <w:r w:rsidRPr="00B3096C">
        <w:t xml:space="preserve">. </w:t>
      </w:r>
      <w:r w:rsidRPr="00B3096C">
        <w:rPr>
          <w:i/>
          <w:iCs/>
        </w:rPr>
        <w:t>Veterinary Microbiology, 55</w:t>
      </w:r>
      <w:r w:rsidRPr="00B3096C">
        <w:t>(1–4), 309–316.</w:t>
      </w:r>
    </w:p>
    <w:p w14:paraId="04B8B832" w14:textId="77777777" w:rsidR="00B3096C" w:rsidRPr="00B3096C" w:rsidRDefault="00B3096C" w:rsidP="00B3096C">
      <w:pPr>
        <w:jc w:val="both"/>
      </w:pPr>
      <w:r w:rsidRPr="00B3096C">
        <w:t xml:space="preserve">Bruun, T. U. J., Andersson, A.-M. C., Draper, S. J., &amp; Howarth, M. (2018). </w:t>
      </w:r>
      <w:r w:rsidRPr="00B3096C">
        <w:rPr>
          <w:i/>
          <w:iCs/>
        </w:rPr>
        <w:t>Engineering a rugged nanoscaffold to enhance plug-and-display vaccination</w:t>
      </w:r>
      <w:r w:rsidRPr="00B3096C">
        <w:t xml:space="preserve">. </w:t>
      </w:r>
      <w:r w:rsidRPr="00B3096C">
        <w:rPr>
          <w:i/>
          <w:iCs/>
        </w:rPr>
        <w:t>ACS Nano, 12</w:t>
      </w:r>
      <w:r w:rsidRPr="00B3096C">
        <w:t>(9), 8855–8866.</w:t>
      </w:r>
    </w:p>
    <w:p w14:paraId="3D7F0D3D" w14:textId="77777777" w:rsidR="00B3096C" w:rsidRPr="00B3096C" w:rsidRDefault="00B3096C" w:rsidP="00B3096C">
      <w:pPr>
        <w:jc w:val="both"/>
      </w:pPr>
      <w:r w:rsidRPr="00B3096C">
        <w:t xml:space="preserve">Dokland, T. (2010). </w:t>
      </w:r>
      <w:r w:rsidRPr="00B3096C">
        <w:rPr>
          <w:i/>
          <w:iCs/>
        </w:rPr>
        <w:t>The structural biology of PRRSV</w:t>
      </w:r>
      <w:r w:rsidRPr="00B3096C">
        <w:t xml:space="preserve">. </w:t>
      </w:r>
      <w:r w:rsidRPr="00B3096C">
        <w:rPr>
          <w:i/>
          <w:iCs/>
        </w:rPr>
        <w:t>Virus Research, 154</w:t>
      </w:r>
      <w:r w:rsidRPr="00B3096C">
        <w:t>(1–2), 86–97.</w:t>
      </w:r>
    </w:p>
    <w:p w14:paraId="4E2BA40B" w14:textId="77777777" w:rsidR="00B3096C" w:rsidRPr="00B3096C" w:rsidRDefault="00B3096C" w:rsidP="00B3096C">
      <w:pPr>
        <w:jc w:val="both"/>
      </w:pPr>
      <w:r w:rsidRPr="00B3096C">
        <w:t xml:space="preserve">Gupta, A., Mumtaz, S., Li, C.-H., Hussain, I., &amp; Rotello, V. M. (2019). </w:t>
      </w:r>
      <w:r w:rsidRPr="00B3096C">
        <w:rPr>
          <w:i/>
          <w:iCs/>
        </w:rPr>
        <w:t>Combatting antibiotic-resistant bacteria using nanomaterials</w:t>
      </w:r>
      <w:r w:rsidRPr="00B3096C">
        <w:t xml:space="preserve">. </w:t>
      </w:r>
      <w:r w:rsidRPr="00B3096C">
        <w:rPr>
          <w:i/>
          <w:iCs/>
        </w:rPr>
        <w:t>Chemical Society Reviews, 48</w:t>
      </w:r>
      <w:r w:rsidRPr="00B3096C">
        <w:t>(2), 415–427.</w:t>
      </w:r>
    </w:p>
    <w:p w14:paraId="7B410D63" w14:textId="77777777" w:rsidR="00B3096C" w:rsidRPr="00B3096C" w:rsidRDefault="00B3096C" w:rsidP="00B3096C">
      <w:pPr>
        <w:jc w:val="both"/>
      </w:pPr>
      <w:r w:rsidRPr="00B3096C">
        <w:t xml:space="preserve">Lunney, J. K., Fang, Y., Ladinig, A., Chen, N., Li, Y., Rowland, B., &amp; Renukaradhya, G. J. (2016). </w:t>
      </w:r>
      <w:r w:rsidRPr="00B3096C">
        <w:rPr>
          <w:i/>
          <w:iCs/>
        </w:rPr>
        <w:t>Porcine reproductive and respiratory syndrome virus (PRRSV): Pathogenesis and interaction with the immune system</w:t>
      </w:r>
      <w:r w:rsidRPr="00B3096C">
        <w:t xml:space="preserve">. </w:t>
      </w:r>
      <w:r w:rsidRPr="00B3096C">
        <w:rPr>
          <w:i/>
          <w:iCs/>
        </w:rPr>
        <w:t>Annual Review of Animal Biosciences, 4</w:t>
      </w:r>
      <w:r w:rsidRPr="00B3096C">
        <w:t>(1), 129–154.</w:t>
      </w:r>
    </w:p>
    <w:p w14:paraId="09AB958A" w14:textId="77777777" w:rsidR="00B3096C" w:rsidRPr="00B3096C" w:rsidRDefault="00B3096C" w:rsidP="00B3096C">
      <w:pPr>
        <w:jc w:val="both"/>
      </w:pPr>
      <w:r w:rsidRPr="00B3096C">
        <w:t xml:space="preserve">Montaner-Tarbes, S., del Portillo, H. A., Montoya, M., &amp; Fraile, L. (2019). </w:t>
      </w:r>
      <w:r w:rsidRPr="00B3096C">
        <w:rPr>
          <w:i/>
          <w:iCs/>
        </w:rPr>
        <w:t>Key gaps in the knowledge of the porcine reproductive and respiratory syndrome virus (PRRSV)</w:t>
      </w:r>
      <w:r w:rsidRPr="00B3096C">
        <w:t xml:space="preserve">. </w:t>
      </w:r>
      <w:r w:rsidRPr="00B3096C">
        <w:rPr>
          <w:i/>
          <w:iCs/>
        </w:rPr>
        <w:t>Frontiers in Veterinary Science, 6</w:t>
      </w:r>
      <w:r w:rsidRPr="00B3096C">
        <w:t>.</w:t>
      </w:r>
    </w:p>
    <w:p w14:paraId="16948B4E" w14:textId="77777777" w:rsidR="00B3096C" w:rsidRPr="00B3096C" w:rsidRDefault="00B3096C" w:rsidP="00B3096C">
      <w:pPr>
        <w:jc w:val="both"/>
      </w:pPr>
      <w:r w:rsidRPr="00B3096C">
        <w:lastRenderedPageBreak/>
        <w:t xml:space="preserve">Shi, C., Liu, Y., Ding, Y., Zhang, Y., &amp; Zhang, J. (2015). </w:t>
      </w:r>
      <w:r w:rsidRPr="00B3096C">
        <w:rPr>
          <w:i/>
          <w:iCs/>
        </w:rPr>
        <w:t>PRRSV receptors and their roles in virus infection</w:t>
      </w:r>
      <w:r w:rsidRPr="00B3096C">
        <w:t xml:space="preserve">. </w:t>
      </w:r>
      <w:r w:rsidRPr="00B3096C">
        <w:rPr>
          <w:i/>
          <w:iCs/>
        </w:rPr>
        <w:t>Archives of Microbiology, 197</w:t>
      </w:r>
      <w:r w:rsidRPr="00B3096C">
        <w:t>(4), 503–512.</w:t>
      </w:r>
    </w:p>
    <w:p w14:paraId="5BB0DD57" w14:textId="77777777" w:rsidR="00B3096C" w:rsidRPr="00B3096C" w:rsidRDefault="00B3096C" w:rsidP="00B3096C">
      <w:pPr>
        <w:jc w:val="both"/>
      </w:pPr>
      <w:r w:rsidRPr="00B3096C">
        <w:t xml:space="preserve">Sun, Y., Gao, Y., Su, T., Zhang, L., Zhou, H., Zhang, J., Sun, H., Bai, J., &amp; Jiang, P. (2025). </w:t>
      </w:r>
      <w:r w:rsidRPr="00B3096C">
        <w:rPr>
          <w:i/>
          <w:iCs/>
        </w:rPr>
        <w:t>Nanoparticle vaccine triggers interferon-gamma production and confers protective immunity against porcine reproductive and respiratory syndrome virus</w:t>
      </w:r>
      <w:r w:rsidRPr="00B3096C">
        <w:t xml:space="preserve">. </w:t>
      </w:r>
      <w:r w:rsidRPr="00B3096C">
        <w:rPr>
          <w:i/>
          <w:iCs/>
        </w:rPr>
        <w:t>ACS Nano, 19</w:t>
      </w:r>
      <w:r w:rsidRPr="00B3096C">
        <w:t>(1), 852–870.</w:t>
      </w:r>
    </w:p>
    <w:p w14:paraId="2B2840AD" w14:textId="77777777" w:rsidR="00B3096C" w:rsidRPr="00B3096C" w:rsidRDefault="00B3096C" w:rsidP="00B3096C">
      <w:pPr>
        <w:jc w:val="both"/>
      </w:pPr>
      <w:r w:rsidRPr="00B3096C">
        <w:t xml:space="preserve">Tian, K., Yu, X., Zhao, T., Feng, Y., Cao, Z., Wang, C., Hu, Y., Chen, X., Hu, D., Tian, X., Liu, D., Zhang, S., Deng, X., Ding, Y., Yang, L., Zhang, Y., Xiao, H., Qiao, M., Wang, B., &amp; Hou, L. (2007). </w:t>
      </w:r>
      <w:r w:rsidRPr="00B3096C">
        <w:rPr>
          <w:i/>
          <w:iCs/>
        </w:rPr>
        <w:t>Emergence of fatal PRRSV variants: Unparalleled outbreaks of atypical PRRS in China and molecular dissection of the unique hallmark</w:t>
      </w:r>
      <w:r w:rsidRPr="00B3096C">
        <w:t xml:space="preserve">. </w:t>
      </w:r>
      <w:r w:rsidRPr="00B3096C">
        <w:rPr>
          <w:i/>
          <w:iCs/>
        </w:rPr>
        <w:t>PLoS ONE, 2</w:t>
      </w:r>
      <w:r w:rsidRPr="00B3096C">
        <w:t>(6).</w:t>
      </w:r>
    </w:p>
    <w:p w14:paraId="4246002B" w14:textId="77777777" w:rsidR="00B3096C" w:rsidRPr="00B3096C" w:rsidRDefault="00B3096C" w:rsidP="00B3096C">
      <w:pPr>
        <w:jc w:val="both"/>
      </w:pPr>
      <w:r w:rsidRPr="00B3096C">
        <w:t xml:space="preserve">Tizard, I. R. (2018). </w:t>
      </w:r>
      <w:r w:rsidRPr="00B3096C">
        <w:rPr>
          <w:i/>
          <w:iCs/>
        </w:rPr>
        <w:t>Veterinary immunology</w:t>
      </w:r>
      <w:r w:rsidRPr="00B3096C">
        <w:t>. Elsevier.</w:t>
      </w:r>
    </w:p>
    <w:p w14:paraId="4C59A0F5" w14:textId="77777777" w:rsidR="00B3096C" w:rsidRDefault="00B3096C" w:rsidP="00B3096C">
      <w:pPr>
        <w:jc w:val="both"/>
      </w:pP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p>
    <w:p w14:paraId="52EAF8B6" w14:textId="77777777" w:rsidR="00B3096C" w:rsidRDefault="00B3096C" w:rsidP="00B3096C">
      <w:pPr>
        <w:jc w:val="both"/>
      </w:pPr>
    </w:p>
    <w:p w14:paraId="0B3DE94C" w14:textId="77777777" w:rsidR="00B3096C" w:rsidRDefault="00B3096C" w:rsidP="00B3096C">
      <w:pPr>
        <w:jc w:val="both"/>
      </w:pPr>
    </w:p>
    <w:p w14:paraId="6648A4BF" w14:textId="77777777" w:rsidR="00B3096C" w:rsidRDefault="00B3096C" w:rsidP="00B3096C">
      <w:pPr>
        <w:jc w:val="both"/>
      </w:pPr>
    </w:p>
    <w:p w14:paraId="726EFFBB" w14:textId="77777777" w:rsidR="00B3096C" w:rsidRDefault="00B3096C" w:rsidP="00B3096C">
      <w:pPr>
        <w:jc w:val="both"/>
      </w:pPr>
    </w:p>
    <w:p w14:paraId="1D1B2BE5" w14:textId="77777777" w:rsidR="00B3096C" w:rsidRDefault="00B3096C" w:rsidP="00B3096C">
      <w:pPr>
        <w:jc w:val="both"/>
      </w:pPr>
    </w:p>
    <w:p w14:paraId="752B7A2D" w14:textId="77777777" w:rsidR="00B3096C" w:rsidRDefault="00B3096C" w:rsidP="00B3096C">
      <w:pPr>
        <w:jc w:val="both"/>
      </w:pPr>
    </w:p>
    <w:p w14:paraId="7CD96D00" w14:textId="77777777" w:rsidR="00B3096C" w:rsidRDefault="00B3096C" w:rsidP="00B3096C">
      <w:pPr>
        <w:jc w:val="both"/>
      </w:pPr>
    </w:p>
    <w:p w14:paraId="39D26AAC" w14:textId="77777777" w:rsidR="00B3096C" w:rsidRDefault="00B3096C" w:rsidP="00B3096C">
      <w:pPr>
        <w:jc w:val="both"/>
      </w:pPr>
    </w:p>
    <w:p w14:paraId="08D43644" w14:textId="77777777" w:rsidR="00B3096C" w:rsidRDefault="00B3096C" w:rsidP="00B3096C">
      <w:pPr>
        <w:jc w:val="both"/>
      </w:pPr>
    </w:p>
    <w:p w14:paraId="3ED837F1" w14:textId="77777777" w:rsidR="00B3096C" w:rsidRDefault="00B3096C" w:rsidP="00B3096C">
      <w:pPr>
        <w:jc w:val="both"/>
      </w:pPr>
    </w:p>
    <w:p w14:paraId="401EECD2" w14:textId="77777777" w:rsidR="00B3096C" w:rsidRDefault="00B3096C" w:rsidP="00B3096C">
      <w:pPr>
        <w:jc w:val="both"/>
      </w:pPr>
    </w:p>
    <w:p w14:paraId="507BA6E8" w14:textId="77777777" w:rsidR="00B3096C" w:rsidRDefault="00B3096C" w:rsidP="00B3096C">
      <w:pPr>
        <w:jc w:val="both"/>
      </w:pPr>
    </w:p>
    <w:p w14:paraId="12814ADD" w14:textId="7D7018FD" w:rsidR="00B3096C" w:rsidRPr="00B3096C" w:rsidRDefault="00B3096C" w:rsidP="00B3096C">
      <w:pPr>
        <w:jc w:val="both"/>
      </w:pPr>
      <w:r w:rsidRPr="00B3096C">
        <w:br/>
      </w:r>
    </w:p>
    <w:p w14:paraId="0521C094" w14:textId="77777777" w:rsidR="00B3096C" w:rsidRPr="00B3096C" w:rsidRDefault="00B3096C" w:rsidP="00B3096C">
      <w:pPr>
        <w:jc w:val="both"/>
      </w:pPr>
      <w:r w:rsidRPr="00B3096C">
        <w:rPr>
          <w:b/>
          <w:bCs/>
        </w:rPr>
        <w:lastRenderedPageBreak/>
        <w:t>Silent Genes, Broken Fertility: Insights in KO mice and male infertility</w:t>
      </w:r>
    </w:p>
    <w:p w14:paraId="7AE59B65" w14:textId="491F7B31" w:rsidR="00B3096C" w:rsidRPr="00B3096C" w:rsidRDefault="00B3096C" w:rsidP="00B3096C">
      <w:pPr>
        <w:jc w:val="both"/>
      </w:pPr>
      <w:r w:rsidRPr="00B3096C">
        <w:t>Karagiannis Georgios</w:t>
      </w:r>
      <w:r w:rsidRPr="00B3096C">
        <w:rPr>
          <w:vertAlign w:val="superscript"/>
        </w:rPr>
        <w:t>1</w:t>
      </w:r>
      <w:r w:rsidRPr="00B3096C">
        <w:t>,</w:t>
      </w:r>
      <w:r>
        <w:t xml:space="preserve"> </w:t>
      </w:r>
      <w:r w:rsidRPr="00B3096C">
        <w:t>Tsingotjidou Anastasia</w:t>
      </w:r>
      <w:r w:rsidRPr="00B3096C">
        <w:rPr>
          <w:vertAlign w:val="superscript"/>
        </w:rPr>
        <w:t>2</w:t>
      </w:r>
      <w:r w:rsidRPr="00B3096C">
        <w:t>, Bozonelos Konstantinos</w:t>
      </w:r>
      <w:r w:rsidRPr="00B3096C">
        <w:rPr>
          <w:vertAlign w:val="superscript"/>
        </w:rPr>
        <w:t>3</w:t>
      </w:r>
      <w:r w:rsidRPr="00B3096C">
        <w:t> </w:t>
      </w:r>
    </w:p>
    <w:p w14:paraId="55876348" w14:textId="77777777" w:rsidR="00B3096C" w:rsidRPr="00B3096C" w:rsidRDefault="00B3096C">
      <w:pPr>
        <w:numPr>
          <w:ilvl w:val="0"/>
          <w:numId w:val="140"/>
        </w:numPr>
        <w:jc w:val="both"/>
      </w:pPr>
      <w:r w:rsidRPr="00B3096C">
        <w:t>Undergraduate Student, Faculty of Veterinary Medicine, School of Health Sciences, Aristotle University of Thessaloniki </w:t>
      </w:r>
    </w:p>
    <w:p w14:paraId="45F8A915" w14:textId="77777777" w:rsidR="00B3096C" w:rsidRPr="00B3096C" w:rsidRDefault="00B3096C">
      <w:pPr>
        <w:numPr>
          <w:ilvl w:val="0"/>
          <w:numId w:val="140"/>
        </w:numPr>
        <w:jc w:val="both"/>
      </w:pPr>
      <w:r w:rsidRPr="00B3096C">
        <w:t>Professor of Anatomy, Histology and Embryology, Faculty of Veterinary Medicine, School of Health Sciences, Aristotle University of Thessaloniki</w:t>
      </w:r>
    </w:p>
    <w:p w14:paraId="6F7B61FE" w14:textId="77777777" w:rsidR="00B3096C" w:rsidRDefault="00B3096C">
      <w:pPr>
        <w:numPr>
          <w:ilvl w:val="0"/>
          <w:numId w:val="140"/>
        </w:numPr>
        <w:jc w:val="both"/>
      </w:pPr>
      <w:r w:rsidRPr="00B3096C">
        <w:rPr>
          <w:vertAlign w:val="superscript"/>
        </w:rPr>
        <w:t> </w:t>
      </w:r>
      <w:r w:rsidRPr="00B3096C">
        <w:t>Bozonelos Konstantinos, BSRC "Alexander Fleming", Vari, Greece – Faculty of Veterinary Medicine, Aristotle University of Thessaloniki, Thessaloniki, Greece</w:t>
      </w:r>
    </w:p>
    <w:p w14:paraId="5E44B9DE" w14:textId="77777777" w:rsidR="00B3096C" w:rsidRPr="00B3096C" w:rsidRDefault="00B3096C" w:rsidP="00B3096C">
      <w:pPr>
        <w:ind w:left="720"/>
        <w:jc w:val="both"/>
      </w:pPr>
    </w:p>
    <w:p w14:paraId="6B6B4588" w14:textId="77777777" w:rsidR="00B3096C" w:rsidRPr="00B3096C" w:rsidRDefault="00B3096C" w:rsidP="00B3096C">
      <w:pPr>
        <w:jc w:val="both"/>
      </w:pPr>
      <w:r w:rsidRPr="00B3096C">
        <w:rPr>
          <w:b/>
          <w:bCs/>
        </w:rPr>
        <w:t>Abstract</w:t>
      </w:r>
      <w:r w:rsidRPr="00B3096C">
        <w:br/>
        <w:t xml:space="preserve"> Male infertility affects approximately 7% of men worldwide and is often caused by genetic disorders that impair spermatogenesis. Knockout (KO) mouse models are valuable tools for investigating the molecular mechanisms that regulate meiosis, sperm morphogenesis, and function. Studies using KO mice have shown that genes such as </w:t>
      </w:r>
      <w:r w:rsidRPr="00B3096C">
        <w:rPr>
          <w:i/>
          <w:iCs/>
        </w:rPr>
        <w:t>Dazl</w:t>
      </w:r>
      <w:r w:rsidRPr="00B3096C">
        <w:t xml:space="preserve">, </w:t>
      </w:r>
      <w:r w:rsidRPr="00B3096C">
        <w:rPr>
          <w:i/>
          <w:iCs/>
        </w:rPr>
        <w:t>Cwf19l2</w:t>
      </w:r>
      <w:r w:rsidRPr="00B3096C">
        <w:t xml:space="preserve">, and </w:t>
      </w:r>
      <w:r w:rsidRPr="00B3096C">
        <w:rPr>
          <w:i/>
          <w:iCs/>
        </w:rPr>
        <w:t>Tex11</w:t>
      </w:r>
      <w:r w:rsidRPr="00B3096C">
        <w:t xml:space="preserve"> are essential for the proper progression of meiosis. Their loss leads to disruption of spermatogenesis and Azoospermia. Other genes, including </w:t>
      </w:r>
      <w:r w:rsidRPr="00B3096C">
        <w:rPr>
          <w:i/>
          <w:iCs/>
        </w:rPr>
        <w:t>Pmfbp1</w:t>
      </w:r>
      <w:r w:rsidRPr="00B3096C">
        <w:t xml:space="preserve">, </w:t>
      </w:r>
      <w:r w:rsidRPr="00B3096C">
        <w:rPr>
          <w:i/>
          <w:iCs/>
        </w:rPr>
        <w:t>Sun5</w:t>
      </w:r>
      <w:r w:rsidRPr="00B3096C">
        <w:t xml:space="preserve">, </w:t>
      </w:r>
      <w:r w:rsidRPr="00B3096C">
        <w:rPr>
          <w:i/>
          <w:iCs/>
        </w:rPr>
        <w:t>DPY19L2</w:t>
      </w:r>
      <w:r w:rsidRPr="00B3096C">
        <w:t xml:space="preserve">, </w:t>
      </w:r>
      <w:r w:rsidRPr="00B3096C">
        <w:rPr>
          <w:i/>
          <w:iCs/>
        </w:rPr>
        <w:t>PICK1</w:t>
      </w:r>
      <w:r w:rsidRPr="00B3096C">
        <w:t xml:space="preserve">, and </w:t>
      </w:r>
      <w:r w:rsidRPr="00B3096C">
        <w:rPr>
          <w:i/>
          <w:iCs/>
        </w:rPr>
        <w:t>ZPBP1</w:t>
      </w:r>
      <w:r w:rsidRPr="00B3096C">
        <w:t xml:space="preserve">, are associated with severe morphological abnormalities. These include Acephalic Spermatozoa Syndrome (ASS) and Globozoospermia. Additionally, genes such as </w:t>
      </w:r>
      <w:r w:rsidRPr="00B3096C">
        <w:rPr>
          <w:i/>
          <w:iCs/>
        </w:rPr>
        <w:t>AK9</w:t>
      </w:r>
      <w:r w:rsidRPr="00B3096C">
        <w:t xml:space="preserve">, </w:t>
      </w:r>
      <w:r w:rsidRPr="00B3096C">
        <w:rPr>
          <w:i/>
          <w:iCs/>
        </w:rPr>
        <w:t>Sept4</w:t>
      </w:r>
      <w:r w:rsidRPr="00B3096C">
        <w:t xml:space="preserve">, and </w:t>
      </w:r>
      <w:r w:rsidRPr="00B3096C">
        <w:rPr>
          <w:i/>
          <w:iCs/>
        </w:rPr>
        <w:t>TEKT3</w:t>
      </w:r>
      <w:r w:rsidRPr="00B3096C">
        <w:t xml:space="preserve"> affect sperm motility, while </w:t>
      </w:r>
      <w:r w:rsidRPr="00B3096C">
        <w:rPr>
          <w:i/>
          <w:iCs/>
        </w:rPr>
        <w:t>Mfsd6l</w:t>
      </w:r>
      <w:r w:rsidRPr="00B3096C">
        <w:t xml:space="preserve"> and </w:t>
      </w:r>
      <w:r w:rsidRPr="00B3096C">
        <w:rPr>
          <w:i/>
          <w:iCs/>
        </w:rPr>
        <w:t>CCDC157</w:t>
      </w:r>
      <w:r w:rsidRPr="00B3096C">
        <w:t xml:space="preserve"> are linked to reduced fertilization capacity. Findings from KO mouse models contribute to the identification of monogenic causes of male infertility. They also support the improvement of assisted reproductive strategies and enhance the development of personalized diagnostic and therapeutic approaches.</w:t>
      </w:r>
    </w:p>
    <w:p w14:paraId="0D5760C7" w14:textId="77777777" w:rsidR="00B3096C" w:rsidRPr="00B3096C" w:rsidRDefault="00B3096C" w:rsidP="00B3096C">
      <w:pPr>
        <w:jc w:val="both"/>
      </w:pPr>
    </w:p>
    <w:p w14:paraId="6C287B32" w14:textId="77777777" w:rsidR="00B3096C" w:rsidRPr="00B3096C" w:rsidRDefault="00B3096C" w:rsidP="00B3096C">
      <w:pPr>
        <w:jc w:val="both"/>
      </w:pPr>
      <w:r w:rsidRPr="00B3096C">
        <w:rPr>
          <w:b/>
          <w:bCs/>
        </w:rPr>
        <w:t>Bibliography</w:t>
      </w:r>
    </w:p>
    <w:p w14:paraId="680B2340" w14:textId="77777777" w:rsidR="00B3096C" w:rsidRPr="00B3096C" w:rsidRDefault="00B3096C" w:rsidP="00B3096C">
      <w:pPr>
        <w:jc w:val="both"/>
      </w:pPr>
      <w:r w:rsidRPr="00B3096C">
        <w:t xml:space="preserve">Advanced IVF Lab Indore. </w:t>
      </w:r>
      <w:r w:rsidRPr="00B3096C">
        <w:rPr>
          <w:i/>
          <w:iCs/>
        </w:rPr>
        <w:t>(n.d.). Achieving highest success rate in IVF</w:t>
      </w:r>
      <w:r w:rsidRPr="00B3096C">
        <w:t>.</w:t>
      </w:r>
    </w:p>
    <w:p w14:paraId="0E543248" w14:textId="77777777" w:rsidR="00B3096C" w:rsidRPr="00B3096C" w:rsidRDefault="00B3096C" w:rsidP="00B3096C">
      <w:pPr>
        <w:jc w:val="both"/>
      </w:pPr>
      <w:r w:rsidRPr="00B3096C">
        <w:t xml:space="preserve">Barada, S., Alameer, M., Aldhaheri, R. H., Hamdan, H., &amp; Kashir, J. (2025). </w:t>
      </w:r>
      <w:r w:rsidRPr="00B3096C">
        <w:rPr>
          <w:i/>
          <w:iCs/>
        </w:rPr>
        <w:t>Of mice and men: Translating mouse knockout models of human male infertility</w:t>
      </w:r>
      <w:r w:rsidRPr="00B3096C">
        <w:t xml:space="preserve">. </w:t>
      </w:r>
      <w:r w:rsidRPr="00B3096C">
        <w:rPr>
          <w:i/>
          <w:iCs/>
        </w:rPr>
        <w:t>Reproduction, 170</w:t>
      </w:r>
      <w:r w:rsidRPr="00B3096C">
        <w:t>(4), e250260.</w:t>
      </w:r>
    </w:p>
    <w:p w14:paraId="4F19BA70" w14:textId="77777777" w:rsidR="00B3096C" w:rsidRPr="00B3096C" w:rsidRDefault="00B3096C" w:rsidP="00B3096C">
      <w:pPr>
        <w:jc w:val="both"/>
      </w:pPr>
      <w:r w:rsidRPr="00B3096C">
        <w:t xml:space="preserve">Barada, S., Alameer, M., Aldhaheri, R. H., Hamdan, H., &amp; Kashir, J. (2027). </w:t>
      </w:r>
      <w:r w:rsidRPr="00B3096C">
        <w:rPr>
          <w:i/>
          <w:iCs/>
        </w:rPr>
        <w:t>Causes of male infertility: A 9-year prospective monocentre study on 1737 patients with reduced total sperm counts</w:t>
      </w:r>
      <w:r w:rsidRPr="00B3096C">
        <w:t xml:space="preserve">. </w:t>
      </w:r>
      <w:r w:rsidRPr="00B3096C">
        <w:rPr>
          <w:i/>
          <w:iCs/>
        </w:rPr>
        <w:t>Human Reproduction</w:t>
      </w:r>
      <w:r w:rsidRPr="00B3096C">
        <w:t>.</w:t>
      </w:r>
    </w:p>
    <w:p w14:paraId="29124310" w14:textId="77777777" w:rsidR="00B3096C" w:rsidRPr="00B3096C" w:rsidRDefault="00B3096C" w:rsidP="00B3096C">
      <w:pPr>
        <w:jc w:val="both"/>
      </w:pPr>
      <w:r w:rsidRPr="00B3096C">
        <w:t xml:space="preserve">Baylor College of Medicine. </w:t>
      </w:r>
      <w:r w:rsidRPr="00B3096C">
        <w:rPr>
          <w:i/>
          <w:iCs/>
        </w:rPr>
        <w:t>(n.d.). Comprehensive mechanisms in reproductive sciences training program</w:t>
      </w:r>
      <w:r w:rsidRPr="00B3096C">
        <w:t>.</w:t>
      </w:r>
    </w:p>
    <w:p w14:paraId="3CA397A0" w14:textId="77777777" w:rsidR="00B3096C" w:rsidRPr="00B3096C" w:rsidRDefault="00B3096C" w:rsidP="00B3096C">
      <w:pPr>
        <w:jc w:val="both"/>
      </w:pPr>
      <w:r w:rsidRPr="00B3096C">
        <w:t xml:space="preserve">Biocytogen. </w:t>
      </w:r>
      <w:r w:rsidRPr="00B3096C">
        <w:rPr>
          <w:i/>
          <w:iCs/>
        </w:rPr>
        <w:t>(n.d.). Knockout mouse models</w:t>
      </w:r>
      <w:r w:rsidRPr="00B3096C">
        <w:t>.</w:t>
      </w:r>
    </w:p>
    <w:p w14:paraId="6AFCB4A8" w14:textId="77777777" w:rsidR="00B3096C" w:rsidRPr="00B3096C" w:rsidRDefault="00B3096C" w:rsidP="00B3096C">
      <w:pPr>
        <w:jc w:val="both"/>
      </w:pPr>
      <w:r w:rsidRPr="00B3096C">
        <w:t xml:space="preserve">Jiao, S. Y., Yang, Y. H., &amp; Chen, S. R. (2021). </w:t>
      </w:r>
      <w:r w:rsidRPr="00B3096C">
        <w:rPr>
          <w:i/>
          <w:iCs/>
        </w:rPr>
        <w:t>Molecular genetics of infertility: Loss-of-function mutations in humans and corresponding knockout/mutated mice</w:t>
      </w:r>
      <w:r w:rsidRPr="00B3096C">
        <w:t xml:space="preserve">. </w:t>
      </w:r>
      <w:r w:rsidRPr="00B3096C">
        <w:rPr>
          <w:i/>
          <w:iCs/>
        </w:rPr>
        <w:t>Human Reproduction Update, 27</w:t>
      </w:r>
      <w:r w:rsidRPr="00B3096C">
        <w:t>(1), 154–189.</w:t>
      </w:r>
    </w:p>
    <w:p w14:paraId="7BAB8192" w14:textId="77777777" w:rsidR="00B3096C" w:rsidRPr="00B3096C" w:rsidRDefault="00B3096C" w:rsidP="00B3096C">
      <w:pPr>
        <w:jc w:val="both"/>
      </w:pPr>
      <w:r w:rsidRPr="00B3096C">
        <w:t xml:space="preserve">Mitchell, M. J., Metzler-Guillemain, C., Toure, A., Coutton, C., Arnoult, C., &amp; Ray, P. F. (2017). </w:t>
      </w:r>
      <w:r w:rsidRPr="00B3096C">
        <w:rPr>
          <w:i/>
          <w:iCs/>
        </w:rPr>
        <w:t>Genetic mechanisms of male infertility</w:t>
      </w:r>
      <w:r w:rsidRPr="00B3096C">
        <w:t xml:space="preserve">. </w:t>
      </w:r>
      <w:r w:rsidRPr="00B3096C">
        <w:rPr>
          <w:i/>
          <w:iCs/>
        </w:rPr>
        <w:t>Nature Reviews Urology, 14</w:t>
      </w:r>
      <w:r w:rsidRPr="00B3096C">
        <w:t>(10), 603–620.</w:t>
      </w:r>
    </w:p>
    <w:p w14:paraId="7D96B7A5" w14:textId="77777777" w:rsidR="00B3096C" w:rsidRPr="00B3096C" w:rsidRDefault="00B3096C" w:rsidP="00B3096C">
      <w:pPr>
        <w:jc w:val="both"/>
      </w:pPr>
      <w:r w:rsidRPr="00B3096C">
        <w:t xml:space="preserve">Μπουζαλάς, Δ. </w:t>
      </w:r>
      <w:r w:rsidRPr="00B3096C">
        <w:rPr>
          <w:i/>
          <w:iCs/>
        </w:rPr>
        <w:t>(n.d.). Σύνδρομο Sertoli-cell-only (SCO)</w:t>
      </w:r>
      <w:r w:rsidRPr="00B3096C">
        <w:t>.</w:t>
      </w:r>
    </w:p>
    <w:p w14:paraId="1A102DA7" w14:textId="77777777" w:rsidR="00B3096C" w:rsidRPr="00B3096C" w:rsidRDefault="00B3096C" w:rsidP="00B3096C">
      <w:pPr>
        <w:jc w:val="both"/>
      </w:pPr>
      <w:r w:rsidRPr="00B3096C">
        <w:lastRenderedPageBreak/>
        <w:t xml:space="preserve">National Institutes of Health. </w:t>
      </w:r>
      <w:r w:rsidRPr="00B3096C">
        <w:rPr>
          <w:i/>
          <w:iCs/>
        </w:rPr>
        <w:t>(n.d.). The Knockout Mouse Project (KOMP)</w:t>
      </w:r>
      <w:r w:rsidRPr="00B3096C">
        <w:t>.</w:t>
      </w:r>
    </w:p>
    <w:p w14:paraId="79B42B1E" w14:textId="77777777" w:rsidR="00B3096C" w:rsidRPr="00B3096C" w:rsidRDefault="00B3096C" w:rsidP="00B3096C">
      <w:pPr>
        <w:jc w:val="both"/>
      </w:pPr>
      <w:r w:rsidRPr="00B3096C">
        <w:t xml:space="preserve">Palermo, G., et al. (2018). </w:t>
      </w:r>
      <w:r w:rsidRPr="00B3096C">
        <w:rPr>
          <w:i/>
          <w:iCs/>
        </w:rPr>
        <w:t>Male infertility and intracytoplasmic sperm injection (ICSI)</w:t>
      </w:r>
      <w:r w:rsidRPr="00B3096C">
        <w:t xml:space="preserve">. </w:t>
      </w:r>
      <w:r w:rsidRPr="00B3096C">
        <w:rPr>
          <w:i/>
          <w:iCs/>
        </w:rPr>
        <w:t>Fertility and Sterility, 109</w:t>
      </w:r>
      <w:r w:rsidRPr="00B3096C">
        <w:t>(3), 346–350.</w:t>
      </w:r>
    </w:p>
    <w:p w14:paraId="0FE71ABB" w14:textId="77777777" w:rsidR="00B3096C" w:rsidRPr="00B3096C" w:rsidRDefault="00B3096C" w:rsidP="00B3096C">
      <w:pPr>
        <w:jc w:val="both"/>
      </w:pPr>
      <w:r w:rsidRPr="00B3096C">
        <w:t xml:space="preserve">The Jackson Laboratory </w:t>
      </w:r>
      <w:r w:rsidRPr="00B3096C">
        <w:rPr>
          <w:i/>
          <w:iCs/>
        </w:rPr>
        <w:t>(n.d.). Nomenclature for mouse strains</w:t>
      </w:r>
      <w:r w:rsidRPr="00B3096C">
        <w:t>.</w:t>
      </w:r>
    </w:p>
    <w:p w14:paraId="2FF94317" w14:textId="77777777" w:rsidR="00B3096C" w:rsidRDefault="00B3096C" w:rsidP="00B3096C">
      <w:pPr>
        <w:jc w:val="both"/>
      </w:pPr>
    </w:p>
    <w:p w14:paraId="1DF250A6" w14:textId="77777777" w:rsidR="00B3096C" w:rsidRDefault="00B3096C" w:rsidP="00B3096C">
      <w:pPr>
        <w:jc w:val="both"/>
      </w:pPr>
    </w:p>
    <w:p w14:paraId="27245C9A" w14:textId="77777777" w:rsidR="00B3096C" w:rsidRDefault="00B3096C" w:rsidP="00B3096C">
      <w:pPr>
        <w:jc w:val="both"/>
      </w:pPr>
    </w:p>
    <w:p w14:paraId="00E767D6" w14:textId="77777777" w:rsidR="00B3096C" w:rsidRDefault="00B3096C" w:rsidP="00B3096C">
      <w:pPr>
        <w:jc w:val="both"/>
      </w:pPr>
    </w:p>
    <w:p w14:paraId="07514F00" w14:textId="77777777" w:rsidR="00B3096C" w:rsidRDefault="00B3096C" w:rsidP="00B3096C">
      <w:pPr>
        <w:jc w:val="both"/>
      </w:pPr>
    </w:p>
    <w:p w14:paraId="096C7D01" w14:textId="77777777" w:rsidR="00B3096C" w:rsidRDefault="00B3096C" w:rsidP="00B3096C">
      <w:pPr>
        <w:jc w:val="both"/>
      </w:pPr>
    </w:p>
    <w:p w14:paraId="17B32D39" w14:textId="77777777" w:rsidR="00B3096C" w:rsidRDefault="00B3096C" w:rsidP="00B3096C">
      <w:pPr>
        <w:jc w:val="both"/>
      </w:pPr>
    </w:p>
    <w:p w14:paraId="0EECA300" w14:textId="77777777" w:rsidR="00B3096C" w:rsidRDefault="00B3096C" w:rsidP="00B3096C">
      <w:pPr>
        <w:jc w:val="both"/>
      </w:pPr>
    </w:p>
    <w:p w14:paraId="5C5CA5E0" w14:textId="77777777" w:rsidR="00B3096C" w:rsidRDefault="00B3096C" w:rsidP="00B3096C">
      <w:pPr>
        <w:jc w:val="both"/>
      </w:pPr>
    </w:p>
    <w:p w14:paraId="67F1B2A7" w14:textId="77777777" w:rsidR="00B3096C" w:rsidRDefault="00B3096C" w:rsidP="00B3096C">
      <w:pPr>
        <w:jc w:val="both"/>
      </w:pPr>
    </w:p>
    <w:p w14:paraId="77B250F3" w14:textId="77777777" w:rsidR="00B3096C" w:rsidRDefault="00B3096C" w:rsidP="00B3096C">
      <w:pPr>
        <w:jc w:val="both"/>
      </w:pPr>
    </w:p>
    <w:p w14:paraId="1F309144" w14:textId="77777777" w:rsidR="00B3096C" w:rsidRDefault="00B3096C" w:rsidP="00B3096C">
      <w:pPr>
        <w:jc w:val="both"/>
      </w:pPr>
    </w:p>
    <w:p w14:paraId="6339D78A" w14:textId="77777777" w:rsidR="00B3096C" w:rsidRDefault="00B3096C" w:rsidP="00B3096C">
      <w:pPr>
        <w:jc w:val="both"/>
      </w:pPr>
    </w:p>
    <w:p w14:paraId="78D9363C" w14:textId="77777777" w:rsidR="00B3096C" w:rsidRDefault="00B3096C" w:rsidP="00B3096C">
      <w:pPr>
        <w:jc w:val="both"/>
      </w:pPr>
    </w:p>
    <w:p w14:paraId="3C5BBE06" w14:textId="77777777" w:rsidR="00B3096C" w:rsidRDefault="00B3096C" w:rsidP="00B3096C">
      <w:pPr>
        <w:jc w:val="both"/>
      </w:pPr>
    </w:p>
    <w:p w14:paraId="5B6D18E4" w14:textId="77777777" w:rsidR="00B3096C" w:rsidRDefault="00B3096C" w:rsidP="00B3096C">
      <w:pPr>
        <w:jc w:val="both"/>
      </w:pPr>
    </w:p>
    <w:p w14:paraId="3420FC0A" w14:textId="77777777" w:rsidR="00B3096C" w:rsidRDefault="00B3096C" w:rsidP="00B3096C">
      <w:pPr>
        <w:jc w:val="both"/>
      </w:pPr>
    </w:p>
    <w:p w14:paraId="5C3547DC" w14:textId="77777777" w:rsidR="00B3096C" w:rsidRDefault="00B3096C" w:rsidP="00B3096C">
      <w:pPr>
        <w:jc w:val="both"/>
      </w:pPr>
    </w:p>
    <w:p w14:paraId="7FF749C3" w14:textId="77777777" w:rsidR="00B3096C" w:rsidRDefault="00B3096C" w:rsidP="00B3096C">
      <w:pPr>
        <w:jc w:val="both"/>
      </w:pPr>
    </w:p>
    <w:p w14:paraId="3DE02092" w14:textId="77777777" w:rsidR="00B3096C" w:rsidRDefault="00B3096C" w:rsidP="00B3096C">
      <w:pPr>
        <w:jc w:val="both"/>
      </w:pPr>
    </w:p>
    <w:p w14:paraId="08E7B399" w14:textId="77777777" w:rsidR="00B3096C" w:rsidRDefault="00B3096C" w:rsidP="00B3096C">
      <w:pPr>
        <w:jc w:val="both"/>
      </w:pPr>
    </w:p>
    <w:p w14:paraId="5B693413" w14:textId="77777777" w:rsidR="00B3096C" w:rsidRDefault="00B3096C" w:rsidP="00B3096C">
      <w:pPr>
        <w:jc w:val="both"/>
      </w:pPr>
    </w:p>
    <w:p w14:paraId="05DE73CE" w14:textId="77777777" w:rsidR="00B3096C" w:rsidRDefault="00B3096C" w:rsidP="00B3096C">
      <w:pPr>
        <w:jc w:val="both"/>
      </w:pPr>
    </w:p>
    <w:p w14:paraId="1578A01E" w14:textId="77777777" w:rsidR="00B3096C" w:rsidRDefault="00B3096C" w:rsidP="00B3096C">
      <w:pPr>
        <w:jc w:val="both"/>
      </w:pPr>
    </w:p>
    <w:p w14:paraId="477F3FD7" w14:textId="77777777" w:rsidR="00B3096C" w:rsidRDefault="00B3096C" w:rsidP="00B3096C">
      <w:pPr>
        <w:jc w:val="both"/>
      </w:pPr>
    </w:p>
    <w:p w14:paraId="40DDB573" w14:textId="77777777" w:rsidR="00B3096C" w:rsidRDefault="00B3096C" w:rsidP="00B3096C">
      <w:pPr>
        <w:jc w:val="both"/>
      </w:pPr>
    </w:p>
    <w:p w14:paraId="1154DA8F" w14:textId="77777777" w:rsidR="00B3096C" w:rsidRPr="00B3096C" w:rsidRDefault="00B3096C" w:rsidP="00B3096C">
      <w:pPr>
        <w:jc w:val="both"/>
      </w:pPr>
    </w:p>
    <w:p w14:paraId="04C5DCC5" w14:textId="7F5165DB" w:rsidR="00B3096C" w:rsidRPr="00B3096C" w:rsidRDefault="00B3096C" w:rsidP="00B3096C">
      <w:pPr>
        <w:jc w:val="both"/>
      </w:pPr>
      <w:r w:rsidRPr="00B3096C">
        <w:rPr>
          <w:b/>
          <w:bCs/>
        </w:rPr>
        <w:lastRenderedPageBreak/>
        <w:t>Cranial Cruciate Ligament Rupture in Dogs: Conservative vs Surgical Treatment</w:t>
      </w:r>
    </w:p>
    <w:p w14:paraId="35B31CBA" w14:textId="77777777" w:rsidR="00B3096C" w:rsidRPr="00B3096C" w:rsidRDefault="00B3096C" w:rsidP="00B3096C">
      <w:pPr>
        <w:jc w:val="both"/>
      </w:pPr>
      <w:r w:rsidRPr="00B3096C">
        <w:t>Smyrnaios Georgios</w:t>
      </w:r>
      <w:r w:rsidRPr="00B3096C">
        <w:rPr>
          <w:vertAlign w:val="superscript"/>
        </w:rPr>
        <w:t>1</w:t>
      </w:r>
      <w:r w:rsidRPr="00B3096C">
        <w:t>, Papaefthymiou Sofianos</w:t>
      </w:r>
      <w:r w:rsidRPr="00B3096C">
        <w:rPr>
          <w:vertAlign w:val="superscript"/>
        </w:rPr>
        <w:t>2</w:t>
      </w:r>
      <w:r w:rsidRPr="00B3096C">
        <w:t>, Prassinos Nikitas</w:t>
      </w:r>
      <w:r w:rsidRPr="00B3096C">
        <w:rPr>
          <w:vertAlign w:val="superscript"/>
        </w:rPr>
        <w:t>3</w:t>
      </w:r>
    </w:p>
    <w:p w14:paraId="3361D706" w14:textId="77777777" w:rsidR="00B3096C" w:rsidRPr="00B3096C" w:rsidRDefault="00B3096C">
      <w:pPr>
        <w:numPr>
          <w:ilvl w:val="0"/>
          <w:numId w:val="141"/>
        </w:numPr>
        <w:jc w:val="both"/>
      </w:pPr>
      <w:r w:rsidRPr="00B3096C">
        <w:t>Undergraduate student, Faculty of Veterinary Medicine, School of Health Sciences, Aristotle University of Thessaloniki, Greece.</w:t>
      </w:r>
    </w:p>
    <w:p w14:paraId="4B82D7A6" w14:textId="77777777" w:rsidR="00B3096C" w:rsidRPr="00B3096C" w:rsidRDefault="00B3096C">
      <w:pPr>
        <w:numPr>
          <w:ilvl w:val="0"/>
          <w:numId w:val="141"/>
        </w:numPr>
        <w:jc w:val="both"/>
      </w:pPr>
      <w:r w:rsidRPr="00B3096C">
        <w:t>DVM, PhD Candidate, Surgery &amp; Obstetrics Unit, Companion Animal Clinic, School of Veterinary Medicine, Faculty of Health Sciences, Aristotle University of Thessaloniki, Greece.</w:t>
      </w:r>
    </w:p>
    <w:p w14:paraId="7597C64E" w14:textId="77777777" w:rsidR="00B3096C" w:rsidRPr="00B3096C" w:rsidRDefault="00B3096C">
      <w:pPr>
        <w:numPr>
          <w:ilvl w:val="0"/>
          <w:numId w:val="141"/>
        </w:numPr>
        <w:jc w:val="both"/>
      </w:pPr>
      <w:r w:rsidRPr="00B3096C">
        <w:t>DVM, PhD, Professor, Surgery &amp; Obstetrics Unit, Companion Animal Clinic, School οf Veterinary Medicine, Faculty of Health Sciences, Aristotle University of Thessaloniki, Greece.</w:t>
      </w:r>
    </w:p>
    <w:p w14:paraId="5A9F97B8" w14:textId="77777777" w:rsidR="00B3096C" w:rsidRPr="00B3096C" w:rsidRDefault="00B3096C" w:rsidP="00B3096C">
      <w:pPr>
        <w:jc w:val="both"/>
      </w:pPr>
    </w:p>
    <w:p w14:paraId="378C5193" w14:textId="77777777" w:rsidR="00B3096C" w:rsidRPr="00B3096C" w:rsidRDefault="00B3096C" w:rsidP="00B3096C">
      <w:pPr>
        <w:jc w:val="both"/>
      </w:pPr>
      <w:r w:rsidRPr="00B3096C">
        <w:rPr>
          <w:b/>
          <w:bCs/>
        </w:rPr>
        <w:t>Abstract</w:t>
      </w:r>
    </w:p>
    <w:p w14:paraId="1D22452D" w14:textId="77777777" w:rsidR="00B3096C" w:rsidRPr="00B3096C" w:rsidRDefault="00B3096C" w:rsidP="00B3096C">
      <w:pPr>
        <w:jc w:val="both"/>
      </w:pPr>
      <w:r w:rsidRPr="00B3096C">
        <w:t> Rupture of the cranial cruciate ligament (CCL) constitutes one of the most common orthopedic conditions in dogs and a primary cause of stifle osteoarthritis. The aim of this study is to compare the long-term outcomes of conservative versus surgical management. Conservative treatment includes restriction of physical activity, body weight control, use of non-steroidal anti-inflammatory drugs and physiotherapy exercises. It is mainly effective in small breeds, while its selection should take into account factors such as age, activity level and physical condition. However, rupture of the medial meniscus and development of secondary osteoarthritis is considered inevitable due to chronic joint instability. Surgical management aims to restore joint stability, either through functional replacement of the CCL or by eliminating shear forces acting on the joint. This approach achieves earlier return to full limb function and slows the progression of osteoarthritis. In conclusion, although treatment is partially individualized in CCL rupture, surgical management provides superior long-term outcomes.</w:t>
      </w:r>
    </w:p>
    <w:p w14:paraId="46C4A1D8" w14:textId="77777777" w:rsidR="00B3096C" w:rsidRPr="00B3096C" w:rsidRDefault="00B3096C" w:rsidP="00B3096C">
      <w:pPr>
        <w:jc w:val="both"/>
      </w:pPr>
    </w:p>
    <w:p w14:paraId="0081B4CA" w14:textId="77777777" w:rsidR="00B3096C" w:rsidRPr="00B3096C" w:rsidRDefault="00B3096C" w:rsidP="00B3096C">
      <w:pPr>
        <w:jc w:val="both"/>
      </w:pPr>
      <w:r w:rsidRPr="00B3096C">
        <w:rPr>
          <w:b/>
          <w:bCs/>
        </w:rPr>
        <w:t>Bibliography</w:t>
      </w:r>
    </w:p>
    <w:p w14:paraId="0B014A48" w14:textId="77777777" w:rsidR="00B3096C" w:rsidRPr="00B3096C" w:rsidRDefault="00B3096C" w:rsidP="00B3096C">
      <w:pPr>
        <w:jc w:val="both"/>
      </w:pPr>
      <w:r w:rsidRPr="00B3096C">
        <w:t xml:space="preserve">Brioschi, V., &amp; Arthurs, G. I. (2021). </w:t>
      </w:r>
      <w:r w:rsidRPr="00B3096C">
        <w:rPr>
          <w:i/>
          <w:iCs/>
        </w:rPr>
        <w:t>Cranial cruciate ligament rupture in small dogs (&lt;15 kg): A narrative literature review</w:t>
      </w:r>
      <w:r w:rsidRPr="00B3096C">
        <w:t xml:space="preserve">. </w:t>
      </w:r>
      <w:r w:rsidRPr="00B3096C">
        <w:rPr>
          <w:i/>
          <w:iCs/>
        </w:rPr>
        <w:t>Journal of Small Animal Practice, 62</w:t>
      </w:r>
      <w:r w:rsidRPr="00B3096C">
        <w:t>(12), 1037–1050.</w:t>
      </w:r>
    </w:p>
    <w:p w14:paraId="4B8B55AB" w14:textId="77777777" w:rsidR="00B3096C" w:rsidRPr="00B3096C" w:rsidRDefault="00B3096C" w:rsidP="00B3096C">
      <w:pPr>
        <w:jc w:val="both"/>
      </w:pPr>
      <w:r w:rsidRPr="00B3096C">
        <w:t xml:space="preserve">DeCamp, C. E., Johnston, S. A., Dejardin, L. M., &amp; Schaefer, S. L. (2016). </w:t>
      </w:r>
      <w:r w:rsidRPr="00B3096C">
        <w:rPr>
          <w:i/>
          <w:iCs/>
        </w:rPr>
        <w:t>Handbook of small animal orthopedics and fracture repair</w:t>
      </w:r>
      <w:r w:rsidRPr="00B3096C">
        <w:t xml:space="preserve"> (5th ed.). Elsevier.</w:t>
      </w:r>
    </w:p>
    <w:p w14:paraId="3B62583A" w14:textId="77777777" w:rsidR="00B3096C" w:rsidRPr="00B3096C" w:rsidRDefault="00B3096C" w:rsidP="00B3096C">
      <w:pPr>
        <w:jc w:val="both"/>
      </w:pPr>
      <w:r w:rsidRPr="00B3096C">
        <w:t xml:space="preserve">Kirkness, H. (2020). </w:t>
      </w:r>
      <w:r w:rsidRPr="00B3096C">
        <w:rPr>
          <w:i/>
          <w:iCs/>
        </w:rPr>
        <w:t>Management of cranial cruciate ligament ruptures in dogs</w:t>
      </w:r>
      <w:r w:rsidRPr="00B3096C">
        <w:t xml:space="preserve">. </w:t>
      </w:r>
      <w:r w:rsidRPr="00B3096C">
        <w:rPr>
          <w:i/>
          <w:iCs/>
        </w:rPr>
        <w:t>Veterinary Nursing Journal, 35</w:t>
      </w:r>
      <w:r w:rsidRPr="00B3096C">
        <w:t>(8), 235–237.</w:t>
      </w:r>
    </w:p>
    <w:p w14:paraId="46DF75CC" w14:textId="77777777" w:rsidR="00B3096C" w:rsidRPr="00B3096C" w:rsidRDefault="00B3096C" w:rsidP="00B3096C">
      <w:pPr>
        <w:jc w:val="both"/>
      </w:pPr>
      <w:r w:rsidRPr="00B3096C">
        <w:t xml:space="preserve">Kwananocha, I., Akaraphutiporn, E., Upariputti, R., Lekcharoensuk, C., &amp; Wangdee, C. (2024). </w:t>
      </w:r>
      <w:r w:rsidRPr="00B3096C">
        <w:rPr>
          <w:i/>
          <w:iCs/>
        </w:rPr>
        <w:t>Short-term outcomes of cranial cruciate ligament rupture treated surgically with tibial plateau leveling osteotomy or non-surgically in small-breed dogs weighing less than 10 kg</w:t>
      </w:r>
      <w:r w:rsidRPr="00B3096C">
        <w:t xml:space="preserve">. </w:t>
      </w:r>
      <w:r w:rsidRPr="00B3096C">
        <w:rPr>
          <w:i/>
          <w:iCs/>
        </w:rPr>
        <w:t>Journal of Veterinary Medical Science, 86</w:t>
      </w:r>
      <w:r w:rsidRPr="00B3096C">
        <w:t>(4), 428–435.</w:t>
      </w:r>
    </w:p>
    <w:p w14:paraId="05B6ECF4" w14:textId="77777777" w:rsidR="00B3096C" w:rsidRPr="00B3096C" w:rsidRDefault="00B3096C" w:rsidP="00B3096C">
      <w:pPr>
        <w:jc w:val="both"/>
      </w:pPr>
      <w:r w:rsidRPr="00B3096C">
        <w:t xml:space="preserve">Mölsä, S. H., Hyytiäinen, H. K., Hielm-Björkman, A. K., &amp; Laitinen-Vapaavuori, O. M. (2014). </w:t>
      </w:r>
      <w:r w:rsidRPr="00B3096C">
        <w:rPr>
          <w:i/>
          <w:iCs/>
        </w:rPr>
        <w:t>Long-term functional outcome after surgical repair of cranial cruciate ligament disease in dogs</w:t>
      </w:r>
      <w:r w:rsidRPr="00B3096C">
        <w:t xml:space="preserve">. </w:t>
      </w:r>
      <w:r w:rsidRPr="00B3096C">
        <w:rPr>
          <w:i/>
          <w:iCs/>
        </w:rPr>
        <w:t>BMC Veterinary Research, 10</w:t>
      </w:r>
      <w:r w:rsidRPr="00B3096C">
        <w:t>, 266.</w:t>
      </w:r>
    </w:p>
    <w:p w14:paraId="55ACF7F3" w14:textId="77777777" w:rsidR="00B3096C" w:rsidRPr="00B3096C" w:rsidRDefault="00B3096C" w:rsidP="00B3096C">
      <w:pPr>
        <w:jc w:val="both"/>
      </w:pPr>
      <w:r w:rsidRPr="00B3096C">
        <w:lastRenderedPageBreak/>
        <w:t xml:space="preserve">Muir, P. (2010). </w:t>
      </w:r>
      <w:r w:rsidRPr="00B3096C">
        <w:rPr>
          <w:i/>
          <w:iCs/>
        </w:rPr>
        <w:t>Advances in the canine cranial cruciate ligament</w:t>
      </w:r>
      <w:r w:rsidRPr="00B3096C">
        <w:t>. Wiley-Blackwell.</w:t>
      </w:r>
    </w:p>
    <w:p w14:paraId="67B0FEAA" w14:textId="77777777" w:rsidR="00B3096C" w:rsidRPr="00B3096C" w:rsidRDefault="00B3096C" w:rsidP="00B3096C">
      <w:pPr>
        <w:jc w:val="both"/>
      </w:pPr>
      <w:r w:rsidRPr="00B3096C">
        <w:t xml:space="preserve">Pegram, C., Diaz-Ordaz, K., Brodbelt, D. C., Chang, Y. M., Hekkel, A. F., Wu, C. H., Church, D. B., &amp; O’Neil, D. G. (2024). </w:t>
      </w:r>
      <w:r w:rsidRPr="00B3096C">
        <w:rPr>
          <w:i/>
          <w:iCs/>
        </w:rPr>
        <w:t>Target trial emulation: Does surgical versus non-surgical management of cranial cruciate ligament rupture in dogs cause different outcomes?</w:t>
      </w:r>
      <w:r w:rsidRPr="00B3096C">
        <w:t xml:space="preserve"> </w:t>
      </w:r>
      <w:r w:rsidRPr="00B3096C">
        <w:rPr>
          <w:i/>
          <w:iCs/>
        </w:rPr>
        <w:t>Preventive Veterinary Medicine, 226</w:t>
      </w:r>
      <w:r w:rsidRPr="00B3096C">
        <w:t>, 106165.</w:t>
      </w:r>
    </w:p>
    <w:p w14:paraId="0C26B45A" w14:textId="77777777" w:rsidR="00B3096C" w:rsidRPr="00B3096C" w:rsidRDefault="00B3096C" w:rsidP="00B3096C">
      <w:pPr>
        <w:jc w:val="both"/>
      </w:pPr>
      <w:r w:rsidRPr="00B3096C">
        <w:t xml:space="preserve">Rush, L. K. (1993). </w:t>
      </w:r>
      <w:r w:rsidRPr="00B3096C">
        <w:rPr>
          <w:i/>
          <w:iCs/>
        </w:rPr>
        <w:t>The Veterinary Clinics of North America: Small animal practice</w:t>
      </w:r>
      <w:r w:rsidRPr="00B3096C">
        <w:t>. W.B. Saunders Company.</w:t>
      </w:r>
    </w:p>
    <w:p w14:paraId="43E18616" w14:textId="77777777" w:rsidR="00B3096C" w:rsidRDefault="00B3096C" w:rsidP="00B3096C">
      <w:pPr>
        <w:jc w:val="both"/>
        <w:rPr>
          <w:i/>
          <w:iCs/>
        </w:rPr>
      </w:pPr>
      <w:r w:rsidRPr="00B3096C">
        <w:t xml:space="preserve">Wucherer, K. L., Conzemius, M. G., Evans, R., &amp; Wilke, V. L. (2013). </w:t>
      </w:r>
      <w:r w:rsidRPr="00B3096C">
        <w:rPr>
          <w:i/>
          <w:iCs/>
        </w:rPr>
        <w:t>Short-term and long-term outcomes for overweight dogs with cranial cruciate ligament rupture treated surgically or nonsurgically</w:t>
      </w:r>
      <w:r w:rsidRPr="00B3096C">
        <w:t xml:space="preserve">. </w:t>
      </w:r>
      <w:r w:rsidRPr="00B3096C">
        <w:rPr>
          <w:i/>
          <w:iCs/>
        </w:rPr>
        <w:t>Journal of the</w:t>
      </w:r>
    </w:p>
    <w:p w14:paraId="2E43478F" w14:textId="77777777" w:rsidR="00B3096C" w:rsidRDefault="00B3096C" w:rsidP="00B3096C">
      <w:pPr>
        <w:jc w:val="both"/>
        <w:rPr>
          <w:i/>
          <w:iCs/>
        </w:rPr>
      </w:pPr>
    </w:p>
    <w:p w14:paraId="04FC1A55" w14:textId="77777777" w:rsidR="00B3096C" w:rsidRDefault="00B3096C" w:rsidP="00B3096C">
      <w:pPr>
        <w:jc w:val="both"/>
        <w:rPr>
          <w:i/>
          <w:iCs/>
        </w:rPr>
      </w:pPr>
    </w:p>
    <w:p w14:paraId="2B6AB417" w14:textId="77777777" w:rsidR="00B3096C" w:rsidRDefault="00B3096C" w:rsidP="00B3096C">
      <w:pPr>
        <w:jc w:val="both"/>
        <w:rPr>
          <w:i/>
          <w:iCs/>
        </w:rPr>
      </w:pPr>
    </w:p>
    <w:p w14:paraId="04244927" w14:textId="77777777" w:rsidR="00B3096C" w:rsidRDefault="00B3096C" w:rsidP="00B3096C">
      <w:pPr>
        <w:jc w:val="both"/>
        <w:rPr>
          <w:i/>
          <w:iCs/>
        </w:rPr>
      </w:pPr>
    </w:p>
    <w:p w14:paraId="314E2DFB" w14:textId="77777777" w:rsidR="00B3096C" w:rsidRDefault="00B3096C" w:rsidP="00B3096C">
      <w:pPr>
        <w:jc w:val="both"/>
        <w:rPr>
          <w:i/>
          <w:iCs/>
        </w:rPr>
      </w:pPr>
    </w:p>
    <w:p w14:paraId="764BFA07" w14:textId="77777777" w:rsidR="00B3096C" w:rsidRDefault="00B3096C" w:rsidP="00B3096C">
      <w:pPr>
        <w:jc w:val="both"/>
        <w:rPr>
          <w:i/>
          <w:iCs/>
        </w:rPr>
      </w:pPr>
    </w:p>
    <w:p w14:paraId="025C6D1F" w14:textId="77777777" w:rsidR="00B3096C" w:rsidRDefault="00B3096C" w:rsidP="00B3096C">
      <w:pPr>
        <w:jc w:val="both"/>
        <w:rPr>
          <w:i/>
          <w:iCs/>
        </w:rPr>
      </w:pPr>
    </w:p>
    <w:p w14:paraId="700BF4C0" w14:textId="77777777" w:rsidR="00B3096C" w:rsidRDefault="00B3096C" w:rsidP="00B3096C">
      <w:pPr>
        <w:jc w:val="both"/>
        <w:rPr>
          <w:i/>
          <w:iCs/>
        </w:rPr>
      </w:pPr>
    </w:p>
    <w:p w14:paraId="0442517B" w14:textId="77777777" w:rsidR="00B3096C" w:rsidRDefault="00B3096C" w:rsidP="00B3096C">
      <w:pPr>
        <w:jc w:val="both"/>
        <w:rPr>
          <w:i/>
          <w:iCs/>
        </w:rPr>
      </w:pPr>
    </w:p>
    <w:p w14:paraId="4EB4E771" w14:textId="77777777" w:rsidR="00B3096C" w:rsidRDefault="00B3096C" w:rsidP="00B3096C">
      <w:pPr>
        <w:jc w:val="both"/>
        <w:rPr>
          <w:i/>
          <w:iCs/>
        </w:rPr>
      </w:pPr>
    </w:p>
    <w:p w14:paraId="13259070" w14:textId="77777777" w:rsidR="00B3096C" w:rsidRDefault="00B3096C" w:rsidP="00B3096C">
      <w:pPr>
        <w:jc w:val="both"/>
        <w:rPr>
          <w:i/>
          <w:iCs/>
        </w:rPr>
      </w:pPr>
    </w:p>
    <w:p w14:paraId="07728AC8" w14:textId="77777777" w:rsidR="00B3096C" w:rsidRDefault="00B3096C" w:rsidP="00B3096C">
      <w:pPr>
        <w:jc w:val="both"/>
        <w:rPr>
          <w:i/>
          <w:iCs/>
        </w:rPr>
      </w:pPr>
    </w:p>
    <w:p w14:paraId="2CD6CC71" w14:textId="77777777" w:rsidR="00B3096C" w:rsidRDefault="00B3096C" w:rsidP="00B3096C">
      <w:pPr>
        <w:jc w:val="both"/>
        <w:rPr>
          <w:i/>
          <w:iCs/>
        </w:rPr>
      </w:pPr>
    </w:p>
    <w:p w14:paraId="59EDBECC" w14:textId="77777777" w:rsidR="00B3096C" w:rsidRDefault="00B3096C" w:rsidP="00B3096C">
      <w:pPr>
        <w:jc w:val="both"/>
        <w:rPr>
          <w:i/>
          <w:iCs/>
        </w:rPr>
      </w:pPr>
    </w:p>
    <w:p w14:paraId="5158AB76" w14:textId="77777777" w:rsidR="00B3096C" w:rsidRDefault="00B3096C" w:rsidP="00B3096C">
      <w:pPr>
        <w:jc w:val="both"/>
        <w:rPr>
          <w:i/>
          <w:iCs/>
        </w:rPr>
      </w:pPr>
    </w:p>
    <w:p w14:paraId="6A26BB93" w14:textId="77777777" w:rsidR="00B3096C" w:rsidRDefault="00B3096C" w:rsidP="00B3096C">
      <w:pPr>
        <w:jc w:val="both"/>
        <w:rPr>
          <w:i/>
          <w:iCs/>
        </w:rPr>
      </w:pPr>
    </w:p>
    <w:p w14:paraId="1DAA7DA4" w14:textId="77777777" w:rsidR="00B3096C" w:rsidRDefault="00B3096C" w:rsidP="00B3096C">
      <w:pPr>
        <w:jc w:val="both"/>
        <w:rPr>
          <w:i/>
          <w:iCs/>
        </w:rPr>
      </w:pPr>
    </w:p>
    <w:p w14:paraId="6E20458C" w14:textId="77777777" w:rsidR="00B3096C" w:rsidRDefault="00B3096C" w:rsidP="00B3096C">
      <w:pPr>
        <w:jc w:val="both"/>
        <w:rPr>
          <w:i/>
          <w:iCs/>
        </w:rPr>
      </w:pPr>
    </w:p>
    <w:p w14:paraId="4352FD34" w14:textId="77777777" w:rsidR="00B3096C" w:rsidRDefault="00B3096C" w:rsidP="00B3096C">
      <w:pPr>
        <w:jc w:val="both"/>
        <w:rPr>
          <w:i/>
          <w:iCs/>
        </w:rPr>
      </w:pPr>
    </w:p>
    <w:p w14:paraId="64908083" w14:textId="77777777" w:rsidR="00B3096C" w:rsidRDefault="00B3096C" w:rsidP="00B3096C">
      <w:pPr>
        <w:jc w:val="both"/>
        <w:rPr>
          <w:i/>
          <w:iCs/>
        </w:rPr>
      </w:pPr>
    </w:p>
    <w:p w14:paraId="6D488F4F" w14:textId="77777777" w:rsidR="00B3096C" w:rsidRDefault="00B3096C" w:rsidP="00B3096C">
      <w:pPr>
        <w:jc w:val="both"/>
        <w:rPr>
          <w:i/>
          <w:iCs/>
        </w:rPr>
      </w:pPr>
    </w:p>
    <w:p w14:paraId="331459A2" w14:textId="77777777" w:rsidR="00B3096C" w:rsidRDefault="00B3096C" w:rsidP="00B3096C">
      <w:pPr>
        <w:jc w:val="both"/>
        <w:rPr>
          <w:i/>
          <w:iCs/>
        </w:rPr>
      </w:pPr>
    </w:p>
    <w:p w14:paraId="03186D35" w14:textId="77777777" w:rsidR="00B3096C" w:rsidRPr="00B3096C" w:rsidRDefault="00B3096C" w:rsidP="00B3096C">
      <w:pPr>
        <w:jc w:val="both"/>
      </w:pPr>
    </w:p>
    <w:p w14:paraId="3DE1C5F8" w14:textId="77777777" w:rsidR="00B3096C" w:rsidRPr="00B3096C" w:rsidRDefault="00B3096C" w:rsidP="00B3096C">
      <w:pPr>
        <w:jc w:val="both"/>
      </w:pPr>
      <w:r w:rsidRPr="00B3096C">
        <w:rPr>
          <w:b/>
          <w:bCs/>
        </w:rPr>
        <w:lastRenderedPageBreak/>
        <w:t>Canine total hip replacement</w:t>
      </w:r>
    </w:p>
    <w:p w14:paraId="19749BFB" w14:textId="77777777" w:rsidR="00B3096C" w:rsidRPr="00B3096C" w:rsidRDefault="00B3096C" w:rsidP="00B3096C">
      <w:pPr>
        <w:jc w:val="both"/>
      </w:pPr>
      <w:r w:rsidRPr="00B3096C">
        <w:t>Achile Katerina</w:t>
      </w:r>
      <w:r w:rsidRPr="00B3096C">
        <w:rPr>
          <w:vertAlign w:val="superscript"/>
        </w:rPr>
        <w:t>1</w:t>
      </w:r>
      <w:r w:rsidRPr="00B3096C">
        <w:t>, Pali Eleni</w:t>
      </w:r>
      <w:r w:rsidRPr="00B3096C">
        <w:rPr>
          <w:vertAlign w:val="superscript"/>
        </w:rPr>
        <w:t>1</w:t>
      </w:r>
      <w:r w:rsidRPr="00B3096C">
        <w:t xml:space="preserve">, Prassinos N. Nikitas </w:t>
      </w:r>
      <w:r w:rsidRPr="00B3096C">
        <w:rPr>
          <w:vertAlign w:val="superscript"/>
        </w:rPr>
        <w:t>2</w:t>
      </w:r>
      <w:r w:rsidRPr="00B3096C">
        <w:t>, Krystalli Androniki</w:t>
      </w:r>
      <w:r w:rsidRPr="00B3096C">
        <w:rPr>
          <w:vertAlign w:val="superscript"/>
        </w:rPr>
        <w:t>3</w:t>
      </w:r>
      <w:r w:rsidRPr="00B3096C">
        <w:t> </w:t>
      </w:r>
    </w:p>
    <w:p w14:paraId="29909A57" w14:textId="77777777" w:rsidR="00B3096C" w:rsidRPr="00B3096C" w:rsidRDefault="00B3096C">
      <w:pPr>
        <w:numPr>
          <w:ilvl w:val="0"/>
          <w:numId w:val="142"/>
        </w:numPr>
        <w:jc w:val="both"/>
      </w:pPr>
      <w:r w:rsidRPr="00B3096C">
        <w:t>Undergraduate student, Department of Veterinary Medicine, School of Health Sciences, Aristotle University of Thessaloniki, Greece</w:t>
      </w:r>
    </w:p>
    <w:p w14:paraId="2B7DD140" w14:textId="77777777" w:rsidR="00B3096C" w:rsidRPr="00B3096C" w:rsidRDefault="00B3096C">
      <w:pPr>
        <w:numPr>
          <w:ilvl w:val="0"/>
          <w:numId w:val="142"/>
        </w:numPr>
        <w:jc w:val="both"/>
      </w:pPr>
      <w:r w:rsidRPr="00B3096C">
        <w:t>Veterinarian, PhD, Professor, Surgery and Obstetrics Clinic, Companion Animal Clinic, Department of Veterinary Medicine, School of Health Sciences, Aristotle University of Thessaloniki, Greece</w:t>
      </w:r>
    </w:p>
    <w:p w14:paraId="14D14F55" w14:textId="77777777" w:rsidR="00B3096C" w:rsidRPr="00B3096C" w:rsidRDefault="00B3096C">
      <w:pPr>
        <w:numPr>
          <w:ilvl w:val="0"/>
          <w:numId w:val="142"/>
        </w:numPr>
        <w:jc w:val="both"/>
      </w:pPr>
      <w:r w:rsidRPr="00B3096C">
        <w:t>Veterinarian, PhD, Contract Lecturer, Surgery and Obstetrics Clinic, Companion Animal Clinic, Department of Veterinary Medicine, School of Health Sciences, Aristotle University of Thessaloniki, Greece</w:t>
      </w:r>
    </w:p>
    <w:p w14:paraId="3CDD2381" w14:textId="77777777" w:rsidR="00B3096C" w:rsidRPr="00B3096C" w:rsidRDefault="00B3096C" w:rsidP="00B3096C">
      <w:pPr>
        <w:jc w:val="both"/>
      </w:pPr>
    </w:p>
    <w:p w14:paraId="0AA7EB7A" w14:textId="77777777" w:rsidR="00B3096C" w:rsidRPr="00B3096C" w:rsidRDefault="00B3096C" w:rsidP="00B3096C">
      <w:pPr>
        <w:jc w:val="both"/>
      </w:pPr>
      <w:r w:rsidRPr="00B3096C">
        <w:rPr>
          <w:b/>
          <w:bCs/>
        </w:rPr>
        <w:t>Abstract</w:t>
      </w:r>
    </w:p>
    <w:p w14:paraId="6701521A" w14:textId="77777777" w:rsidR="00B3096C" w:rsidRPr="00B3096C" w:rsidRDefault="00B3096C" w:rsidP="00B3096C">
      <w:pPr>
        <w:jc w:val="both"/>
      </w:pPr>
      <w:r w:rsidRPr="00B3096C">
        <w:rPr>
          <w:b/>
          <w:bCs/>
        </w:rPr>
        <w:t> </w:t>
      </w:r>
      <w:r w:rsidRPr="00B3096C">
        <w:t>Total hip replacement (THR) is considered the treatment of choice for the definitive restoration of mobility in dogs suffering from chronic, painful and degenerative arthritis, that does not respond to conservative management. The aim of the procedure is to recreate a functional joint and improve the patient’s quality of life by replacing the femoral head and the acetabulum with prosthetic implants.</w:t>
      </w:r>
    </w:p>
    <w:p w14:paraId="38B7A4C9" w14:textId="77777777" w:rsidR="00B3096C" w:rsidRPr="00B3096C" w:rsidRDefault="00B3096C" w:rsidP="00B3096C">
      <w:pPr>
        <w:jc w:val="both"/>
      </w:pPr>
      <w:r w:rsidRPr="00B3096C">
        <w:t> The success of the surgery heavily relies on careful patient selection, considering the completion of musculoskeletal growth, the overall systemic health of the dog, and the thorough exclusion of neurological disorders or potential sources of infection. Emphasis is given on thorough preoperative planning to ensure the accurate selection of implant size.</w:t>
      </w:r>
    </w:p>
    <w:p w14:paraId="783977BA" w14:textId="77777777" w:rsidR="00B3096C" w:rsidRPr="00B3096C" w:rsidRDefault="00B3096C" w:rsidP="00B3096C">
      <w:pPr>
        <w:jc w:val="both"/>
      </w:pPr>
      <w:r w:rsidRPr="00B3096C">
        <w:t> The present study outlines the fundamental principles of the surgical technique, the main surgical stages and critical intraoperative considerations such as maintaining hemodynamic stability and the use of multimodal analgesia. Key postoperative recommendations and the most common complications are also discussed.</w:t>
      </w:r>
    </w:p>
    <w:p w14:paraId="4FB30A10" w14:textId="77777777" w:rsidR="00B3096C" w:rsidRPr="00B3096C" w:rsidRDefault="00B3096C" w:rsidP="00B3096C">
      <w:pPr>
        <w:jc w:val="both"/>
      </w:pPr>
    </w:p>
    <w:p w14:paraId="2295EC71" w14:textId="77777777" w:rsidR="00B3096C" w:rsidRPr="00B3096C" w:rsidRDefault="00B3096C" w:rsidP="00B3096C">
      <w:pPr>
        <w:jc w:val="both"/>
      </w:pPr>
      <w:r w:rsidRPr="00B3096C">
        <w:rPr>
          <w:b/>
          <w:bCs/>
        </w:rPr>
        <w:t>Bibliography</w:t>
      </w:r>
    </w:p>
    <w:p w14:paraId="6C9C82B7" w14:textId="77777777" w:rsidR="00B3096C" w:rsidRPr="00B3096C" w:rsidRDefault="00B3096C" w:rsidP="00B3096C">
      <w:pPr>
        <w:jc w:val="both"/>
      </w:pPr>
      <w:r w:rsidRPr="00B3096C">
        <w:t xml:space="preserve">Arias, S. A., Blanco, J. R. T., Doretto, J. V., Vieira, G. L. T., Oliveira, H. P., &amp; Rezende, C. M. F. (2013). </w:t>
      </w:r>
      <w:r w:rsidRPr="00B3096C">
        <w:rPr>
          <w:i/>
          <w:iCs/>
        </w:rPr>
        <w:t>Modified cementless total coxofemoral prosthesis: development, implantation and clinical evaluation</w:t>
      </w:r>
      <w:r w:rsidRPr="00B3096C">
        <w:t xml:space="preserve">. </w:t>
      </w:r>
      <w:r w:rsidRPr="00B3096C">
        <w:rPr>
          <w:i/>
          <w:iCs/>
        </w:rPr>
        <w:t>Arquivo Brasileiro de Medicina Veterinária e Zootecnia, 65</w:t>
      </w:r>
      <w:r w:rsidRPr="00B3096C">
        <w:t>(6), 1660–1672.</w:t>
      </w:r>
    </w:p>
    <w:p w14:paraId="4B4F9440" w14:textId="77777777" w:rsidR="00B3096C" w:rsidRPr="00B3096C" w:rsidRDefault="00B3096C" w:rsidP="00B3096C">
      <w:pPr>
        <w:jc w:val="both"/>
      </w:pPr>
      <w:r w:rsidRPr="00B3096C">
        <w:t xml:space="preserve">BioMedtrix. </w:t>
      </w:r>
      <w:r w:rsidRPr="00B3096C">
        <w:rPr>
          <w:i/>
          <w:iCs/>
        </w:rPr>
        <w:t>(n.d.). Total hip replacement</w:t>
      </w:r>
      <w:r w:rsidRPr="00B3096C">
        <w:t>.</w:t>
      </w:r>
    </w:p>
    <w:p w14:paraId="46F73923" w14:textId="77777777" w:rsidR="00B3096C" w:rsidRPr="00B3096C" w:rsidRDefault="00B3096C" w:rsidP="00B3096C">
      <w:pPr>
        <w:jc w:val="both"/>
      </w:pPr>
      <w:r w:rsidRPr="00B3096C">
        <w:t xml:space="preserve">Chantziaras, V., Pink, J., Kulendra, E., Easter, T. G., Bilmont, A., &amp; Gemmill, T. J. (2021). </w:t>
      </w:r>
      <w:r w:rsidRPr="00B3096C">
        <w:rPr>
          <w:i/>
          <w:iCs/>
        </w:rPr>
        <w:t>Ventral acetabular augmentation for management of caudoventral luxation following total hip replacement in dogs</w:t>
      </w:r>
      <w:r w:rsidRPr="00B3096C">
        <w:t xml:space="preserve">. </w:t>
      </w:r>
      <w:r w:rsidRPr="00B3096C">
        <w:rPr>
          <w:i/>
          <w:iCs/>
        </w:rPr>
        <w:t>Journal of Small Animal Practice, 63</w:t>
      </w:r>
      <w:r w:rsidRPr="00B3096C">
        <w:t>(1), 34–44.</w:t>
      </w:r>
    </w:p>
    <w:p w14:paraId="1557BE0C" w14:textId="77777777" w:rsidR="00B3096C" w:rsidRPr="00B3096C" w:rsidRDefault="00B3096C" w:rsidP="00B3096C">
      <w:pPr>
        <w:jc w:val="both"/>
      </w:pPr>
      <w:r w:rsidRPr="00B3096C">
        <w:t xml:space="preserve">Enztec. </w:t>
      </w:r>
      <w:r w:rsidRPr="00B3096C">
        <w:rPr>
          <w:i/>
          <w:iCs/>
        </w:rPr>
        <w:t>(n.d.). Acetabular reamers: orthopedic instruments</w:t>
      </w:r>
      <w:r w:rsidRPr="00B3096C">
        <w:t>.</w:t>
      </w:r>
    </w:p>
    <w:p w14:paraId="62228D07" w14:textId="77777777" w:rsidR="00B3096C" w:rsidRPr="00B3096C" w:rsidRDefault="00B3096C" w:rsidP="00B3096C">
      <w:pPr>
        <w:jc w:val="both"/>
      </w:pPr>
      <w:r w:rsidRPr="00B3096C">
        <w:t xml:space="preserve">Global Vet Specialists. </w:t>
      </w:r>
      <w:r w:rsidRPr="00B3096C">
        <w:rPr>
          <w:i/>
          <w:iCs/>
        </w:rPr>
        <w:t>(2017). Total hip replacement risks and complications</w:t>
      </w:r>
      <w:r w:rsidRPr="00B3096C">
        <w:t>.</w:t>
      </w:r>
    </w:p>
    <w:p w14:paraId="628927FF" w14:textId="77777777" w:rsidR="00B3096C" w:rsidRPr="00B3096C" w:rsidRDefault="00B3096C" w:rsidP="00B3096C">
      <w:pPr>
        <w:jc w:val="both"/>
      </w:pPr>
      <w:r w:rsidRPr="00B3096C">
        <w:t xml:space="preserve">Grivas, I. (2020). </w:t>
      </w:r>
      <w:r w:rsidRPr="00B3096C">
        <w:rPr>
          <w:i/>
          <w:iCs/>
        </w:rPr>
        <w:t>Comparative anatomy of domestic mammals: Atlas of the locomotor system</w:t>
      </w:r>
      <w:r w:rsidRPr="00B3096C">
        <w:t xml:space="preserve"> (Ch. 3.5, pp. 49–64).</w:t>
      </w:r>
    </w:p>
    <w:p w14:paraId="42D05567" w14:textId="77777777" w:rsidR="00B3096C" w:rsidRPr="00B3096C" w:rsidRDefault="00B3096C" w:rsidP="00B3096C">
      <w:pPr>
        <w:jc w:val="both"/>
      </w:pPr>
      <w:r w:rsidRPr="00B3096C">
        <w:lastRenderedPageBreak/>
        <w:t xml:space="preserve">Haslam, N., Halvey, E., &amp; Scott, C. (2024). </w:t>
      </w:r>
      <w:r w:rsidRPr="00B3096C">
        <w:rPr>
          <w:i/>
          <w:iCs/>
        </w:rPr>
        <w:t>Perioperative care of patients undergoing total hip arthroplasty</w:t>
      </w:r>
      <w:r w:rsidRPr="00B3096C">
        <w:t xml:space="preserve">. </w:t>
      </w:r>
      <w:r w:rsidRPr="00B3096C">
        <w:rPr>
          <w:i/>
          <w:iCs/>
        </w:rPr>
        <w:t>BJA Education, 24</w:t>
      </w:r>
      <w:r w:rsidRPr="00B3096C">
        <w:t>(6), 183–190.</w:t>
      </w:r>
    </w:p>
    <w:p w14:paraId="4D691C3F" w14:textId="77777777" w:rsidR="00B3096C" w:rsidRPr="00B3096C" w:rsidRDefault="00B3096C" w:rsidP="00B3096C">
      <w:pPr>
        <w:jc w:val="both"/>
      </w:pPr>
      <w:r w:rsidRPr="00B3096C">
        <w:t xml:space="preserve">McCartney, W., &amp; Ober, C. (2023). </w:t>
      </w:r>
      <w:r w:rsidRPr="00B3096C">
        <w:rPr>
          <w:i/>
          <w:iCs/>
        </w:rPr>
        <w:t>Case report: total hip replacement using Innoplant system in a dog with chronic hip luxation and contralateral pelvic limb amputation</w:t>
      </w:r>
      <w:r w:rsidRPr="00B3096C">
        <w:t xml:space="preserve">. </w:t>
      </w:r>
      <w:r w:rsidRPr="00B3096C">
        <w:rPr>
          <w:i/>
          <w:iCs/>
        </w:rPr>
        <w:t>Frontiers in Veterinary Science, 10</w:t>
      </w:r>
      <w:r w:rsidRPr="00B3096C">
        <w:t>.</w:t>
      </w:r>
    </w:p>
    <w:p w14:paraId="546D6FD5" w14:textId="77777777" w:rsidR="00B3096C" w:rsidRPr="00B3096C" w:rsidRDefault="00B3096C" w:rsidP="00B3096C">
      <w:pPr>
        <w:jc w:val="both"/>
      </w:pPr>
      <w:r w:rsidRPr="00B3096C">
        <w:t xml:space="preserve">Meril Life. </w:t>
      </w:r>
      <w:r w:rsidRPr="00B3096C">
        <w:rPr>
          <w:i/>
          <w:iCs/>
        </w:rPr>
        <w:t>(n.d.). Latitude cemented femoral stem hip implant</w:t>
      </w:r>
      <w:r w:rsidRPr="00B3096C">
        <w:t>.</w:t>
      </w:r>
    </w:p>
    <w:p w14:paraId="05681B25" w14:textId="77777777" w:rsidR="00B3096C" w:rsidRPr="00B3096C" w:rsidRDefault="00B3096C" w:rsidP="00B3096C">
      <w:pPr>
        <w:jc w:val="both"/>
      </w:pPr>
      <w:r w:rsidRPr="00B3096C">
        <w:t xml:space="preserve">Monotti, I. C., &amp; Preston, C. A. (2020). </w:t>
      </w:r>
      <w:r w:rsidRPr="00B3096C">
        <w:rPr>
          <w:i/>
          <w:iCs/>
        </w:rPr>
        <w:t>Treatment outcomes for periprosthetic femoral fractures in cementless press-fit total hip replacement</w:t>
      </w:r>
      <w:r w:rsidRPr="00B3096C">
        <w:t xml:space="preserve">. </w:t>
      </w:r>
      <w:r w:rsidRPr="00B3096C">
        <w:rPr>
          <w:i/>
          <w:iCs/>
        </w:rPr>
        <w:t>Veterinary and Comparative Orthopaedics and Traumatology, 33</w:t>
      </w:r>
      <w:r w:rsidRPr="00B3096C">
        <w:t>(5), 370–376.</w:t>
      </w:r>
    </w:p>
    <w:p w14:paraId="05E608FA" w14:textId="77777777" w:rsidR="00B3096C" w:rsidRPr="00B3096C" w:rsidRDefault="00B3096C" w:rsidP="00B3096C">
      <w:pPr>
        <w:jc w:val="both"/>
      </w:pPr>
      <w:r w:rsidRPr="00B3096C">
        <w:t xml:space="preserve">Piermattei, D. L., Brinker, W. O., &amp; Flo, G. L. (2006). </w:t>
      </w:r>
      <w:r w:rsidRPr="00B3096C">
        <w:rPr>
          <w:i/>
          <w:iCs/>
        </w:rPr>
        <w:t>Handbook of small animal orthopedics and fracture repair</w:t>
      </w:r>
      <w:r w:rsidRPr="00B3096C">
        <w:t xml:space="preserve"> (4th ed.). Saunders Elsevier.</w:t>
      </w:r>
    </w:p>
    <w:p w14:paraId="64F30A94" w14:textId="77777777" w:rsidR="00B3096C" w:rsidRPr="00B3096C" w:rsidRDefault="00B3096C" w:rsidP="00B3096C">
      <w:pPr>
        <w:jc w:val="both"/>
      </w:pPr>
      <w:r w:rsidRPr="00B3096C">
        <w:t xml:space="preserve">Venkatesh, N., Reddy, K. J., Chandra Sekhar, E. L., &amp; Rajendranath, N. (2024). </w:t>
      </w:r>
      <w:r w:rsidRPr="00B3096C">
        <w:rPr>
          <w:i/>
          <w:iCs/>
        </w:rPr>
        <w:t>A clinical study on total hip replacement using cemented prosthetics for management of hip dysplasia in dogs</w:t>
      </w:r>
      <w:r w:rsidRPr="00B3096C">
        <w:t xml:space="preserve">. </w:t>
      </w:r>
      <w:r w:rsidRPr="00B3096C">
        <w:rPr>
          <w:i/>
          <w:iCs/>
        </w:rPr>
        <w:t>Indian Journal of Animal Research, 58</w:t>
      </w:r>
      <w:r w:rsidRPr="00B3096C">
        <w:t>(8), 1283–1293.</w:t>
      </w:r>
    </w:p>
    <w:p w14:paraId="5AE9AC9A" w14:textId="77777777" w:rsidR="00B3096C" w:rsidRPr="00B3096C" w:rsidRDefault="00B3096C" w:rsidP="00B3096C">
      <w:pPr>
        <w:jc w:val="both"/>
      </w:pPr>
      <w:r w:rsidRPr="00B3096C">
        <w:t xml:space="preserve">Webber, E. J., Tran, T., June, R., Healy, E., Andrews, T. M., Younkin, R., MacDonald, J., &amp; Adams, E. S. (2021). </w:t>
      </w:r>
      <w:r w:rsidRPr="00B3096C">
        <w:rPr>
          <w:i/>
          <w:iCs/>
        </w:rPr>
        <w:t>WOMAC score and arthritis diagnosis predict decreased agricultural productivity</w:t>
      </w:r>
      <w:r w:rsidRPr="00B3096C">
        <w:t xml:space="preserve">. </w:t>
      </w:r>
      <w:r w:rsidRPr="00B3096C">
        <w:rPr>
          <w:i/>
          <w:iCs/>
        </w:rPr>
        <w:t>BMC Musculoskeletal Disorders, 22</w:t>
      </w:r>
      <w:r w:rsidRPr="00B3096C">
        <w:t>, 181.</w:t>
      </w:r>
    </w:p>
    <w:p w14:paraId="518F6BCF" w14:textId="77777777" w:rsidR="00B3096C" w:rsidRDefault="00B3096C" w:rsidP="00B3096C">
      <w:pPr>
        <w:jc w:val="both"/>
      </w:pP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p>
    <w:p w14:paraId="4CE05283" w14:textId="77777777" w:rsidR="00B3096C" w:rsidRDefault="00B3096C" w:rsidP="00B3096C">
      <w:pPr>
        <w:jc w:val="both"/>
      </w:pPr>
    </w:p>
    <w:p w14:paraId="6E2426A6" w14:textId="77777777" w:rsidR="00B3096C" w:rsidRDefault="00B3096C" w:rsidP="00B3096C">
      <w:pPr>
        <w:jc w:val="both"/>
      </w:pPr>
    </w:p>
    <w:p w14:paraId="198D1A41" w14:textId="77777777" w:rsidR="00B3096C" w:rsidRDefault="00B3096C" w:rsidP="00B3096C">
      <w:pPr>
        <w:jc w:val="both"/>
      </w:pPr>
    </w:p>
    <w:p w14:paraId="6BE41966" w14:textId="77777777" w:rsidR="00B3096C" w:rsidRDefault="00B3096C" w:rsidP="00B3096C">
      <w:pPr>
        <w:jc w:val="both"/>
      </w:pPr>
    </w:p>
    <w:p w14:paraId="26675EAC" w14:textId="77777777" w:rsidR="00B3096C" w:rsidRPr="00B3096C" w:rsidRDefault="00B3096C" w:rsidP="00B3096C">
      <w:pPr>
        <w:jc w:val="both"/>
      </w:pPr>
    </w:p>
    <w:p w14:paraId="0627B234" w14:textId="77777777" w:rsidR="00B3096C" w:rsidRPr="00B3096C" w:rsidRDefault="00B3096C" w:rsidP="00B3096C">
      <w:pPr>
        <w:jc w:val="both"/>
      </w:pPr>
      <w:r w:rsidRPr="00B3096C">
        <w:rPr>
          <w:b/>
          <w:bCs/>
        </w:rPr>
        <w:lastRenderedPageBreak/>
        <w:t>Dogs in action: Diagnostic imaging and physiotherapy in musculoskeletal injuries.</w:t>
      </w:r>
    </w:p>
    <w:p w14:paraId="3BEC2BBD" w14:textId="77777777" w:rsidR="00B3096C" w:rsidRPr="00B3096C" w:rsidRDefault="00B3096C" w:rsidP="00B3096C">
      <w:pPr>
        <w:jc w:val="both"/>
      </w:pPr>
      <w:r w:rsidRPr="00B3096C">
        <w:t>Vasileiadou Efthymia</w:t>
      </w:r>
      <w:r w:rsidRPr="00B3096C">
        <w:rPr>
          <w:vertAlign w:val="superscript"/>
        </w:rPr>
        <w:t>1</w:t>
      </w:r>
      <w:r w:rsidRPr="00B3096C">
        <w:t>, Miliaki Nikoletta</w:t>
      </w:r>
      <w:r w:rsidRPr="00B3096C">
        <w:rPr>
          <w:vertAlign w:val="superscript"/>
        </w:rPr>
        <w:t>1</w:t>
      </w:r>
      <w:r w:rsidRPr="00B3096C">
        <w:t>, Psarros Dimitrios</w:t>
      </w:r>
      <w:r w:rsidRPr="00B3096C">
        <w:rPr>
          <w:vertAlign w:val="superscript"/>
        </w:rPr>
        <w:t>1</w:t>
      </w:r>
      <w:r w:rsidRPr="00B3096C">
        <w:t>, Pappa Elena</w:t>
      </w:r>
      <w:r w:rsidRPr="00B3096C">
        <w:rPr>
          <w:vertAlign w:val="superscript"/>
        </w:rPr>
        <w:t>2</w:t>
      </w:r>
    </w:p>
    <w:p w14:paraId="6E56CA00" w14:textId="77777777" w:rsidR="00B3096C" w:rsidRPr="00B3096C" w:rsidRDefault="00B3096C">
      <w:pPr>
        <w:numPr>
          <w:ilvl w:val="0"/>
          <w:numId w:val="143"/>
        </w:numPr>
        <w:jc w:val="both"/>
      </w:pPr>
      <w:r w:rsidRPr="00B3096C">
        <w:t>Undergraduate Student, Department of Veterinary Medicine, School of Health Sciences, University of Thessaly</w:t>
      </w:r>
    </w:p>
    <w:p w14:paraId="129041C3" w14:textId="77777777" w:rsidR="00B3096C" w:rsidRDefault="00B3096C">
      <w:pPr>
        <w:numPr>
          <w:ilvl w:val="0"/>
          <w:numId w:val="143"/>
        </w:numPr>
        <w:jc w:val="both"/>
      </w:pPr>
      <w:r w:rsidRPr="00B3096C">
        <w:t>Veterinarian, PhD in surgery, Contract Lecturer, Department of Veterinary Medicine, School of Health Sciences, University of Thessaly</w:t>
      </w:r>
    </w:p>
    <w:p w14:paraId="48544AAB" w14:textId="77777777" w:rsidR="00B3096C" w:rsidRPr="00B3096C" w:rsidRDefault="00B3096C" w:rsidP="00B3096C">
      <w:pPr>
        <w:ind w:left="720"/>
        <w:jc w:val="both"/>
      </w:pPr>
    </w:p>
    <w:p w14:paraId="43378EB6" w14:textId="77777777" w:rsidR="00B3096C" w:rsidRPr="00B3096C" w:rsidRDefault="00B3096C" w:rsidP="00B3096C">
      <w:pPr>
        <w:jc w:val="both"/>
      </w:pPr>
      <w:r w:rsidRPr="00B3096C">
        <w:rPr>
          <w:b/>
          <w:bCs/>
        </w:rPr>
        <w:t>Abstract</w:t>
      </w:r>
    </w:p>
    <w:p w14:paraId="290CF29A" w14:textId="178AB735" w:rsidR="00B3096C" w:rsidRDefault="00B3096C" w:rsidP="00B3096C">
      <w:pPr>
        <w:jc w:val="both"/>
      </w:pPr>
      <w:r w:rsidRPr="00B3096C">
        <w:t> Dogs engaged in intense athletic activity frequently are at increased risk of musculoskeletal injury, with Border Collies, Belgian Malinois, Labrador Retrievers and Greyhounds demonstrating a higher predisposition. The anatomical location of the injury is directly associated with the type of sport or work the dog participates in. Various imaging modalities are utilised for the diagnosis and monitoring of injury healing, with ultrasound and radiography serving as representative techniques. At the same time, physiotherapy constitutes one of the most useful and effective non-invasive therapeutic methods in the management of musculoskeletal injuries. Diagnostic imaging and physiotherapy represent valuable approaches in veterinary orthopedics. Therefore, their utilization in clinical practice is considered essential for optimizing the management of musculoskeletal injuries in canine athletes. </w:t>
      </w:r>
    </w:p>
    <w:p w14:paraId="6EF6E6C2" w14:textId="77777777" w:rsidR="00B3096C" w:rsidRPr="00B3096C" w:rsidRDefault="00B3096C" w:rsidP="00B3096C">
      <w:pPr>
        <w:jc w:val="both"/>
      </w:pPr>
    </w:p>
    <w:p w14:paraId="70C3C0C7" w14:textId="77777777" w:rsidR="00B3096C" w:rsidRPr="00B3096C" w:rsidRDefault="00B3096C" w:rsidP="00B3096C">
      <w:pPr>
        <w:jc w:val="both"/>
        <w:rPr>
          <w:b/>
          <w:bCs/>
        </w:rPr>
      </w:pPr>
      <w:r w:rsidRPr="00B3096C">
        <w:rPr>
          <w:b/>
          <w:bCs/>
        </w:rPr>
        <w:t>Bibliography</w:t>
      </w:r>
    </w:p>
    <w:p w14:paraId="236E6255" w14:textId="10FFA3FB" w:rsidR="00B3096C" w:rsidRPr="00B3096C" w:rsidRDefault="00B3096C" w:rsidP="00B3096C">
      <w:pPr>
        <w:jc w:val="both"/>
      </w:pPr>
      <w:r w:rsidRPr="00B3096C">
        <w:t xml:space="preserve">Altınkaya, N., Kavlak, E., Özgencil, F., &amp; Çağatay, S. (2024). PHYSIOTHERAPY IN DOGS WITH HIP OSTEOARTHRITIS – EFFECTS ON PAIN, MUSCLE AND LAMENESS: A RANDOMISED CONTROLLED TRIAL. </w:t>
      </w:r>
      <w:r w:rsidRPr="00B3096C">
        <w:rPr>
          <w:i/>
          <w:iCs/>
        </w:rPr>
        <w:t>Turkish Journal of Physiotherapy and Rehabiliation, 35</w:t>
      </w:r>
      <w:r w:rsidRPr="00B3096C">
        <w:t>(2), pp. 198-205.</w:t>
      </w:r>
    </w:p>
    <w:p w14:paraId="2D0D7C68" w14:textId="3A427F45" w:rsidR="00B3096C" w:rsidRPr="00B3096C" w:rsidRDefault="00B3096C" w:rsidP="00B3096C">
      <w:pPr>
        <w:jc w:val="both"/>
      </w:pPr>
      <w:r w:rsidRPr="00B3096C">
        <w:t xml:space="preserve">C Alves, J., Santos, A., Jorge, P., Lavrador, C., &amp; Carreira, J. (2021). Comparison of clinical and radiographic signs of hip osteoarthritis in contralateral hip joints of fifty working dogs. </w:t>
      </w:r>
      <w:r w:rsidRPr="00B3096C">
        <w:rPr>
          <w:i/>
          <w:iCs/>
        </w:rPr>
        <w:t>PLOS ONE, 16</w:t>
      </w:r>
      <w:r w:rsidRPr="00B3096C">
        <w:t>(3), p. e0248767. </w:t>
      </w:r>
    </w:p>
    <w:p w14:paraId="0271D2D4" w14:textId="24193E8E" w:rsidR="00B3096C" w:rsidRPr="00B3096C" w:rsidRDefault="00B3096C" w:rsidP="00B3096C">
      <w:pPr>
        <w:jc w:val="both"/>
      </w:pPr>
      <w:r w:rsidRPr="00B3096C">
        <w:t xml:space="preserve">C. Alves, J., Santos, A., Jorge, P., Lavrador, C., &amp; Careirra, L. (2020). Clinical and diagnostic imaging findings in police working dogs referred for hip osteoarthritis. </w:t>
      </w:r>
      <w:r w:rsidRPr="00B3096C">
        <w:rPr>
          <w:i/>
          <w:iCs/>
        </w:rPr>
        <w:t>BMC Veterinary Research, 16</w:t>
      </w:r>
      <w:r w:rsidRPr="00B3096C">
        <w:t>, p. 425. </w:t>
      </w:r>
    </w:p>
    <w:p w14:paraId="36D81DEE" w14:textId="778181CF" w:rsidR="00B3096C" w:rsidRPr="00B3096C" w:rsidRDefault="00B3096C" w:rsidP="00B3096C">
      <w:pPr>
        <w:jc w:val="both"/>
      </w:pPr>
      <w:r w:rsidRPr="00B3096C">
        <w:t xml:space="preserve">Essner, A., Kjellerstedt, C., Hesbach, A., &amp; Igelstrom, H. (2024). Injuries and Associated Factors in Swedish Sporting and Utility Trial Dogs—A Cross-Sectional Study. </w:t>
      </w:r>
      <w:r w:rsidRPr="00B3096C">
        <w:rPr>
          <w:i/>
          <w:iCs/>
        </w:rPr>
        <w:t>Animals, 14</w:t>
      </w:r>
      <w:r w:rsidRPr="00B3096C">
        <w:t>(3), p. 398.</w:t>
      </w:r>
    </w:p>
    <w:p w14:paraId="6DAA88B0" w14:textId="3E5DD331" w:rsidR="00B3096C" w:rsidRPr="00B3096C" w:rsidRDefault="00B3096C" w:rsidP="00B3096C">
      <w:pPr>
        <w:jc w:val="both"/>
      </w:pPr>
      <w:r w:rsidRPr="00B3096C">
        <w:t xml:space="preserve">Grazia Entani, M., Franini, A., Dragone, L., Barella, G., De Rensis, F., &amp; Spattini, G. (2022). Efficacy of Serial Ultrasonographic Examinations in Predicting Return to Play in Agility Dogs with Shoulder Lameness. </w:t>
      </w:r>
      <w:r w:rsidRPr="00B3096C">
        <w:rPr>
          <w:i/>
          <w:iCs/>
        </w:rPr>
        <w:t>Animals, 12</w:t>
      </w:r>
      <w:r w:rsidRPr="00B3096C">
        <w:t>(1), p. 78. </w:t>
      </w:r>
    </w:p>
    <w:p w14:paraId="47D916D3" w14:textId="307BD558" w:rsidR="00B3096C" w:rsidRPr="00B3096C" w:rsidRDefault="00B3096C" w:rsidP="00B3096C">
      <w:pPr>
        <w:jc w:val="both"/>
      </w:pPr>
      <w:r w:rsidRPr="00B3096C">
        <w:t xml:space="preserve">Hyytiainen, H., Molsa, S., Junnila, J., Laitinen- Vappavuori, O., &amp; Hielme- Bjorkman , A. (2013). Ranking of physiotherapeutic evaluation methods as outcome measures of stifle functionality in dogs. </w:t>
      </w:r>
      <w:r w:rsidRPr="00B3096C">
        <w:rPr>
          <w:i/>
          <w:iCs/>
        </w:rPr>
        <w:t>Acta Veterinaria Scandinavica, 55</w:t>
      </w:r>
      <w:r w:rsidRPr="00B3096C">
        <w:t>(1), p. 29. </w:t>
      </w:r>
    </w:p>
    <w:p w14:paraId="2E122293" w14:textId="19B462F1" w:rsidR="00B3096C" w:rsidRPr="00B3096C" w:rsidRDefault="00B3096C" w:rsidP="00B3096C">
      <w:pPr>
        <w:jc w:val="both"/>
      </w:pPr>
      <w:r w:rsidRPr="00B3096C">
        <w:t xml:space="preserve">Mille, M., McClement, J., &amp; Lauer, S. (2023). Physiotherapeutic Strategies and Their Current Evidence for Canine Osteoarthritis. </w:t>
      </w:r>
      <w:r w:rsidRPr="00B3096C">
        <w:rPr>
          <w:i/>
          <w:iCs/>
        </w:rPr>
        <w:t>veterinary sciences, 10</w:t>
      </w:r>
      <w:r w:rsidRPr="00B3096C">
        <w:t>(1), p. 2. </w:t>
      </w:r>
    </w:p>
    <w:p w14:paraId="08C52D4F" w14:textId="77777777" w:rsidR="00B3096C" w:rsidRPr="00B3096C" w:rsidRDefault="00B3096C" w:rsidP="00B3096C">
      <w:pPr>
        <w:jc w:val="both"/>
      </w:pPr>
      <w:r w:rsidRPr="00B3096C">
        <w:lastRenderedPageBreak/>
        <w:t xml:space="preserve">W. Brunke , M., Levine, D., J. Marcelline- Little, D., Oliver, K., &amp; A. Barnhard, J. (2023). Musculoskeletal Problems in Sporting Dogs. </w:t>
      </w:r>
      <w:r w:rsidRPr="00B3096C">
        <w:rPr>
          <w:i/>
          <w:iCs/>
        </w:rPr>
        <w:t>Advances in Small Animal Care, 4</w:t>
      </w:r>
      <w:r w:rsidRPr="00B3096C">
        <w:t>(1), pp. 53-60. </w:t>
      </w:r>
    </w:p>
    <w:p w14:paraId="37E6CDE2" w14:textId="77777777" w:rsidR="00B3096C" w:rsidRDefault="00B3096C" w:rsidP="00B3096C">
      <w:pPr>
        <w:jc w:val="both"/>
      </w:pP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p>
    <w:p w14:paraId="250074F4" w14:textId="77777777" w:rsidR="00B3096C" w:rsidRDefault="00B3096C" w:rsidP="00B3096C">
      <w:pPr>
        <w:jc w:val="both"/>
      </w:pPr>
    </w:p>
    <w:p w14:paraId="3B41D63E" w14:textId="77777777" w:rsidR="00B3096C" w:rsidRDefault="00B3096C" w:rsidP="00B3096C">
      <w:pPr>
        <w:jc w:val="both"/>
      </w:pPr>
    </w:p>
    <w:p w14:paraId="077D57D7" w14:textId="77777777" w:rsidR="00B3096C" w:rsidRDefault="00B3096C" w:rsidP="00B3096C">
      <w:pPr>
        <w:jc w:val="both"/>
      </w:pPr>
    </w:p>
    <w:p w14:paraId="78DE1517" w14:textId="77777777" w:rsidR="00B3096C" w:rsidRDefault="00B3096C" w:rsidP="00B3096C">
      <w:pPr>
        <w:jc w:val="both"/>
      </w:pPr>
    </w:p>
    <w:p w14:paraId="6843228E" w14:textId="77777777" w:rsidR="00B3096C" w:rsidRDefault="00B3096C" w:rsidP="00B3096C">
      <w:pPr>
        <w:jc w:val="both"/>
      </w:pPr>
    </w:p>
    <w:p w14:paraId="5671A5A4" w14:textId="77777777" w:rsidR="00B3096C" w:rsidRDefault="00B3096C" w:rsidP="00B3096C">
      <w:pPr>
        <w:jc w:val="both"/>
      </w:pPr>
    </w:p>
    <w:p w14:paraId="6A6458B5" w14:textId="77777777" w:rsidR="00B3096C" w:rsidRDefault="00B3096C" w:rsidP="00B3096C">
      <w:pPr>
        <w:jc w:val="both"/>
      </w:pPr>
    </w:p>
    <w:p w14:paraId="32902A25" w14:textId="77777777" w:rsidR="00B3096C" w:rsidRDefault="00B3096C" w:rsidP="00B3096C">
      <w:pPr>
        <w:jc w:val="both"/>
      </w:pPr>
    </w:p>
    <w:p w14:paraId="20487140" w14:textId="77777777" w:rsidR="00B3096C" w:rsidRDefault="00B3096C" w:rsidP="00B3096C">
      <w:pPr>
        <w:jc w:val="both"/>
      </w:pPr>
    </w:p>
    <w:p w14:paraId="65D2FD7F" w14:textId="77777777" w:rsidR="00B3096C" w:rsidRDefault="00B3096C" w:rsidP="00B3096C">
      <w:pPr>
        <w:jc w:val="both"/>
      </w:pPr>
    </w:p>
    <w:p w14:paraId="2FE2F95A" w14:textId="77777777" w:rsidR="00B3096C" w:rsidRDefault="00B3096C" w:rsidP="00B3096C">
      <w:pPr>
        <w:jc w:val="both"/>
      </w:pPr>
    </w:p>
    <w:p w14:paraId="0F67E341" w14:textId="6A53E772" w:rsidR="00B3096C" w:rsidRPr="00B3096C" w:rsidRDefault="00B3096C" w:rsidP="00B3096C">
      <w:pPr>
        <w:jc w:val="both"/>
      </w:pPr>
      <w:r w:rsidRPr="00B3096C">
        <w:br/>
      </w:r>
    </w:p>
    <w:p w14:paraId="6EF78E18" w14:textId="3184AB9E" w:rsidR="00B3096C" w:rsidRPr="00B3096C" w:rsidRDefault="00B3096C" w:rsidP="00B3096C">
      <w:pPr>
        <w:jc w:val="both"/>
      </w:pPr>
      <w:r w:rsidRPr="00B3096C">
        <w:rPr>
          <w:b/>
          <w:bCs/>
        </w:rPr>
        <w:lastRenderedPageBreak/>
        <w:t>Antiparasitic treatment in cattle: environmental impact and management practices of pharmaceutical residues with a low ecological footprint.</w:t>
      </w:r>
    </w:p>
    <w:p w14:paraId="2A1323AF" w14:textId="77777777" w:rsidR="00B3096C" w:rsidRPr="00B3096C" w:rsidRDefault="00B3096C" w:rsidP="00B3096C">
      <w:pPr>
        <w:jc w:val="both"/>
      </w:pPr>
      <w:r w:rsidRPr="00B3096C">
        <w:t>Dimosthenous Aikaterini¹, Kakouli Stefania¹, Kardakari Theodora¹, Kalamaras Sotirios²</w:t>
      </w:r>
    </w:p>
    <w:p w14:paraId="3B4CB8E1" w14:textId="77777777" w:rsidR="00B3096C" w:rsidRPr="00B3096C" w:rsidRDefault="00B3096C">
      <w:pPr>
        <w:numPr>
          <w:ilvl w:val="0"/>
          <w:numId w:val="144"/>
        </w:numPr>
        <w:jc w:val="both"/>
      </w:pPr>
      <w:r w:rsidRPr="00B3096C">
        <w:t>Undergraduate student, School of Veterinary Medicine, School of Health Sciences, Aristotle University of Thessaloniki.</w:t>
      </w:r>
    </w:p>
    <w:p w14:paraId="095D7472" w14:textId="77777777" w:rsidR="00B3096C" w:rsidRPr="00B3096C" w:rsidRDefault="00B3096C">
      <w:pPr>
        <w:numPr>
          <w:ilvl w:val="0"/>
          <w:numId w:val="144"/>
        </w:numPr>
        <w:jc w:val="both"/>
      </w:pPr>
      <w:r w:rsidRPr="00B3096C">
        <w:t>Assistant Professor, School of Veterinary Medicine, School of Health Sciences, Aristotle University of Thessaloniki.</w:t>
      </w:r>
    </w:p>
    <w:p w14:paraId="6148F1AF" w14:textId="77777777" w:rsidR="00B3096C" w:rsidRPr="00B3096C" w:rsidRDefault="00B3096C" w:rsidP="00B3096C">
      <w:pPr>
        <w:jc w:val="both"/>
      </w:pPr>
    </w:p>
    <w:p w14:paraId="466CB039" w14:textId="77777777" w:rsidR="00B3096C" w:rsidRPr="00B3096C" w:rsidRDefault="00B3096C" w:rsidP="00B3096C">
      <w:pPr>
        <w:jc w:val="both"/>
      </w:pPr>
      <w:r w:rsidRPr="00B3096C">
        <w:rPr>
          <w:b/>
          <w:bCs/>
        </w:rPr>
        <w:t>Abstract </w:t>
      </w:r>
    </w:p>
    <w:p w14:paraId="52B158E4" w14:textId="77777777" w:rsidR="00B3096C" w:rsidRPr="00B3096C" w:rsidRDefault="00B3096C" w:rsidP="00B3096C">
      <w:pPr>
        <w:jc w:val="both"/>
      </w:pPr>
      <w:r w:rsidRPr="00B3096C">
        <w:t xml:space="preserve"> The use of antiparasitic substances in cattle is a necessary practice to ensure their health and productivity. However, their widespread application makes it particularly important to assess their environmental impact. This study was based on data collected through our own questionnaire, which was sent to livestock farms and included questions regarding the deworming programs they follow. The results showed that </w:t>
      </w:r>
      <w:r w:rsidRPr="00B3096C">
        <w:rPr>
          <w:i/>
          <w:iCs/>
        </w:rPr>
        <w:t>ivermectin</w:t>
      </w:r>
      <w:r w:rsidRPr="00B3096C">
        <w:t xml:space="preserve">, </w:t>
      </w:r>
      <w:r w:rsidRPr="00B3096C">
        <w:rPr>
          <w:i/>
          <w:iCs/>
        </w:rPr>
        <w:t>doramectin</w:t>
      </w:r>
      <w:r w:rsidRPr="00B3096C">
        <w:t xml:space="preserve">, and </w:t>
      </w:r>
      <w:r w:rsidRPr="00B3096C">
        <w:rPr>
          <w:i/>
          <w:iCs/>
        </w:rPr>
        <w:t>eprinomectin</w:t>
      </w:r>
      <w:r w:rsidRPr="00B3096C">
        <w:t xml:space="preserve"> are among the most widely used antiparasitic substances in the livestock and veterinary community. Subsequently, the problems arising from the use of these drugs were analysed, methods for managing animal waste were proposed, and techniques suitable for reducing pharmaceutical residues were examined. At the same time, innovative solutions and practices concerning livestock farming were formulated, aiming to reduce the ecological footprint. In conclusion, eprinomectin emerged as the most environmentally friendly option, while the need for more consistent implementation of low-impact footprint methods was highlighted. It is worth mentioning that certain research gaps were also identified, which require further investigation.</w:t>
      </w:r>
    </w:p>
    <w:p w14:paraId="78AC0907" w14:textId="49B88F89" w:rsidR="00B3096C" w:rsidRPr="00B3096C" w:rsidRDefault="00B3096C" w:rsidP="00B3096C">
      <w:pPr>
        <w:jc w:val="both"/>
      </w:pPr>
    </w:p>
    <w:p w14:paraId="7AE34873" w14:textId="77777777" w:rsidR="00B3096C" w:rsidRPr="00B3096C" w:rsidRDefault="00B3096C" w:rsidP="00B3096C">
      <w:pPr>
        <w:jc w:val="both"/>
      </w:pPr>
      <w:r w:rsidRPr="00B3096C">
        <w:rPr>
          <w:b/>
          <w:bCs/>
        </w:rPr>
        <w:t>Bibliography</w:t>
      </w:r>
    </w:p>
    <w:p w14:paraId="74125457" w14:textId="48674B04" w:rsidR="00B3096C" w:rsidRPr="00B3096C" w:rsidRDefault="00B3096C" w:rsidP="00B3096C">
      <w:pPr>
        <w:jc w:val="both"/>
      </w:pPr>
      <w:r w:rsidRPr="00B3096C">
        <w:t xml:space="preserve">Kolar, L., Kožuh Eržen, N., Hogerwerf, L., &amp; van Gestel, C. A. M. (2008). Toxicity of abamectin and doramectin to soil invertebrates. </w:t>
      </w:r>
      <w:r w:rsidRPr="00B3096C">
        <w:rPr>
          <w:i/>
          <w:iCs/>
        </w:rPr>
        <w:t>Environmental Pollution, 151</w:t>
      </w:r>
      <w:r w:rsidRPr="00B3096C">
        <w:t xml:space="preserve">(1), 182–189. </w:t>
      </w:r>
      <w:r w:rsidRPr="00B3096C">
        <w:rPr>
          <w:b/>
          <w:bCs/>
        </w:rPr>
        <w:t> </w:t>
      </w:r>
    </w:p>
    <w:p w14:paraId="24DB2CEB" w14:textId="3DB5C6E6" w:rsidR="00B3096C" w:rsidRPr="00B3096C" w:rsidRDefault="00B3096C" w:rsidP="00B3096C">
      <w:pPr>
        <w:jc w:val="both"/>
        <w:rPr>
          <w:lang w:val="en-GB"/>
        </w:rPr>
      </w:pPr>
      <w:r w:rsidRPr="00B3096C">
        <w:t>Sun, Y., Diao, X., Zhang, Q., &amp; Shen, J. (2005). Bioaccumulation and elimination of avermectin B1a in the earthworms (</w:t>
      </w:r>
      <w:r w:rsidRPr="00B3096C">
        <w:rPr>
          <w:i/>
          <w:iCs/>
        </w:rPr>
        <w:t>Eisenia fetida</w:t>
      </w:r>
      <w:r w:rsidRPr="00B3096C">
        <w:t xml:space="preserve">). </w:t>
      </w:r>
      <w:r w:rsidRPr="00B3096C">
        <w:rPr>
          <w:i/>
          <w:iCs/>
        </w:rPr>
        <w:t>Chemosphere, 60</w:t>
      </w:r>
      <w:r w:rsidRPr="00B3096C">
        <w:t>(5), 699–704. </w:t>
      </w:r>
    </w:p>
    <w:p w14:paraId="2D3BD4FC" w14:textId="019C355C" w:rsidR="00B3096C" w:rsidRPr="00B3096C" w:rsidRDefault="00B3096C" w:rsidP="00B3096C">
      <w:pPr>
        <w:jc w:val="both"/>
        <w:rPr>
          <w:lang w:val="en-GB"/>
        </w:rPr>
      </w:pPr>
      <w:r w:rsidRPr="00B3096C">
        <w:t>Προύσαλη Σ.Π. (2009)</w:t>
      </w:r>
      <w:r w:rsidRPr="00B3096C">
        <w:rPr>
          <w:b/>
          <w:bCs/>
          <w:i/>
          <w:iCs/>
        </w:rPr>
        <w:t xml:space="preserve"> </w:t>
      </w:r>
      <w:r w:rsidRPr="00B3096C">
        <w:rPr>
          <w:i/>
          <w:iCs/>
        </w:rPr>
        <w:t>Επίδραση της κτηνιατρικής φαρμακευτικής ουσίας eprinomectin (Β1a) σε σκαθάρια της κοπριάς</w:t>
      </w:r>
      <w:r w:rsidRPr="00B3096C">
        <w:t>. Μεταπτυχιακή διατριβή, Κτηνιατρική σχολή, Αριστοτέλειο Πανεπιστήμιο Θεσσαλονίκης</w:t>
      </w:r>
      <w:r w:rsidRPr="00B3096C">
        <w:rPr>
          <w:b/>
          <w:bCs/>
        </w:rPr>
        <w:t xml:space="preserve"> </w:t>
      </w:r>
      <w:r w:rsidRPr="00B3096C">
        <w:t> </w:t>
      </w:r>
    </w:p>
    <w:p w14:paraId="5BD9DE2B" w14:textId="60B7A8B1" w:rsidR="00B3096C" w:rsidRPr="00B3096C" w:rsidRDefault="00B3096C" w:rsidP="00B3096C">
      <w:pPr>
        <w:jc w:val="both"/>
      </w:pPr>
      <w:r w:rsidRPr="00B3096C">
        <w:t xml:space="preserve">Junquera P.  (2022, February 13). </w:t>
      </w:r>
      <w:r w:rsidRPr="00B3096C">
        <w:rPr>
          <w:i/>
          <w:iCs/>
        </w:rPr>
        <w:t>DORAMECTIN for veterinary use in CATTLE, SHEEP, GOATS, PIGS and HORSES against external and internal parasites: worms, lice, mites, ticks and flies</w:t>
      </w:r>
      <w:r w:rsidRPr="00B3096C">
        <w:t>. Parasitipedia.net. </w:t>
      </w:r>
    </w:p>
    <w:p w14:paraId="6AC464AB" w14:textId="00CF76D5" w:rsidR="00B3096C" w:rsidRPr="00B3096C" w:rsidRDefault="00B3096C" w:rsidP="00B3096C">
      <w:pPr>
        <w:jc w:val="both"/>
      </w:pPr>
      <w:r w:rsidRPr="00B3096C">
        <w:t xml:space="preserve">Virbac Hellas. (n.d.). </w:t>
      </w:r>
      <w:r w:rsidRPr="00B3096C">
        <w:rPr>
          <w:i/>
          <w:iCs/>
        </w:rPr>
        <w:t>Virbamec® – ιβερμεκτίνη ενέσιμο διάλυμα: Αντιπαρασιτικό ενέσιμο διάλυμα ιβερμεκτίνης (Φύλλο οδηγιών/τεχνικά χαρακτηριστικά)</w:t>
      </w:r>
      <w:r w:rsidRPr="00B3096C">
        <w:t>. </w:t>
      </w:r>
      <w:r w:rsidRPr="00B3096C">
        <w:rPr>
          <w:b/>
          <w:bCs/>
        </w:rPr>
        <w:t>                               </w:t>
      </w:r>
    </w:p>
    <w:p w14:paraId="2227230E" w14:textId="320E70DE" w:rsidR="00B3096C" w:rsidRPr="00B3096C" w:rsidRDefault="00B3096C" w:rsidP="00B3096C">
      <w:pPr>
        <w:jc w:val="both"/>
      </w:pPr>
      <w:r w:rsidRPr="00B3096C">
        <w:t xml:space="preserve">Halley, B. A., VandenHeuvel, W. J., &amp; Wislocki, P. G. (1993). Environmental effects of the usage of avermectins in livestock. </w:t>
      </w:r>
      <w:r w:rsidRPr="00B3096C">
        <w:rPr>
          <w:i/>
          <w:iCs/>
        </w:rPr>
        <w:t>Veterinary Parasitology, 48</w:t>
      </w:r>
      <w:r w:rsidRPr="00B3096C">
        <w:t>(1–4), 109–125. </w:t>
      </w:r>
    </w:p>
    <w:p w14:paraId="78FF2792" w14:textId="6F0CC3EC" w:rsidR="00B3096C" w:rsidRPr="00B3096C" w:rsidRDefault="00B3096C" w:rsidP="00B3096C">
      <w:pPr>
        <w:jc w:val="both"/>
      </w:pPr>
      <w:r w:rsidRPr="00B3096C">
        <w:lastRenderedPageBreak/>
        <w:t xml:space="preserve">Fernández, C., Porcel, M. A., Alonso, Á., San Andrés, M., &amp; Tarazona, J. V. (2011). Semifield assessment of the runoff potential and environmental risk of the parasiticide drug ivermectin under Mediterranean conditions. </w:t>
      </w:r>
      <w:r w:rsidRPr="00B3096C">
        <w:rPr>
          <w:i/>
          <w:iCs/>
        </w:rPr>
        <w:t>Environmental Science and Pollution Research, 18</w:t>
      </w:r>
      <w:r w:rsidRPr="00B3096C">
        <w:t>(7), 1194–1203. </w:t>
      </w:r>
    </w:p>
    <w:p w14:paraId="6F9DFDC7" w14:textId="77777777" w:rsidR="00B3096C" w:rsidRPr="00B3096C" w:rsidRDefault="00B3096C" w:rsidP="00B3096C">
      <w:pPr>
        <w:jc w:val="both"/>
      </w:pPr>
      <w:r w:rsidRPr="00B3096C">
        <w:t xml:space="preserve">Belete, S., Adugna, H., &amp; Yirsa, T. (2025). Experimental study on the effect of ivermectin on cattle dung faunas in Eastern Ethiopia. </w:t>
      </w:r>
      <w:r w:rsidRPr="00B3096C">
        <w:rPr>
          <w:i/>
          <w:iCs/>
        </w:rPr>
        <w:t>PLOS ONE, 20</w:t>
      </w:r>
      <w:r w:rsidRPr="00B3096C">
        <w:t>(4), e0320867. </w:t>
      </w:r>
    </w:p>
    <w:p w14:paraId="5D27DA78" w14:textId="57C520D1" w:rsidR="00B3096C" w:rsidRPr="00B3096C" w:rsidRDefault="00B3096C" w:rsidP="00B3096C">
      <w:pPr>
        <w:jc w:val="both"/>
        <w:rPr>
          <w:lang w:val="en-GB"/>
        </w:rPr>
      </w:pPr>
      <w:r w:rsidRPr="00B3096C">
        <w:t xml:space="preserve">GalinosVet. (n.d.). </w:t>
      </w:r>
      <w:r w:rsidRPr="00B3096C">
        <w:rPr>
          <w:i/>
          <w:iCs/>
        </w:rPr>
        <w:t>Δοραμεκτίνη (Doramektin): Πληροφορίες για την χρήση της δραστικής ουσίας στην κτηνιατρική</w:t>
      </w:r>
      <w:r w:rsidRPr="00B3096C">
        <w:t>. </w:t>
      </w:r>
    </w:p>
    <w:p w14:paraId="43A5EB65" w14:textId="4088DFB2" w:rsidR="00B3096C" w:rsidRPr="00B3096C" w:rsidRDefault="00B3096C" w:rsidP="00B3096C">
      <w:pPr>
        <w:jc w:val="both"/>
      </w:pPr>
      <w:r w:rsidRPr="00B3096C">
        <w:t>Junquera P. (2018, June 19). DECTOMAX 1% Injectable Solution for CATTLE, SWINE &amp; SHEEP - ZOETIS - doramectin, macrocyclic lactone Parasitipedia.net. </w:t>
      </w:r>
    </w:p>
    <w:p w14:paraId="0D3319AD" w14:textId="61DC68B0" w:rsidR="00B3096C" w:rsidRPr="00B3096C" w:rsidRDefault="00B3096C" w:rsidP="00B3096C">
      <w:pPr>
        <w:jc w:val="both"/>
      </w:pPr>
      <w:r w:rsidRPr="00B3096C">
        <w:t>Junquera P. (2021, July 14). DORAMECTIN: SAFETY SUMMARY for VETERINARY use in Cattle, Sheep, Goats and Swine. Poisoning, intoxication, overdose, antidote Parasitipedia.net. </w:t>
      </w:r>
    </w:p>
    <w:p w14:paraId="717DA26F" w14:textId="5FA91136" w:rsidR="00B3096C" w:rsidRPr="00B3096C" w:rsidRDefault="00B3096C" w:rsidP="00B3096C">
      <w:pPr>
        <w:jc w:val="both"/>
      </w:pPr>
      <w:r w:rsidRPr="00B3096C">
        <w:t xml:space="preserve">Hamel, D., Kunkle, B. N., Liebstein, M., Bader, J., Shryock, J., Visser, M., Yoon, S., Fankhauser, B., &amp; Rehbein, S. (2022). Eprinomectin 5% w/v extended-release injection for the treatment of larval and/or adult </w:t>
      </w:r>
      <w:r w:rsidRPr="00B3096C">
        <w:rPr>
          <w:i/>
          <w:iCs/>
        </w:rPr>
        <w:t>Bunostomum phlebotomum</w:t>
      </w:r>
      <w:r w:rsidRPr="00B3096C">
        <w:t xml:space="preserve">, </w:t>
      </w:r>
      <w:r w:rsidRPr="00B3096C">
        <w:rPr>
          <w:i/>
          <w:iCs/>
        </w:rPr>
        <w:t>Haemonchus contortus</w:t>
      </w:r>
      <w:r w:rsidRPr="00B3096C">
        <w:t xml:space="preserve">, </w:t>
      </w:r>
      <w:r w:rsidRPr="00B3096C">
        <w:rPr>
          <w:i/>
          <w:iCs/>
        </w:rPr>
        <w:t>H. placei</w:t>
      </w:r>
      <w:r w:rsidRPr="00B3096C">
        <w:t xml:space="preserve">, </w:t>
      </w:r>
      <w:r w:rsidRPr="00B3096C">
        <w:rPr>
          <w:i/>
          <w:iCs/>
        </w:rPr>
        <w:t>Nematodirus helvetianus</w:t>
      </w:r>
      <w:r w:rsidRPr="00B3096C">
        <w:t xml:space="preserve">, </w:t>
      </w:r>
      <w:r w:rsidRPr="00B3096C">
        <w:rPr>
          <w:i/>
          <w:iCs/>
        </w:rPr>
        <w:t>Oesophagostomum radiatum</w:t>
      </w:r>
      <w:r w:rsidRPr="00B3096C">
        <w:t xml:space="preserve">, and </w:t>
      </w:r>
      <w:r w:rsidRPr="00B3096C">
        <w:rPr>
          <w:i/>
          <w:iCs/>
        </w:rPr>
        <w:t>Trichostrongylus colubriformis</w:t>
      </w:r>
      <w:r w:rsidRPr="00B3096C">
        <w:t xml:space="preserve"> infections in cattle. </w:t>
      </w:r>
      <w:r w:rsidRPr="00B3096C">
        <w:rPr>
          <w:i/>
          <w:iCs/>
        </w:rPr>
        <w:t>Parasitology Research, 121</w:t>
      </w:r>
      <w:r w:rsidRPr="00B3096C">
        <w:t>(7), 2173–2178. </w:t>
      </w:r>
    </w:p>
    <w:p w14:paraId="13466EC7" w14:textId="74062652" w:rsidR="00B3096C" w:rsidRPr="00B3096C" w:rsidRDefault="00B3096C" w:rsidP="00B3096C">
      <w:pPr>
        <w:jc w:val="both"/>
      </w:pPr>
      <w:r w:rsidRPr="00B3096C">
        <w:t xml:space="preserve">Shoop, W. L., Egerton, J. R., Eary, C. H., Haines, H. W., Michael, B. F., Mrozik, H., Eskola, P., Fisher, M. H., Slayton, L., Ostlind, D. A., Skelly, B. J., Fulton, R. K., Barth, D., Costa, S., Gregory, L. M., Campbell, W. C., Seward, R. L., &amp; Turner, M. J. (1996). Eprinomectin: A novel avermectin for use as a topical endectocide for cattle. </w:t>
      </w:r>
      <w:r w:rsidRPr="00B3096C">
        <w:rPr>
          <w:i/>
          <w:iCs/>
        </w:rPr>
        <w:t>International Journal for Parasitology, 26</w:t>
      </w:r>
      <w:r w:rsidRPr="00B3096C">
        <w:t>(11), 1237–1242.</w:t>
      </w:r>
    </w:p>
    <w:p w14:paraId="7F5B2986" w14:textId="2AF91299" w:rsidR="00B3096C" w:rsidRPr="00B3096C" w:rsidRDefault="00B3096C" w:rsidP="00B3096C">
      <w:pPr>
        <w:jc w:val="both"/>
      </w:pPr>
      <w:r w:rsidRPr="00B3096C">
        <w:t xml:space="preserve">Litskas, V. D., Karamanlis, X. N., Batzias, G. C., &amp; Tsiouris, S. E. (2013). Are the parasiticidal avermectins resistant to dissipation in the environment? The case of eprinomectin. </w:t>
      </w:r>
      <w:r w:rsidRPr="00B3096C">
        <w:rPr>
          <w:i/>
          <w:iCs/>
        </w:rPr>
        <w:t>Environment International, 60</w:t>
      </w:r>
      <w:r w:rsidRPr="00B3096C">
        <w:t>, 48–55. </w:t>
      </w:r>
    </w:p>
    <w:p w14:paraId="6754FF46" w14:textId="77777777" w:rsidR="00B3096C" w:rsidRPr="00B3096C" w:rsidRDefault="00B3096C" w:rsidP="00B3096C">
      <w:pPr>
        <w:jc w:val="both"/>
      </w:pPr>
      <w:r w:rsidRPr="00B3096C">
        <w:t xml:space="preserve">Serafini, S., Soares, J. G., Perosa, C. F., Picoli, F., Segat, J. C., Da Silva, A. S., &amp; Baretta, D. (2019). Eprinomectin antiparasitic affects survival, reproduction and behavior of </w:t>
      </w:r>
      <w:r w:rsidRPr="00B3096C">
        <w:rPr>
          <w:i/>
          <w:iCs/>
        </w:rPr>
        <w:t>Folsomia candida</w:t>
      </w:r>
      <w:r w:rsidRPr="00B3096C">
        <w:t xml:space="preserve"> biomarker, and its toxicity depends on the type of soil. </w:t>
      </w:r>
      <w:r w:rsidRPr="00B3096C">
        <w:rPr>
          <w:i/>
          <w:iCs/>
        </w:rPr>
        <w:t>Environmental Toxicology and Pharmacology, 72</w:t>
      </w:r>
      <w:r w:rsidRPr="00B3096C">
        <w:t>, 103262. </w:t>
      </w:r>
    </w:p>
    <w:p w14:paraId="11774152" w14:textId="304B4655" w:rsidR="00B3096C" w:rsidRPr="00B3096C" w:rsidRDefault="00B3096C" w:rsidP="00B3096C">
      <w:pPr>
        <w:jc w:val="both"/>
      </w:pPr>
      <w:r w:rsidRPr="00B3096C">
        <w:t xml:space="preserve">Nieman, C. C., Floate, K. D., Düring, R.-A., Heinrich, A. P., Young, D. K., &amp; Schaefer, D. M. (2018). Eprinomectin from a sustained release formulation adversely affected dung breeding insects. </w:t>
      </w:r>
      <w:r w:rsidRPr="00B3096C">
        <w:rPr>
          <w:i/>
          <w:iCs/>
        </w:rPr>
        <w:t>PLOS ONE</w:t>
      </w:r>
      <w:r w:rsidRPr="00B3096C">
        <w:t>.</w:t>
      </w:r>
    </w:p>
    <w:p w14:paraId="6B0720F9" w14:textId="52D6010C" w:rsidR="00B3096C" w:rsidRPr="00B3096C" w:rsidRDefault="00B3096C" w:rsidP="00B3096C">
      <w:pPr>
        <w:jc w:val="both"/>
      </w:pPr>
      <w:r w:rsidRPr="00B3096C">
        <w:t>Backmeyer, S. J., Goater, C., Challis, J. K., &amp; Floate, K. D. (2023). Season</w:t>
      </w:r>
      <w:r w:rsidRPr="00B3096C">
        <w:rPr>
          <w:rFonts w:ascii="Cambria Math" w:hAnsi="Cambria Math" w:cs="Cambria Math"/>
        </w:rPr>
        <w:t>‐</w:t>
      </w:r>
      <w:r w:rsidRPr="00B3096C">
        <w:t>long simplification of insect communities in dung from cattle treated with an extended</w:t>
      </w:r>
      <w:r w:rsidRPr="00B3096C">
        <w:rPr>
          <w:rFonts w:ascii="Cambria Math" w:hAnsi="Cambria Math" w:cs="Cambria Math"/>
        </w:rPr>
        <w:t>‐</w:t>
      </w:r>
      <w:r w:rsidRPr="00B3096C">
        <w:t xml:space="preserve">release formulation of the parasiticide eprinomectin. </w:t>
      </w:r>
      <w:r w:rsidRPr="00B3096C">
        <w:rPr>
          <w:i/>
          <w:iCs/>
        </w:rPr>
        <w:t>Environmental Toxicology and Chemistry, 42</w:t>
      </w:r>
      <w:r w:rsidRPr="00B3096C">
        <w:t>(3), 684–697.</w:t>
      </w:r>
    </w:p>
    <w:p w14:paraId="1ECD5D6C" w14:textId="76F2FED9" w:rsidR="00B3096C" w:rsidRPr="00B3096C" w:rsidRDefault="00B3096C" w:rsidP="00B3096C">
      <w:pPr>
        <w:jc w:val="both"/>
      </w:pPr>
      <w:r w:rsidRPr="00B3096C">
        <w:t xml:space="preserve">Ishikawa, I., &amp; Iwasa, M. (2019). Effects of eprinomectin on the survival, reproduction and feeding activity of the dung beetles </w:t>
      </w:r>
      <w:r w:rsidRPr="00B3096C">
        <w:rPr>
          <w:i/>
          <w:iCs/>
        </w:rPr>
        <w:t>Onthophagus lenzii</w:t>
      </w:r>
      <w:r w:rsidRPr="00B3096C">
        <w:t xml:space="preserve"> Harold and rare species </w:t>
      </w:r>
      <w:r w:rsidRPr="00B3096C">
        <w:rPr>
          <w:i/>
          <w:iCs/>
        </w:rPr>
        <w:t>Copris ochus</w:t>
      </w:r>
      <w:r w:rsidRPr="00B3096C">
        <w:t xml:space="preserve"> Motschulsky (Coleoptera: Scarabaeidae). </w:t>
      </w:r>
      <w:r w:rsidRPr="00B3096C">
        <w:rPr>
          <w:i/>
          <w:iCs/>
        </w:rPr>
        <w:t>Bulletin of Entomological Research, 109</w:t>
      </w:r>
      <w:r w:rsidRPr="00B3096C">
        <w:t>(2), 191–198.</w:t>
      </w:r>
    </w:p>
    <w:p w14:paraId="6E5B53D0" w14:textId="6327D4B3" w:rsidR="00B3096C" w:rsidRPr="00B3096C" w:rsidRDefault="00B3096C" w:rsidP="00B3096C">
      <w:pPr>
        <w:jc w:val="both"/>
      </w:pPr>
      <w:r w:rsidRPr="00B3096C">
        <w:t xml:space="preserve">Brown, H. J., Lynch, J. H., Kijimoto, T., Shaffer, K., &amp; Rowen, E. (2025). Risk of select parasiticides (diflubenzuron, eprinomectin, and fenbendazole) to dung-associated beetles. </w:t>
      </w:r>
      <w:r w:rsidRPr="00B3096C">
        <w:rPr>
          <w:i/>
          <w:iCs/>
        </w:rPr>
        <w:t>Environmental Entomology, 54</w:t>
      </w:r>
      <w:r w:rsidRPr="00B3096C">
        <w:t>(4), 865–876. </w:t>
      </w:r>
    </w:p>
    <w:p w14:paraId="04CCFAD3" w14:textId="0A17B943" w:rsidR="00B3096C" w:rsidRPr="00B3096C" w:rsidRDefault="00B3096C" w:rsidP="00B3096C">
      <w:pPr>
        <w:jc w:val="both"/>
      </w:pPr>
      <w:r w:rsidRPr="00B3096C">
        <w:lastRenderedPageBreak/>
        <w:t xml:space="preserve">Diamanti, L. Karpouzas D. (2022). </w:t>
      </w:r>
      <w:r w:rsidRPr="00B3096C">
        <w:rPr>
          <w:i/>
          <w:iCs/>
        </w:rPr>
        <w:t>Toxicity study of the anthelmintic drug eprinomectin in the soil microbial community. Master thesis, Department of Biochemistry and Biotechnology, University of Thessaly. </w:t>
      </w:r>
    </w:p>
    <w:p w14:paraId="46BF11C5" w14:textId="77777777" w:rsidR="00B3096C" w:rsidRPr="00B3096C" w:rsidRDefault="00B3096C" w:rsidP="00B3096C">
      <w:pPr>
        <w:jc w:val="both"/>
      </w:pPr>
      <w:r w:rsidRPr="00B3096C">
        <w:t xml:space="preserve">World Health Organization. (2025). </w:t>
      </w:r>
      <w:r w:rsidRPr="00B3096C">
        <w:rPr>
          <w:i/>
          <w:iCs/>
        </w:rPr>
        <w:t>Safe management of pharmaceutical waste from health care facilities: global best practices</w:t>
      </w:r>
      <w:r w:rsidRPr="00B3096C">
        <w:t>. World Health Organization. ISBN 978-92-4-010671-0. </w:t>
      </w:r>
    </w:p>
    <w:p w14:paraId="0FCFF093" w14:textId="4B2AF7D6" w:rsidR="00B3096C" w:rsidRPr="00B3096C" w:rsidRDefault="00B3096C" w:rsidP="00B3096C">
      <w:pPr>
        <w:jc w:val="both"/>
      </w:pPr>
      <w:r w:rsidRPr="00B3096C">
        <w:t xml:space="preserve">Τριανταφύλλη, Γ. (2025, 21 Ιουνίου). </w:t>
      </w:r>
      <w:r w:rsidRPr="00B3096C">
        <w:rPr>
          <w:i/>
          <w:iCs/>
        </w:rPr>
        <w:t>Περιβαλλοντική ρύπανση: Οι επιστήμονες πιέζουν για πιο «πράσινα» φάρμακα.</w:t>
      </w:r>
      <w:r w:rsidRPr="00B3096C">
        <w:t xml:space="preserve"> DailyPharmaNews.gr.</w:t>
      </w:r>
      <w:hyperlink r:id="rId198" w:history="1">
        <w:r w:rsidRPr="00B3096C">
          <w:rPr>
            <w:rStyle w:val="-"/>
          </w:rPr>
          <w:t> </w:t>
        </w:r>
      </w:hyperlink>
    </w:p>
    <w:p w14:paraId="1E9BF73D" w14:textId="4A72A4EF" w:rsidR="00B3096C" w:rsidRPr="00B3096C" w:rsidRDefault="00B3096C" w:rsidP="00B3096C">
      <w:pPr>
        <w:jc w:val="both"/>
      </w:pPr>
      <w:r w:rsidRPr="00B3096C">
        <w:t xml:space="preserve">Ebe, H. (2024, 10 Ιουλίου). </w:t>
      </w:r>
      <w:r w:rsidRPr="00B3096C">
        <w:rPr>
          <w:i/>
          <w:iCs/>
        </w:rPr>
        <w:t>How to Naturally Control Parasite in Organic Cattles.</w:t>
      </w:r>
      <w:r w:rsidRPr="00B3096C">
        <w:t xml:space="preserve"> KCOA Africa.</w:t>
      </w:r>
    </w:p>
    <w:p w14:paraId="60689B7A" w14:textId="77777777" w:rsidR="00B3096C" w:rsidRPr="00B3096C" w:rsidRDefault="00B3096C" w:rsidP="00B3096C">
      <w:pPr>
        <w:jc w:val="both"/>
      </w:pPr>
      <w:r w:rsidRPr="00B3096C">
        <w:t xml:space="preserve">Vrchovecká, S., Zajíček, A., &amp; Wacławek, S. (2025). </w:t>
      </w:r>
      <w:r w:rsidRPr="00B3096C">
        <w:rPr>
          <w:i/>
          <w:iCs/>
        </w:rPr>
        <w:t>Biofilters as an ecological and effective solution for pesticide elimination</w:t>
      </w:r>
      <w:r w:rsidRPr="00B3096C">
        <w:t>. Water, Air, &amp; Soil Pollution, 237, 342. </w:t>
      </w:r>
    </w:p>
    <w:p w14:paraId="282179A1" w14:textId="77777777" w:rsidR="00B3096C" w:rsidRDefault="00B3096C" w:rsidP="00B3096C">
      <w:pPr>
        <w:jc w:val="both"/>
      </w:pP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p>
    <w:p w14:paraId="26F33F45" w14:textId="77777777" w:rsidR="00B3096C" w:rsidRDefault="00B3096C" w:rsidP="00B3096C">
      <w:pPr>
        <w:jc w:val="both"/>
      </w:pPr>
    </w:p>
    <w:p w14:paraId="0C41BF3A" w14:textId="77777777" w:rsidR="00B3096C" w:rsidRDefault="00B3096C" w:rsidP="00B3096C">
      <w:pPr>
        <w:jc w:val="both"/>
      </w:pPr>
    </w:p>
    <w:p w14:paraId="4BFED966" w14:textId="77777777" w:rsidR="00B3096C" w:rsidRDefault="00B3096C" w:rsidP="00B3096C">
      <w:pPr>
        <w:jc w:val="both"/>
      </w:pPr>
    </w:p>
    <w:p w14:paraId="59848094" w14:textId="77777777" w:rsidR="00B3096C" w:rsidRDefault="00B3096C" w:rsidP="00B3096C">
      <w:pPr>
        <w:jc w:val="both"/>
      </w:pPr>
    </w:p>
    <w:p w14:paraId="46D766D1" w14:textId="77777777" w:rsidR="00B3096C" w:rsidRDefault="00B3096C" w:rsidP="00B3096C">
      <w:pPr>
        <w:jc w:val="both"/>
      </w:pPr>
    </w:p>
    <w:p w14:paraId="457E22F9" w14:textId="77777777" w:rsidR="00B3096C" w:rsidRDefault="00B3096C" w:rsidP="00B3096C">
      <w:pPr>
        <w:jc w:val="both"/>
      </w:pPr>
    </w:p>
    <w:p w14:paraId="7C98FECD" w14:textId="77777777" w:rsidR="00B3096C" w:rsidRDefault="00B3096C" w:rsidP="00B3096C">
      <w:pPr>
        <w:jc w:val="both"/>
      </w:pPr>
    </w:p>
    <w:p w14:paraId="42A491A9" w14:textId="77777777" w:rsidR="00B3096C" w:rsidRDefault="00B3096C" w:rsidP="00B3096C">
      <w:pPr>
        <w:jc w:val="both"/>
      </w:pPr>
    </w:p>
    <w:p w14:paraId="215E3E92" w14:textId="77777777" w:rsidR="00B3096C" w:rsidRPr="00B3096C" w:rsidRDefault="00B3096C" w:rsidP="00B3096C">
      <w:pPr>
        <w:jc w:val="both"/>
      </w:pPr>
    </w:p>
    <w:p w14:paraId="2743D4F4" w14:textId="2255E127" w:rsidR="00B3096C" w:rsidRPr="00B3096C" w:rsidRDefault="00B3096C" w:rsidP="00B3096C">
      <w:pPr>
        <w:jc w:val="both"/>
      </w:pPr>
      <w:r w:rsidRPr="00B3096C">
        <w:rPr>
          <w:b/>
          <w:bCs/>
        </w:rPr>
        <w:lastRenderedPageBreak/>
        <w:t>Comparative Study of Intracranial Meningiomas in Dogs and Cats</w:t>
      </w:r>
    </w:p>
    <w:p w14:paraId="704D68B5" w14:textId="77777777" w:rsidR="00B3096C" w:rsidRPr="00B3096C" w:rsidRDefault="00B3096C" w:rsidP="00B3096C">
      <w:pPr>
        <w:jc w:val="both"/>
      </w:pPr>
      <w:r w:rsidRPr="00B3096C">
        <w:t>Theodoros Syriopoulos¹, Eirini Sarpekidou²</w:t>
      </w:r>
    </w:p>
    <w:p w14:paraId="64B6E050" w14:textId="77777777" w:rsidR="00B3096C" w:rsidRPr="00B3096C" w:rsidRDefault="00B3096C">
      <w:pPr>
        <w:numPr>
          <w:ilvl w:val="0"/>
          <w:numId w:val="145"/>
        </w:numPr>
        <w:jc w:val="both"/>
      </w:pPr>
      <w:r w:rsidRPr="00B3096C">
        <w:t>Undergraduate Student, Department of Veterinary Medicine, School of Health Sciences, Aristotle University of Thessaloniki</w:t>
      </w:r>
    </w:p>
    <w:p w14:paraId="56C840F1" w14:textId="77777777" w:rsidR="00B3096C" w:rsidRPr="00B3096C" w:rsidRDefault="00B3096C">
      <w:pPr>
        <w:numPr>
          <w:ilvl w:val="0"/>
          <w:numId w:val="145"/>
        </w:numPr>
        <w:jc w:val="both"/>
      </w:pPr>
      <w:r w:rsidRPr="00B3096C">
        <w:t>Veterinarian, PhD in Neurosurgery &amp; Intensive Care, PgCert in Small Animal Neurology, Department of Veterinary Medicine, School of Health Sciences, Aristotle University of Thessaloniki</w:t>
      </w:r>
    </w:p>
    <w:p w14:paraId="5B703C42" w14:textId="77777777" w:rsidR="00B3096C" w:rsidRPr="00B3096C" w:rsidRDefault="00B3096C" w:rsidP="00B3096C">
      <w:pPr>
        <w:jc w:val="both"/>
      </w:pPr>
    </w:p>
    <w:p w14:paraId="7BC4A097" w14:textId="77777777" w:rsidR="00B3096C" w:rsidRPr="00B3096C" w:rsidRDefault="00B3096C" w:rsidP="00B3096C">
      <w:pPr>
        <w:jc w:val="both"/>
      </w:pPr>
      <w:r w:rsidRPr="00B3096C">
        <w:rPr>
          <w:b/>
          <w:bCs/>
        </w:rPr>
        <w:t>Abstract</w:t>
      </w:r>
    </w:p>
    <w:p w14:paraId="4151C148" w14:textId="77777777" w:rsidR="00B3096C" w:rsidRPr="00B3096C" w:rsidRDefault="00B3096C" w:rsidP="00B3096C">
      <w:pPr>
        <w:jc w:val="both"/>
      </w:pPr>
      <w:r w:rsidRPr="00B3096C">
        <w:rPr>
          <w:b/>
          <w:bCs/>
        </w:rPr>
        <w:t> </w:t>
      </w:r>
      <w:r w:rsidRPr="00B3096C">
        <w:t>Meningiomas are the most common primary brain tumors in dogs and cats. However, they exhibit significant differences in their biological behavior in each species. The purpose of the present study is the comparison of intracranial meningiomas in dogs and cats. In dogs, they occur mainly in animals older than 7 years, in dolichocephalic breeds, with a tendency to infiltrate the brain parenchyma and are characterized by an increased frequency of atypical forms (WHO Grade II). In cats meningiomas are observed in animals over 10 years of age and are, in most cases, characterized as benign (WHO Grade I), they are solitary, well-circumscribed, and show a clear separation from the healthy brain parenchyma, allowing complete surgical excision. The most common clinical signs in dogs are epileptic seizures due to their frequent localization in the forebrain, whereas in cats non-specific manifestations appear, such as lethargy and behavioral changes. Therapeutically, surgical treatment is more often sufficient in cats, ensuring a favorable prognosis, whereas in dogs a combination with radiotherapy is often required due to residual disease, leading to a comparatively less favorable outcome.</w:t>
      </w:r>
    </w:p>
    <w:p w14:paraId="7870CDE1" w14:textId="77777777" w:rsidR="00B3096C" w:rsidRPr="00B3096C" w:rsidRDefault="00B3096C" w:rsidP="00B3096C">
      <w:pPr>
        <w:jc w:val="both"/>
      </w:pPr>
      <w:r w:rsidRPr="00B3096C">
        <w:br/>
      </w:r>
    </w:p>
    <w:p w14:paraId="1A973211" w14:textId="77777777" w:rsidR="00B3096C" w:rsidRPr="00B3096C" w:rsidRDefault="00B3096C" w:rsidP="00B3096C">
      <w:pPr>
        <w:jc w:val="both"/>
      </w:pPr>
      <w:r w:rsidRPr="00B3096C">
        <w:rPr>
          <w:b/>
          <w:bCs/>
        </w:rPr>
        <w:t>Bibliography</w:t>
      </w:r>
    </w:p>
    <w:p w14:paraId="35687D6F" w14:textId="77777777" w:rsidR="00B3096C" w:rsidRPr="00B3096C" w:rsidRDefault="00B3096C" w:rsidP="00B3096C">
      <w:pPr>
        <w:jc w:val="both"/>
      </w:pPr>
      <w:r w:rsidRPr="00B3096C">
        <w:t xml:space="preserve">Adamo, P. F., Forrest, L., &amp; Dubielzig, R. (2004). </w:t>
      </w:r>
      <w:r w:rsidRPr="00B3096C">
        <w:rPr>
          <w:i/>
          <w:iCs/>
        </w:rPr>
        <w:t>Canine and feline meningiomas: Diagnosis, treatment, and prognosis</w:t>
      </w:r>
      <w:r w:rsidRPr="00B3096C">
        <w:t>. Compendium, 26(12), 951–966.</w:t>
      </w:r>
    </w:p>
    <w:p w14:paraId="04A0DB34" w14:textId="77777777" w:rsidR="00B3096C" w:rsidRPr="00B3096C" w:rsidRDefault="00B3096C" w:rsidP="00B3096C">
      <w:pPr>
        <w:jc w:val="both"/>
      </w:pPr>
      <w:r w:rsidRPr="00B3096C">
        <w:t xml:space="preserve">Dewey, C. W., &amp; da Costa, R. C. (2015). </w:t>
      </w:r>
      <w:r w:rsidRPr="00B3096C">
        <w:rPr>
          <w:i/>
          <w:iCs/>
        </w:rPr>
        <w:t>Practical guide to canine and feline neurology</w:t>
      </w:r>
      <w:r w:rsidRPr="00B3096C">
        <w:t xml:space="preserve"> (3rd ed.). Wiley.</w:t>
      </w:r>
    </w:p>
    <w:p w14:paraId="2A05FF22" w14:textId="77777777" w:rsidR="00B3096C" w:rsidRPr="00B3096C" w:rsidRDefault="00B3096C" w:rsidP="00B3096C">
      <w:pPr>
        <w:jc w:val="both"/>
      </w:pPr>
      <w:r w:rsidRPr="00B3096C">
        <w:t xml:space="preserve">Forterre, F., Fritsch, G., Kaiser, S., Matiasek, K., &amp; Brunnberg, L. (2006). </w:t>
      </w:r>
      <w:r w:rsidRPr="00B3096C">
        <w:rPr>
          <w:i/>
          <w:iCs/>
        </w:rPr>
        <w:t>Surgical approach for tentorial meningiomas in cats: a review of six cases</w:t>
      </w:r>
      <w:r w:rsidRPr="00B3096C">
        <w:t>. Journal of Feline Medicine and Surgery, 8(4), 227–233.</w:t>
      </w:r>
    </w:p>
    <w:p w14:paraId="43197964" w14:textId="77777777" w:rsidR="00B3096C" w:rsidRPr="00B3096C" w:rsidRDefault="00B3096C" w:rsidP="00B3096C">
      <w:pPr>
        <w:jc w:val="both"/>
      </w:pPr>
      <w:r w:rsidRPr="00B3096C">
        <w:t xml:space="preserve">Forterre, F., Tomek, A., Konar, M., Vandevelde, M., Howard, J., &amp; Jaggy, A. (2007). </w:t>
      </w:r>
      <w:r w:rsidRPr="00B3096C">
        <w:rPr>
          <w:i/>
          <w:iCs/>
        </w:rPr>
        <w:t>Multiple meningiomas: clinical, radiological, surgical, and pathological findings with outcome in four cats</w:t>
      </w:r>
      <w:r w:rsidRPr="00B3096C">
        <w:t>. Journal of Feline Medicine and Surgery, 9(1), 36–43.</w:t>
      </w:r>
    </w:p>
    <w:p w14:paraId="3A7C355A" w14:textId="77777777" w:rsidR="00B3096C" w:rsidRDefault="00B3096C" w:rsidP="00B3096C">
      <w:pPr>
        <w:jc w:val="both"/>
      </w:pPr>
      <w:r w:rsidRPr="00B3096C">
        <w:t xml:space="preserve">Ijiri, A., Yoshiki, K., Tsuboi, S., Shimazaki, H., Akiyoshi, H., &amp; Nakade, T. (2014). </w:t>
      </w:r>
      <w:r w:rsidRPr="00B3096C">
        <w:rPr>
          <w:i/>
          <w:iCs/>
        </w:rPr>
        <w:t>Surgical resection of twenty-three cases of brain meningioma</w:t>
      </w:r>
      <w:r w:rsidRPr="00B3096C">
        <w:t>. Journal of Veterinary Medical Science, 76(3), 331–338.</w:t>
      </w:r>
    </w:p>
    <w:p w14:paraId="5C9367E9" w14:textId="6EB5409A" w:rsidR="00B3096C" w:rsidRPr="00B3096C" w:rsidRDefault="00B3096C" w:rsidP="00B3096C">
      <w:pPr>
        <w:jc w:val="both"/>
      </w:pPr>
      <w:r w:rsidRPr="00B3096C">
        <w:lastRenderedPageBreak/>
        <w:t xml:space="preserve">Louis, D. N., Ohgaki, H., Wiestler, O. D., Cavenee, W. K., Burger, P. C., Jouvet, A., Scheithauer, B. W., &amp; Kleihues, P. (2007). </w:t>
      </w:r>
      <w:r w:rsidRPr="00B3096C">
        <w:rPr>
          <w:i/>
          <w:iCs/>
        </w:rPr>
        <w:t>The 2007 WHO classification of tumours of the central nervous system</w:t>
      </w:r>
      <w:r w:rsidRPr="00B3096C">
        <w:t>. Acta Neuropathologica, 114(2), 97–109.</w:t>
      </w:r>
    </w:p>
    <w:p w14:paraId="1E063255" w14:textId="77777777" w:rsidR="00B3096C" w:rsidRPr="00B3096C" w:rsidRDefault="00B3096C" w:rsidP="00B3096C">
      <w:pPr>
        <w:jc w:val="both"/>
      </w:pPr>
      <w:r w:rsidRPr="00B3096C">
        <w:t xml:space="preserve">Motta, L., Mandara, M. T., &amp; Skerritt, G. C. (2012). </w:t>
      </w:r>
      <w:r w:rsidRPr="00B3096C">
        <w:rPr>
          <w:i/>
          <w:iCs/>
        </w:rPr>
        <w:t>Canine and feline intracranial meningiomas: an updated review</w:t>
      </w:r>
      <w:r w:rsidRPr="00B3096C">
        <w:t>. The Veterinary Journal, 192(2), 153–165.</w:t>
      </w:r>
    </w:p>
    <w:p w14:paraId="6EC5B4CD" w14:textId="77777777" w:rsidR="00B3096C" w:rsidRPr="00B3096C" w:rsidRDefault="00B3096C" w:rsidP="00B3096C">
      <w:pPr>
        <w:jc w:val="both"/>
      </w:pPr>
      <w:r w:rsidRPr="00B3096C">
        <w:t xml:space="preserve">Nafe, L. A. (1979). </w:t>
      </w:r>
      <w:r w:rsidRPr="00B3096C">
        <w:rPr>
          <w:i/>
          <w:iCs/>
        </w:rPr>
        <w:t>Meningiomas in cats: a retrospective clinical study of 36 cases</w:t>
      </w:r>
      <w:r w:rsidRPr="00B3096C">
        <w:t>. Journal of the American Veterinary Medical Association, 174(11), 1224–1227.</w:t>
      </w:r>
    </w:p>
    <w:p w14:paraId="31B61914" w14:textId="77777777" w:rsidR="00B3096C" w:rsidRPr="00B3096C" w:rsidRDefault="00B3096C" w:rsidP="00B3096C">
      <w:pPr>
        <w:jc w:val="both"/>
      </w:pPr>
      <w:r w:rsidRPr="00B3096C">
        <w:t xml:space="preserve">Platt, S. R., &amp; Olby, N. J. (2012). </w:t>
      </w:r>
      <w:r w:rsidRPr="00B3096C">
        <w:rPr>
          <w:i/>
          <w:iCs/>
        </w:rPr>
        <w:t>BSAVA manual of canine and feline neurology</w:t>
      </w:r>
      <w:r w:rsidRPr="00B3096C">
        <w:t xml:space="preserve"> (4th ed.). British Small Animal Veterinary Association.</w:t>
      </w:r>
    </w:p>
    <w:p w14:paraId="31ECF0CE" w14:textId="77777777" w:rsidR="00B3096C" w:rsidRPr="00B3096C" w:rsidRDefault="00B3096C" w:rsidP="00B3096C">
      <w:pPr>
        <w:jc w:val="both"/>
      </w:pPr>
      <w:r w:rsidRPr="00B3096C">
        <w:t xml:space="preserve">Tichenor, M., Hearon, K., &amp; Selmic, L. E. (2024). </w:t>
      </w:r>
      <w:r w:rsidRPr="00B3096C">
        <w:rPr>
          <w:i/>
          <w:iCs/>
        </w:rPr>
        <w:t>Characteristics and outcomes for 61 cats that underwent either surgery or stereotactic radiotherapy as treatment for intracranial meningioma (2005–2017)</w:t>
      </w:r>
      <w:r w:rsidRPr="00B3096C">
        <w:t>. Journal of the American Veterinary Medical Association, 262(1), 1–8.</w:t>
      </w:r>
    </w:p>
    <w:p w14:paraId="69DECED3" w14:textId="77777777" w:rsidR="00B3096C" w:rsidRPr="00B3096C" w:rsidRDefault="00B3096C" w:rsidP="00B3096C">
      <w:pPr>
        <w:jc w:val="both"/>
      </w:pPr>
      <w:r w:rsidRPr="00B3096C">
        <w:t xml:space="preserve">Tomek, A., Cizinauskas, S., Doherr, M., Gandini, G., &amp; Jaggy, A. (2006). </w:t>
      </w:r>
      <w:r w:rsidRPr="00B3096C">
        <w:rPr>
          <w:i/>
          <w:iCs/>
        </w:rPr>
        <w:t>Intracranial neoplasia in 61 cats: localisation, tumour types and seizure patterns</w:t>
      </w:r>
      <w:r w:rsidRPr="00B3096C">
        <w:t>. Journal of Feline Medicine and Surgery, 8(4), 243–253.</w:t>
      </w:r>
    </w:p>
    <w:p w14:paraId="23B15324" w14:textId="77777777" w:rsidR="00B3096C" w:rsidRPr="00B3096C" w:rsidRDefault="00B3096C" w:rsidP="00B3096C">
      <w:pPr>
        <w:jc w:val="both"/>
      </w:pPr>
      <w:r w:rsidRPr="00B3096C">
        <w:t xml:space="preserve">Troxel, M. T., Vite, C. H., Massicotte, C., McLear, R. C., Van Winkle, T. J., Glass, E. N., Tiches, D., &amp; Dayrell-Hart, B. (2004). </w:t>
      </w:r>
      <w:r w:rsidRPr="00B3096C">
        <w:rPr>
          <w:i/>
          <w:iCs/>
        </w:rPr>
        <w:t>Magnetic resonance imaging features of feline intracranial neoplasia: retrospective analysis of 46 cats</w:t>
      </w:r>
      <w:r w:rsidRPr="00B3096C">
        <w:t>. Journal of Veterinary Internal Medicine, 18(2), 176–189.</w:t>
      </w:r>
    </w:p>
    <w:p w14:paraId="64CF416D" w14:textId="77777777" w:rsidR="00B3096C" w:rsidRPr="00B3096C" w:rsidRDefault="00B3096C" w:rsidP="00B3096C">
      <w:pPr>
        <w:jc w:val="both"/>
      </w:pPr>
      <w:r w:rsidRPr="00B3096C">
        <w:t xml:space="preserve">Troxel, M. T., Vite, C. H., Van Winkle, T. J., Newton, A. L., Tiches, D., Dayrell-Hart, B., et al. (2003). </w:t>
      </w:r>
      <w:r w:rsidRPr="00B3096C">
        <w:rPr>
          <w:i/>
          <w:iCs/>
        </w:rPr>
        <w:t>Feline intracranial neoplasia: retrospective review of 160 cases (1985–2001)</w:t>
      </w:r>
      <w:r w:rsidRPr="00B3096C">
        <w:t>. Journal of Veterinary Internal Medicine, 17(6), 850–859.</w:t>
      </w:r>
    </w:p>
    <w:p w14:paraId="7E0DD905" w14:textId="77777777" w:rsidR="00B3096C" w:rsidRPr="00B3096C" w:rsidRDefault="00B3096C" w:rsidP="00B3096C">
      <w:pPr>
        <w:jc w:val="both"/>
      </w:pPr>
      <w:r w:rsidRPr="00B3096C">
        <w:t xml:space="preserve">Zaki, F. A. (1999). </w:t>
      </w:r>
      <w:r w:rsidRPr="00B3096C">
        <w:rPr>
          <w:i/>
          <w:iCs/>
        </w:rPr>
        <w:t>Spontaneous neoplasms of the central nervous system of the cat</w:t>
      </w:r>
      <w:r w:rsidRPr="00B3096C">
        <w:t>. Journal of Small Animal Practice, 40, 411–416.</w:t>
      </w:r>
    </w:p>
    <w:p w14:paraId="744BA0A1" w14:textId="77777777" w:rsidR="00B3096C" w:rsidRDefault="00B3096C" w:rsidP="00B3096C">
      <w:pPr>
        <w:jc w:val="both"/>
      </w:pPr>
      <w:r w:rsidRPr="00B3096C">
        <w:br/>
      </w:r>
      <w:r w:rsidRPr="00B3096C">
        <w:br/>
      </w:r>
      <w:r w:rsidRPr="00B3096C">
        <w:br/>
      </w:r>
      <w:r w:rsidRPr="00B3096C">
        <w:br/>
      </w:r>
      <w:r w:rsidRPr="00B3096C">
        <w:br/>
      </w:r>
      <w:r w:rsidRPr="00B3096C">
        <w:br/>
      </w:r>
      <w:r w:rsidRPr="00B3096C">
        <w:br/>
      </w:r>
      <w:r w:rsidRPr="00B3096C">
        <w:br/>
      </w:r>
      <w:r w:rsidRPr="00B3096C">
        <w:br/>
      </w:r>
    </w:p>
    <w:p w14:paraId="06E0ABA7" w14:textId="77777777" w:rsidR="00B3096C" w:rsidRDefault="00B3096C" w:rsidP="00B3096C">
      <w:pPr>
        <w:jc w:val="both"/>
      </w:pPr>
    </w:p>
    <w:p w14:paraId="69368710" w14:textId="77777777" w:rsidR="00B3096C" w:rsidRDefault="00B3096C" w:rsidP="00B3096C">
      <w:pPr>
        <w:jc w:val="both"/>
      </w:pPr>
    </w:p>
    <w:p w14:paraId="4BC3A079" w14:textId="77777777" w:rsidR="00B3096C" w:rsidRDefault="00B3096C" w:rsidP="00B3096C">
      <w:pPr>
        <w:jc w:val="both"/>
      </w:pPr>
    </w:p>
    <w:p w14:paraId="5B529128" w14:textId="77777777" w:rsidR="00B3096C" w:rsidRDefault="00B3096C" w:rsidP="00B3096C">
      <w:pPr>
        <w:jc w:val="both"/>
      </w:pPr>
    </w:p>
    <w:p w14:paraId="153A9B4F" w14:textId="77777777" w:rsidR="00B3096C" w:rsidRDefault="00B3096C" w:rsidP="00B3096C">
      <w:pPr>
        <w:jc w:val="both"/>
      </w:pPr>
    </w:p>
    <w:p w14:paraId="2A93748A" w14:textId="77777777" w:rsidR="00B3096C" w:rsidRPr="00B3096C" w:rsidRDefault="00B3096C" w:rsidP="00B3096C">
      <w:pPr>
        <w:jc w:val="both"/>
      </w:pPr>
    </w:p>
    <w:p w14:paraId="22C5C329" w14:textId="77777777" w:rsidR="00B3096C" w:rsidRDefault="00B3096C" w:rsidP="00B3096C">
      <w:pPr>
        <w:jc w:val="both"/>
      </w:pPr>
      <w:r w:rsidRPr="00B3096C">
        <w:rPr>
          <w:b/>
          <w:bCs/>
        </w:rPr>
        <w:lastRenderedPageBreak/>
        <w:t>Τransmissible Cancer: When Neoplasms Become Infectious</w:t>
      </w:r>
    </w:p>
    <w:p w14:paraId="7E941BAA" w14:textId="264E09AD" w:rsidR="00B3096C" w:rsidRPr="00B3096C" w:rsidRDefault="00B3096C" w:rsidP="00B3096C">
      <w:pPr>
        <w:jc w:val="both"/>
      </w:pPr>
      <w:r>
        <w:t>E</w:t>
      </w:r>
      <w:r w:rsidRPr="00B3096C">
        <w:t>irini Eleni Andreadaki</w:t>
      </w:r>
      <w:r w:rsidRPr="00B3096C">
        <w:rPr>
          <w:vertAlign w:val="superscript"/>
        </w:rPr>
        <w:t>1</w:t>
      </w:r>
      <w:r w:rsidRPr="00B3096C">
        <w:t>, Sevastiani Gialopsou</w:t>
      </w:r>
      <w:r w:rsidRPr="00B3096C">
        <w:rPr>
          <w:vertAlign w:val="superscript"/>
        </w:rPr>
        <w:t>1</w:t>
      </w:r>
      <w:r w:rsidRPr="00B3096C">
        <w:t>, Theofania Kalaitzi</w:t>
      </w:r>
      <w:r w:rsidRPr="00B3096C">
        <w:rPr>
          <w:vertAlign w:val="superscript"/>
        </w:rPr>
        <w:t>1</w:t>
      </w:r>
      <w:r w:rsidRPr="00B3096C">
        <w:t>, Poutachidis Theofilos</w:t>
      </w:r>
      <w:r w:rsidRPr="00B3096C">
        <w:rPr>
          <w:vertAlign w:val="superscript"/>
        </w:rPr>
        <w:t>2</w:t>
      </w:r>
    </w:p>
    <w:p w14:paraId="12F64FC8" w14:textId="77777777" w:rsidR="00B3096C" w:rsidRPr="00B3096C" w:rsidRDefault="00B3096C">
      <w:pPr>
        <w:numPr>
          <w:ilvl w:val="0"/>
          <w:numId w:val="146"/>
        </w:numPr>
        <w:jc w:val="both"/>
      </w:pPr>
      <w:r w:rsidRPr="00B3096C">
        <w:t>Undergraduate Student, School of Veterinary Medicine, Faculty of Health Sciences, Aristotle University of Thessaloniki</w:t>
      </w:r>
    </w:p>
    <w:p w14:paraId="0E5F6B6C" w14:textId="77777777" w:rsidR="00B3096C" w:rsidRDefault="00B3096C">
      <w:pPr>
        <w:numPr>
          <w:ilvl w:val="0"/>
          <w:numId w:val="146"/>
        </w:numPr>
        <w:jc w:val="both"/>
      </w:pPr>
      <w:r w:rsidRPr="00B3096C">
        <w:rPr>
          <w:vertAlign w:val="superscript"/>
        </w:rPr>
        <w:t> </w:t>
      </w:r>
      <w:r w:rsidRPr="00B3096C">
        <w:t>Professor, School of Veterinary Medicine, Faculty of Health Sciences, Aristotle University of Thessaloniki</w:t>
      </w:r>
    </w:p>
    <w:p w14:paraId="1C833F0A" w14:textId="77777777" w:rsidR="00B3096C" w:rsidRPr="00B3096C" w:rsidRDefault="00B3096C" w:rsidP="00B3096C">
      <w:pPr>
        <w:ind w:left="720"/>
        <w:jc w:val="both"/>
      </w:pPr>
    </w:p>
    <w:p w14:paraId="7DA8D7CF" w14:textId="77777777" w:rsidR="00B3096C" w:rsidRPr="00B3096C" w:rsidRDefault="00B3096C" w:rsidP="00B3096C">
      <w:pPr>
        <w:jc w:val="both"/>
      </w:pPr>
      <w:r w:rsidRPr="00B3096C">
        <w:rPr>
          <w:b/>
          <w:bCs/>
        </w:rPr>
        <w:t>Abstract</w:t>
      </w:r>
    </w:p>
    <w:p w14:paraId="516C2EA3" w14:textId="77777777" w:rsidR="00B3096C" w:rsidRPr="00B3096C" w:rsidRDefault="00B3096C" w:rsidP="00B3096C">
      <w:pPr>
        <w:jc w:val="both"/>
      </w:pPr>
      <w:r w:rsidRPr="00B3096C">
        <w:t> Transmissible cancers represent a rare and highly intriguing category of neoplasms, as they are transmitted as allografts and/or xenografts. In the present study, at first we analyse the evolutionary origin of this neoplastic type, , with emphasis on its clonal nature and long-term adaptation to hosts. Next, we examine the host anti-tumoral immune mechanisms involved, along with the immune evasion strategies of the tumor cells that enable their survival and transmission. In addition, we present the mechanisms of pathogenesis, and summarize the known types of transmissible cancers described to date, such as the Canine Transmissible Venereal Tumor (CTVT) in dogs and the Devil Facial Tumor Disease (DFTD) in Tasmanian devils. We also briefly comment on analogous cases observed in bivalves and hamsters. Finally, we discuss the significance of these neoplasms for understanding cancer biology, highlighting novel perspectives on tumor evolution, transmission, and tumor–host immune interactions, as well as their potential implications for modern oncology.</w:t>
      </w:r>
    </w:p>
    <w:p w14:paraId="3E460898" w14:textId="77777777" w:rsidR="00B3096C" w:rsidRPr="00B3096C" w:rsidRDefault="00B3096C" w:rsidP="00B3096C">
      <w:pPr>
        <w:jc w:val="both"/>
      </w:pPr>
    </w:p>
    <w:p w14:paraId="1FC47FD8" w14:textId="77777777" w:rsidR="00B3096C" w:rsidRPr="00B3096C" w:rsidRDefault="00B3096C" w:rsidP="00B3096C">
      <w:pPr>
        <w:jc w:val="both"/>
      </w:pPr>
      <w:r w:rsidRPr="00B3096C">
        <w:rPr>
          <w:b/>
          <w:bCs/>
        </w:rPr>
        <w:t>Bibliography</w:t>
      </w:r>
    </w:p>
    <w:p w14:paraId="50694607" w14:textId="77777777" w:rsidR="00B3096C" w:rsidRPr="00B3096C" w:rsidRDefault="00B3096C" w:rsidP="00B3096C">
      <w:pPr>
        <w:jc w:val="both"/>
      </w:pPr>
      <w:r w:rsidRPr="00B3096C">
        <w:t xml:space="preserve">Batley, K., Pye, R., Farquharson, K., Cheng, Y., Flies, A., Hogg, C., &amp; Belov, K. (2025). </w:t>
      </w:r>
      <w:r w:rsidRPr="00B3096C">
        <w:rPr>
          <w:i/>
          <w:iCs/>
        </w:rPr>
        <w:t>Immune recognition of transmissible cancers in Tasmanian devils with MHC-I deletion</w:t>
      </w:r>
      <w:r w:rsidRPr="00B3096C">
        <w:t>. bioRxiv.</w:t>
      </w:r>
      <w:hyperlink r:id="rId199" w:history="1">
        <w:r w:rsidRPr="00B3096C">
          <w:rPr>
            <w:rStyle w:val="-"/>
          </w:rPr>
          <w:t> </w:t>
        </w:r>
      </w:hyperlink>
    </w:p>
    <w:p w14:paraId="71B05C19" w14:textId="77777777" w:rsidR="00B3096C" w:rsidRPr="00B3096C" w:rsidRDefault="00B3096C" w:rsidP="00B3096C">
      <w:pPr>
        <w:jc w:val="both"/>
      </w:pPr>
      <w:r w:rsidRPr="00B3096C">
        <w:t xml:space="preserve">Dujon, A. M., Gatenby, R. A., Bramwell, G., MacDonald, N., Dohrmann, E., Raven, N., et al. (2020). </w:t>
      </w:r>
      <w:r w:rsidRPr="00B3096C">
        <w:rPr>
          <w:i/>
          <w:iCs/>
        </w:rPr>
        <w:t>Transmissible cancers in an evolutionary perspective</w:t>
      </w:r>
      <w:r w:rsidRPr="00B3096C">
        <w:t xml:space="preserve">. </w:t>
      </w:r>
      <w:r w:rsidRPr="00B3096C">
        <w:rPr>
          <w:i/>
          <w:iCs/>
        </w:rPr>
        <w:t>iScience, 23</w:t>
      </w:r>
      <w:r w:rsidRPr="00B3096C">
        <w:t>(7).</w:t>
      </w:r>
    </w:p>
    <w:p w14:paraId="15CA17F5" w14:textId="77777777" w:rsidR="00B3096C" w:rsidRPr="00B3096C" w:rsidRDefault="00B3096C" w:rsidP="00B3096C">
      <w:pPr>
        <w:jc w:val="both"/>
      </w:pPr>
      <w:r w:rsidRPr="00B3096C">
        <w:t xml:space="preserve">Duzanski, A., Flórez, L., Fêo, H., Romagnoli, G., Kaneno, R., &amp; Rocha, N. (2022). </w:t>
      </w:r>
      <w:r w:rsidRPr="00B3096C">
        <w:rPr>
          <w:i/>
          <w:iCs/>
        </w:rPr>
        <w:t>Cell-mediated immunity and expression of MHC class I and class II molecules in dogs naturally infected by canine transmissible venereal tumo</w:t>
      </w:r>
      <w:r w:rsidRPr="00B3096C">
        <w:t xml:space="preserve">r. </w:t>
      </w:r>
      <w:r w:rsidRPr="00B3096C">
        <w:rPr>
          <w:i/>
          <w:iCs/>
        </w:rPr>
        <w:t>Research in Veterinary Science, 145</w:t>
      </w:r>
      <w:r w:rsidRPr="00B3096C">
        <w:t>, 193–204.</w:t>
      </w:r>
      <w:hyperlink r:id="rId200" w:history="1">
        <w:r w:rsidRPr="00B3096C">
          <w:rPr>
            <w:rStyle w:val="-"/>
          </w:rPr>
          <w:t> </w:t>
        </w:r>
      </w:hyperlink>
    </w:p>
    <w:p w14:paraId="0505C2A3" w14:textId="77777777" w:rsidR="00B3096C" w:rsidRPr="00B3096C" w:rsidRDefault="00B3096C" w:rsidP="00B3096C">
      <w:pPr>
        <w:jc w:val="both"/>
      </w:pPr>
      <w:r w:rsidRPr="00B3096C">
        <w:t xml:space="preserve">Fêo, H., Flórez, L., Yamatogi, R., Duzanski, A., Araújo, J., De Oliveira, R., &amp; Rocha, N. (2018). Tumour microenvironment in canine transmissible venereal tumour. </w:t>
      </w:r>
      <w:r w:rsidRPr="00B3096C">
        <w:rPr>
          <w:i/>
          <w:iCs/>
        </w:rPr>
        <w:t>Veterinary and Comparative Oncology, 16</w:t>
      </w:r>
      <w:r w:rsidRPr="00B3096C">
        <w:t>(3), 370–378.</w:t>
      </w:r>
      <w:hyperlink r:id="rId201" w:history="1">
        <w:r w:rsidRPr="00B3096C">
          <w:rPr>
            <w:rStyle w:val="-"/>
          </w:rPr>
          <w:t> </w:t>
        </w:r>
      </w:hyperlink>
    </w:p>
    <w:p w14:paraId="49089645" w14:textId="77777777" w:rsidR="00B3096C" w:rsidRPr="00B3096C" w:rsidRDefault="00B3096C" w:rsidP="00B3096C">
      <w:pPr>
        <w:jc w:val="both"/>
      </w:pPr>
      <w:r w:rsidRPr="00B3096C">
        <w:t xml:space="preserve">Kattner, P., Zeiler, K., Herbener, V. J., La Ferla-Brühl, K., Kassubek, R., Grunert, M., et al. (2021). </w:t>
      </w:r>
      <w:r w:rsidRPr="00B3096C">
        <w:rPr>
          <w:i/>
          <w:iCs/>
        </w:rPr>
        <w:t>What animal cancers teach us about human biology.</w:t>
      </w:r>
      <w:r w:rsidRPr="00B3096C">
        <w:t xml:space="preserve"> </w:t>
      </w:r>
      <w:r w:rsidRPr="00B3096C">
        <w:rPr>
          <w:i/>
          <w:iCs/>
        </w:rPr>
        <w:t>Theranostics, 11</w:t>
      </w:r>
      <w:r w:rsidRPr="00B3096C">
        <w:t>(14), 6682–6702.</w:t>
      </w:r>
    </w:p>
    <w:p w14:paraId="6979B19A" w14:textId="77777777" w:rsidR="00B3096C" w:rsidRPr="00B3096C" w:rsidRDefault="00B3096C" w:rsidP="00B3096C">
      <w:pPr>
        <w:jc w:val="both"/>
      </w:pPr>
      <w:r w:rsidRPr="00B3096C">
        <w:t xml:space="preserve">McCallum, H., Jones, M., Hawkins, C., Hamede, R., Lachish, S., Sinn, D. L., et al. (2009). </w:t>
      </w:r>
      <w:r w:rsidRPr="00B3096C">
        <w:rPr>
          <w:i/>
          <w:iCs/>
        </w:rPr>
        <w:t>Transmission dynamics of Tasmanian devil facial tumor disease may lead to disease-induced extinction.</w:t>
      </w:r>
      <w:r w:rsidRPr="00B3096C">
        <w:t xml:space="preserve"> </w:t>
      </w:r>
      <w:r w:rsidRPr="00B3096C">
        <w:rPr>
          <w:i/>
          <w:iCs/>
        </w:rPr>
        <w:t>Ecology, 90</w:t>
      </w:r>
      <w:r w:rsidRPr="00B3096C">
        <w:t>(12), 3379–3392.</w:t>
      </w:r>
    </w:p>
    <w:p w14:paraId="7C9F474B" w14:textId="77777777" w:rsidR="00B3096C" w:rsidRPr="00B3096C" w:rsidRDefault="00B3096C" w:rsidP="00B3096C">
      <w:pPr>
        <w:jc w:val="both"/>
      </w:pPr>
      <w:r w:rsidRPr="00B3096C">
        <w:lastRenderedPageBreak/>
        <w:t xml:space="preserve">McCallum, H., &amp; Jones, M. (2012). Infectious cancers in wildlife. In A. A. Aguirre, R. S. Ostfeld, &amp; P. Daszak (Eds.), </w:t>
      </w:r>
      <w:r w:rsidRPr="00B3096C">
        <w:rPr>
          <w:i/>
          <w:iCs/>
        </w:rPr>
        <w:t>Conservation medicine: Applied cases of ecological health</w:t>
      </w:r>
      <w:r w:rsidRPr="00B3096C">
        <w:t xml:space="preserve"> (pp. 270–283). Oxford University Press.</w:t>
      </w:r>
    </w:p>
    <w:p w14:paraId="057F0D19" w14:textId="77777777" w:rsidR="00B3096C" w:rsidRPr="00B3096C" w:rsidRDefault="00B3096C" w:rsidP="00B3096C">
      <w:pPr>
        <w:jc w:val="both"/>
      </w:pPr>
      <w:r w:rsidRPr="00B3096C">
        <w:t xml:space="preserve">Murgia, C., Pritchard, J. K., Kim, S. Y., Fassati, A., &amp; Weiss, R. A. (2006). Clonal origin and evolution of a transmissible cancer. </w:t>
      </w:r>
      <w:r w:rsidRPr="00B3096C">
        <w:rPr>
          <w:i/>
          <w:iCs/>
        </w:rPr>
        <w:t>Cell, 126</w:t>
      </w:r>
      <w:r w:rsidRPr="00B3096C">
        <w:t>(3), 477–487.</w:t>
      </w:r>
    </w:p>
    <w:p w14:paraId="76262D81" w14:textId="77777777" w:rsidR="00B3096C" w:rsidRPr="00B3096C" w:rsidRDefault="00B3096C" w:rsidP="00B3096C">
      <w:pPr>
        <w:jc w:val="both"/>
      </w:pPr>
      <w:r w:rsidRPr="00B3096C">
        <w:t xml:space="preserve">Mukaratirwa, S., &amp; Gruys, E. (2003). Canine transmissible venereal tumour: Immunobiology review. </w:t>
      </w:r>
      <w:r w:rsidRPr="00B3096C">
        <w:rPr>
          <w:i/>
          <w:iCs/>
        </w:rPr>
        <w:t>Veterinary Quarterly, 25</w:t>
      </w:r>
      <w:r w:rsidRPr="00B3096C">
        <w:t>(3), 101–111.</w:t>
      </w:r>
      <w:hyperlink r:id="rId202" w:history="1">
        <w:r w:rsidRPr="00B3096C">
          <w:rPr>
            <w:rStyle w:val="-"/>
          </w:rPr>
          <w:t> </w:t>
        </w:r>
      </w:hyperlink>
    </w:p>
    <w:p w14:paraId="31AC9B43" w14:textId="77777777" w:rsidR="00B3096C" w:rsidRPr="00B3096C" w:rsidRDefault="00B3096C" w:rsidP="00B3096C">
      <w:pPr>
        <w:jc w:val="both"/>
      </w:pPr>
      <w:r w:rsidRPr="00B3096C">
        <w:t>Ostrander, E. A., Davis, B. W., &amp; Ostrander, G. K. (2016). T</w:t>
      </w:r>
      <w:r w:rsidRPr="00B3096C">
        <w:rPr>
          <w:i/>
          <w:iCs/>
        </w:rPr>
        <w:t>ransmissible tumors: Breaking the cancer paradigm</w:t>
      </w:r>
      <w:r w:rsidRPr="00B3096C">
        <w:t xml:space="preserve">. </w:t>
      </w:r>
      <w:r w:rsidRPr="00B3096C">
        <w:rPr>
          <w:i/>
          <w:iCs/>
        </w:rPr>
        <w:t>Trends in Genetics, 32</w:t>
      </w:r>
      <w:r w:rsidRPr="00B3096C">
        <w:t>(1), 1–15.</w:t>
      </w:r>
    </w:p>
    <w:p w14:paraId="45CD144F" w14:textId="77777777" w:rsidR="00B3096C" w:rsidRPr="00B3096C" w:rsidRDefault="00B3096C" w:rsidP="00B3096C">
      <w:pPr>
        <w:jc w:val="both"/>
      </w:pPr>
      <w:r w:rsidRPr="00B3096C">
        <w:t>Quammen, D. (2008).</w:t>
      </w:r>
      <w:r w:rsidRPr="00B3096C">
        <w:rPr>
          <w:i/>
          <w:iCs/>
        </w:rPr>
        <w:t xml:space="preserve"> Contagious cancer</w:t>
      </w:r>
      <w:r w:rsidRPr="00B3096C">
        <w:t xml:space="preserve">. </w:t>
      </w:r>
      <w:r w:rsidRPr="00B3096C">
        <w:rPr>
          <w:i/>
          <w:iCs/>
        </w:rPr>
        <w:t>Harper's Magazine, 317</w:t>
      </w:r>
      <w:r w:rsidRPr="00B3096C">
        <w:t>(1901), 34–40.</w:t>
      </w:r>
    </w:p>
    <w:p w14:paraId="6790F2AA" w14:textId="77777777" w:rsidR="00B3096C" w:rsidRPr="00B3096C" w:rsidRDefault="00B3096C" w:rsidP="00B3096C">
      <w:pPr>
        <w:jc w:val="both"/>
      </w:pPr>
      <w:r w:rsidRPr="00B3096C">
        <w:t xml:space="preserve">Siddle, H., &amp; Kaufman, J. (2015). </w:t>
      </w:r>
      <w:r w:rsidRPr="00B3096C">
        <w:rPr>
          <w:i/>
          <w:iCs/>
        </w:rPr>
        <w:t>Immunology of naturally transmissible tumours. Immunology, 144</w:t>
      </w:r>
      <w:r w:rsidRPr="00B3096C">
        <w:t>(1), 11–20.</w:t>
      </w:r>
      <w:hyperlink r:id="rId203" w:history="1">
        <w:r w:rsidRPr="00B3096C">
          <w:rPr>
            <w:rStyle w:val="-"/>
          </w:rPr>
          <w:t> </w:t>
        </w:r>
      </w:hyperlink>
    </w:p>
    <w:p w14:paraId="3EBA470A" w14:textId="77777777" w:rsidR="00B3096C" w:rsidRPr="00B3096C" w:rsidRDefault="00B3096C" w:rsidP="00B3096C">
      <w:pPr>
        <w:jc w:val="both"/>
      </w:pPr>
      <w:r w:rsidRPr="00B3096C">
        <w:t xml:space="preserve">Ujvari, B., Gatenby, R. A., &amp; Thomas, F. (2016). </w:t>
      </w:r>
      <w:r w:rsidRPr="00B3096C">
        <w:rPr>
          <w:i/>
          <w:iCs/>
        </w:rPr>
        <w:t>The evolutionary ecology of transmissible cancers</w:t>
      </w:r>
      <w:r w:rsidRPr="00B3096C">
        <w:t xml:space="preserve">. </w:t>
      </w:r>
      <w:r w:rsidRPr="00B3096C">
        <w:rPr>
          <w:i/>
          <w:iCs/>
        </w:rPr>
        <w:t>Infection, Genetics and Evolution, 39</w:t>
      </w:r>
      <w:r w:rsidRPr="00B3096C">
        <w:t>, 293–303.</w:t>
      </w:r>
    </w:p>
    <w:p w14:paraId="0B4417F6" w14:textId="77777777" w:rsidR="00B3096C" w:rsidRPr="00B3096C" w:rsidRDefault="00B3096C" w:rsidP="00B3096C">
      <w:pPr>
        <w:jc w:val="both"/>
      </w:pPr>
      <w:r w:rsidRPr="00B3096C">
        <w:t xml:space="preserve">Ujvari, B., Papenfuss, A. T., &amp; Belov, K. (2016). </w:t>
      </w:r>
      <w:r w:rsidRPr="00B3096C">
        <w:rPr>
          <w:i/>
          <w:iCs/>
        </w:rPr>
        <w:t xml:space="preserve">Transmissible cancers in an evolutionary context. </w:t>
      </w:r>
      <w:r w:rsidRPr="00B3096C">
        <w:t>Inside the Cell, 1(1), 17–26.</w:t>
      </w:r>
    </w:p>
    <w:p w14:paraId="57887D3E" w14:textId="77777777" w:rsidR="00B3096C" w:rsidRDefault="00B3096C" w:rsidP="00B3096C">
      <w:pPr>
        <w:jc w:val="both"/>
      </w:pP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p>
    <w:p w14:paraId="00551368" w14:textId="77777777" w:rsidR="00B3096C" w:rsidRDefault="00B3096C" w:rsidP="00B3096C">
      <w:pPr>
        <w:jc w:val="both"/>
      </w:pPr>
    </w:p>
    <w:p w14:paraId="636B43A7" w14:textId="77777777" w:rsidR="00B3096C" w:rsidRDefault="00B3096C" w:rsidP="00B3096C">
      <w:pPr>
        <w:jc w:val="both"/>
      </w:pPr>
    </w:p>
    <w:p w14:paraId="5574F504" w14:textId="77777777" w:rsidR="00B3096C" w:rsidRDefault="00B3096C" w:rsidP="00B3096C">
      <w:pPr>
        <w:jc w:val="both"/>
      </w:pPr>
    </w:p>
    <w:p w14:paraId="2C829EBF" w14:textId="77777777" w:rsidR="00B3096C" w:rsidRDefault="00B3096C" w:rsidP="00B3096C">
      <w:pPr>
        <w:jc w:val="both"/>
      </w:pPr>
    </w:p>
    <w:p w14:paraId="5FE40FB3" w14:textId="77777777" w:rsidR="00B3096C" w:rsidRDefault="00B3096C" w:rsidP="00B3096C">
      <w:pPr>
        <w:jc w:val="both"/>
      </w:pPr>
    </w:p>
    <w:p w14:paraId="36B27447" w14:textId="77777777" w:rsidR="00B3096C" w:rsidRDefault="00B3096C" w:rsidP="00B3096C">
      <w:pPr>
        <w:jc w:val="both"/>
      </w:pPr>
    </w:p>
    <w:p w14:paraId="2BD482D8" w14:textId="77777777" w:rsidR="00B3096C" w:rsidRDefault="00B3096C" w:rsidP="00B3096C">
      <w:pPr>
        <w:jc w:val="both"/>
      </w:pPr>
    </w:p>
    <w:p w14:paraId="4E57FD3A" w14:textId="772399E9" w:rsidR="00B3096C" w:rsidRPr="00B3096C" w:rsidRDefault="00B3096C" w:rsidP="00B3096C">
      <w:pPr>
        <w:jc w:val="both"/>
      </w:pPr>
      <w:r w:rsidRPr="00B3096C">
        <w:br/>
      </w:r>
    </w:p>
    <w:p w14:paraId="5FF3281A" w14:textId="12AC7469" w:rsidR="00B3096C" w:rsidRPr="00B3096C" w:rsidRDefault="00B3096C" w:rsidP="00B3096C">
      <w:pPr>
        <w:jc w:val="both"/>
      </w:pPr>
      <w:r w:rsidRPr="00B3096C">
        <w:rPr>
          <w:b/>
          <w:bCs/>
        </w:rPr>
        <w:lastRenderedPageBreak/>
        <w:t>Brachycephalic Obstructive Airway Syndrome (B.O.A.S.)</w:t>
      </w:r>
    </w:p>
    <w:p w14:paraId="0E5645DD" w14:textId="77777777" w:rsidR="00B3096C" w:rsidRPr="00B3096C" w:rsidRDefault="00B3096C" w:rsidP="00B3096C">
      <w:pPr>
        <w:jc w:val="both"/>
      </w:pPr>
      <w:r w:rsidRPr="00B3096C">
        <w:t>Efthymiadi Efraimia¹, Kapetanakis Leonidas¹, Kapsokefalou Ioanna¹, Tsioli Vasiliki²</w:t>
      </w:r>
    </w:p>
    <w:p w14:paraId="1EC2EFA7" w14:textId="77777777" w:rsidR="00B3096C" w:rsidRPr="00B3096C" w:rsidRDefault="00B3096C">
      <w:pPr>
        <w:numPr>
          <w:ilvl w:val="0"/>
          <w:numId w:val="147"/>
        </w:numPr>
        <w:jc w:val="both"/>
      </w:pPr>
      <w:r w:rsidRPr="00B3096C">
        <w:t>Undergraduate student, Department of Veterinary Medicine, School of Health Sciences, University of Thessaly.</w:t>
      </w:r>
    </w:p>
    <w:p w14:paraId="37708E45" w14:textId="77777777" w:rsidR="00B3096C" w:rsidRDefault="00B3096C">
      <w:pPr>
        <w:numPr>
          <w:ilvl w:val="0"/>
          <w:numId w:val="147"/>
        </w:numPr>
        <w:jc w:val="both"/>
      </w:pPr>
      <w:r w:rsidRPr="00B3096C">
        <w:t>Professor, Department of Veterinary Medicine, School of Health Sciences, University of Thessaly.</w:t>
      </w:r>
    </w:p>
    <w:p w14:paraId="334334D7" w14:textId="77777777" w:rsidR="00B3096C" w:rsidRPr="00B3096C" w:rsidRDefault="00B3096C" w:rsidP="00B3096C">
      <w:pPr>
        <w:ind w:left="720"/>
        <w:jc w:val="both"/>
      </w:pPr>
    </w:p>
    <w:p w14:paraId="740EB42C" w14:textId="77777777" w:rsidR="00B3096C" w:rsidRPr="00B3096C" w:rsidRDefault="00B3096C" w:rsidP="00B3096C">
      <w:pPr>
        <w:jc w:val="both"/>
      </w:pPr>
      <w:r w:rsidRPr="00B3096C">
        <w:rPr>
          <w:b/>
          <w:bCs/>
        </w:rPr>
        <w:t>Abstract</w:t>
      </w:r>
    </w:p>
    <w:p w14:paraId="1C9C985E" w14:textId="6C26B67C" w:rsidR="00B3096C" w:rsidRDefault="00B3096C" w:rsidP="00B3096C">
      <w:pPr>
        <w:jc w:val="both"/>
      </w:pPr>
      <w:r w:rsidRPr="00B3096C">
        <w:t>This poster presentation analyzes Brachycephalic Obstructive Airway Syndrome in dogs and cats (BOAS), a multifactorial pathological condition caused by anatomical abnormalities of the upper airways. The main pathological alterations are analyzed, such as narrowing of the nasal cavities, elongation of the soft palate, tracheal hypoplasia and laryngeal cavity eversion, as well as the progressive deterioration due to chronic increased airflow resistance. The clinical symptoms are then presented, which include dyspnea, noisy breathing, reduced exercise tolerance and possible acute attacks of respiratory distress, especially in conditions of heat stress. The diagnosis is based on medical history, clinical examination and complementary diagnostic methods. The therapeutic approach includes conservative measures, such as weight control and avoidance of triggers, as well as surgical treatment with techniques such as rhinoplasty, soft palate resection and laryngoplasty. Finally, the importance of early intervention is highlighted to improve the quality of life and prognosis of the affected animals.</w:t>
      </w:r>
    </w:p>
    <w:p w14:paraId="6DF7B56D" w14:textId="77777777" w:rsidR="00B3096C" w:rsidRPr="00B3096C" w:rsidRDefault="00B3096C" w:rsidP="00B3096C">
      <w:pPr>
        <w:jc w:val="both"/>
      </w:pPr>
    </w:p>
    <w:p w14:paraId="3E8E0B84" w14:textId="77777777" w:rsidR="00B3096C" w:rsidRPr="00B3096C" w:rsidRDefault="00B3096C" w:rsidP="00B3096C">
      <w:pPr>
        <w:jc w:val="both"/>
      </w:pPr>
      <w:r w:rsidRPr="00B3096C">
        <w:rPr>
          <w:b/>
          <w:bCs/>
        </w:rPr>
        <w:t>Bibliography</w:t>
      </w:r>
    </w:p>
    <w:p w14:paraId="6A5C97B9" w14:textId="77777777" w:rsidR="00B3096C" w:rsidRPr="00B3096C" w:rsidRDefault="00B3096C" w:rsidP="00B3096C">
      <w:pPr>
        <w:jc w:val="both"/>
      </w:pPr>
      <w:r w:rsidRPr="00B3096C">
        <w:t xml:space="preserve">Batley, K., Pye, R., Farquharson, K., Cheng, Y., Flies, A., Hogg, C., &amp; Belov, K. (2025). </w:t>
      </w:r>
      <w:r w:rsidRPr="00B3096C">
        <w:rPr>
          <w:i/>
          <w:iCs/>
        </w:rPr>
        <w:t>Immune recognition of transmissible cancers in Tasmanian devils with MHC-I deletion</w:t>
      </w:r>
      <w:r w:rsidRPr="00B3096C">
        <w:t>. bioRxiv.</w:t>
      </w:r>
      <w:hyperlink r:id="rId204" w:history="1">
        <w:r w:rsidRPr="00B3096C">
          <w:rPr>
            <w:rStyle w:val="-"/>
          </w:rPr>
          <w:t> </w:t>
        </w:r>
      </w:hyperlink>
    </w:p>
    <w:p w14:paraId="7D358D10" w14:textId="77777777" w:rsidR="00B3096C" w:rsidRPr="00B3096C" w:rsidRDefault="00B3096C" w:rsidP="00B3096C">
      <w:pPr>
        <w:jc w:val="both"/>
      </w:pPr>
      <w:r w:rsidRPr="00B3096C">
        <w:t xml:space="preserve">Cambridge Veterinary School. (2016). </w:t>
      </w:r>
      <w:r w:rsidRPr="00B3096C">
        <w:rPr>
          <w:i/>
          <w:iCs/>
        </w:rPr>
        <w:t>Respiratory function assessment</w:t>
      </w:r>
      <w:r w:rsidRPr="00B3096C">
        <w:t>. Department of Veterinary Medicine, University of Cambridge.</w:t>
      </w:r>
      <w:hyperlink r:id="rId205" w:history="1">
        <w:r w:rsidRPr="00B3096C">
          <w:rPr>
            <w:rStyle w:val="-"/>
          </w:rPr>
          <w:t> </w:t>
        </w:r>
      </w:hyperlink>
    </w:p>
    <w:p w14:paraId="0A719E7E" w14:textId="77777777" w:rsidR="00B3096C" w:rsidRPr="00B3096C" w:rsidRDefault="00B3096C" w:rsidP="00B3096C">
      <w:pPr>
        <w:jc w:val="both"/>
      </w:pPr>
      <w:r w:rsidRPr="00B3096C">
        <w:t xml:space="preserve">Cambridge Veterinary School. (n.d.). </w:t>
      </w:r>
      <w:r w:rsidRPr="00B3096C">
        <w:rPr>
          <w:i/>
          <w:iCs/>
        </w:rPr>
        <w:t>Recognition &amp; diagnosis</w:t>
      </w:r>
      <w:r w:rsidRPr="00B3096C">
        <w:t>. Department of Veterinary Medicine, University of Cambridge.</w:t>
      </w:r>
      <w:hyperlink r:id="rId206" w:history="1">
        <w:r w:rsidRPr="00B3096C">
          <w:rPr>
            <w:rStyle w:val="-"/>
          </w:rPr>
          <w:t> </w:t>
        </w:r>
      </w:hyperlink>
    </w:p>
    <w:p w14:paraId="43DA0F08" w14:textId="77777777" w:rsidR="00B3096C" w:rsidRPr="00B3096C" w:rsidRDefault="00B3096C" w:rsidP="00B3096C">
      <w:pPr>
        <w:jc w:val="both"/>
      </w:pPr>
      <w:r w:rsidRPr="00B3096C">
        <w:t xml:space="preserve">Dujon, A. M., Gatenby, R. A., Bramwell, G., MacDonald, N., Dohrmann, E., Raven, N., et al. (2020). Transmissible cancers in an evolutionary perspective. </w:t>
      </w:r>
      <w:r w:rsidRPr="00B3096C">
        <w:rPr>
          <w:i/>
          <w:iCs/>
        </w:rPr>
        <w:t>iScience, 23</w:t>
      </w:r>
      <w:r w:rsidRPr="00B3096C">
        <w:t>(7).</w:t>
      </w:r>
    </w:p>
    <w:p w14:paraId="1F7F75C8" w14:textId="77777777" w:rsidR="00B3096C" w:rsidRPr="00B3096C" w:rsidRDefault="00B3096C" w:rsidP="00B3096C">
      <w:pPr>
        <w:jc w:val="both"/>
      </w:pPr>
      <w:r w:rsidRPr="00B3096C">
        <w:t xml:space="preserve">Duzanski, A., Flórez, L., Fêo, H., Romagnoli, G., Kaneno, R., &amp; Rocha, N. (2022). Cell-mediated immunity and expression of MHC class I and class II molecules in dogs naturally infected by canine transmissible venereal tumor. </w:t>
      </w:r>
      <w:r w:rsidRPr="00B3096C">
        <w:rPr>
          <w:i/>
          <w:iCs/>
        </w:rPr>
        <w:t>Research in Veterinary Science, 145</w:t>
      </w:r>
      <w:r w:rsidRPr="00B3096C">
        <w:t>, 193–204.</w:t>
      </w:r>
      <w:hyperlink r:id="rId207" w:history="1">
        <w:r w:rsidRPr="00B3096C">
          <w:rPr>
            <w:rStyle w:val="-"/>
          </w:rPr>
          <w:t> </w:t>
        </w:r>
      </w:hyperlink>
    </w:p>
    <w:p w14:paraId="77D64541" w14:textId="77777777" w:rsidR="00B3096C" w:rsidRPr="00B3096C" w:rsidRDefault="00B3096C" w:rsidP="00B3096C">
      <w:pPr>
        <w:jc w:val="both"/>
      </w:pPr>
      <w:r w:rsidRPr="00B3096C">
        <w:t xml:space="preserve">Dupré, G., &amp; Heidenreich, D. (2016). Brachycephalic syndrome. </w:t>
      </w:r>
      <w:r w:rsidRPr="00B3096C">
        <w:rPr>
          <w:i/>
          <w:iCs/>
        </w:rPr>
        <w:t>Veterinary Clinics of North America: Small Animal Practice, 46</w:t>
      </w:r>
      <w:r w:rsidRPr="00B3096C">
        <w:t>(4), 691–707.</w:t>
      </w:r>
    </w:p>
    <w:p w14:paraId="722BD961" w14:textId="77777777" w:rsidR="00B3096C" w:rsidRPr="00B3096C" w:rsidRDefault="00B3096C" w:rsidP="00B3096C">
      <w:pPr>
        <w:jc w:val="both"/>
      </w:pPr>
      <w:r w:rsidRPr="00B3096C">
        <w:t xml:space="preserve">Fêo, H., Flórez, L., Yamatogi, R., Duzanski, A., Araújo, J., De Oliveira, R., &amp; Rocha, N. (2018). Tumour microenvironment in canine transmissible venereal tumour. </w:t>
      </w:r>
      <w:r w:rsidRPr="00B3096C">
        <w:rPr>
          <w:i/>
          <w:iCs/>
        </w:rPr>
        <w:t>Veterinary and Comparative Oncology, 16</w:t>
      </w:r>
      <w:r w:rsidRPr="00B3096C">
        <w:t>(3), 370–378.</w:t>
      </w:r>
      <w:hyperlink r:id="rId208" w:history="1">
        <w:r w:rsidRPr="00B3096C">
          <w:rPr>
            <w:rStyle w:val="-"/>
          </w:rPr>
          <w:t> </w:t>
        </w:r>
      </w:hyperlink>
    </w:p>
    <w:p w14:paraId="173F475E" w14:textId="77777777" w:rsidR="00B3096C" w:rsidRPr="00B3096C" w:rsidRDefault="00B3096C" w:rsidP="00B3096C">
      <w:pPr>
        <w:jc w:val="both"/>
      </w:pPr>
      <w:r w:rsidRPr="00B3096C">
        <w:lastRenderedPageBreak/>
        <w:t xml:space="preserve">Kattner, P., Zeiler, K., Herbener, V. J., La Ferla-Brühl, K., Kassubek, R., Grunert, M., et al. (2021). What animal cancers teach us about human biology. </w:t>
      </w:r>
      <w:r w:rsidRPr="00B3096C">
        <w:rPr>
          <w:i/>
          <w:iCs/>
        </w:rPr>
        <w:t>Theranostics, 11</w:t>
      </w:r>
      <w:r w:rsidRPr="00B3096C">
        <w:t>(14), 6682–6702.</w:t>
      </w:r>
    </w:p>
    <w:p w14:paraId="71A18EA1" w14:textId="77777777" w:rsidR="00B3096C" w:rsidRPr="00B3096C" w:rsidRDefault="00B3096C" w:rsidP="00B3096C">
      <w:pPr>
        <w:jc w:val="both"/>
      </w:pPr>
      <w:r w:rsidRPr="00B3096C">
        <w:t xml:space="preserve">Ladlow, J. (2021). Brachycephalic obstructive airway syndrome: Guide to the respiratory functional grading scheme. </w:t>
      </w:r>
      <w:r w:rsidRPr="00B3096C">
        <w:rPr>
          <w:i/>
          <w:iCs/>
        </w:rPr>
        <w:t>In Practice, 43</w:t>
      </w:r>
      <w:r w:rsidRPr="00B3096C">
        <w:t>(10), 548–555.</w:t>
      </w:r>
    </w:p>
    <w:p w14:paraId="5DE99A24" w14:textId="77777777" w:rsidR="00B3096C" w:rsidRPr="00B3096C" w:rsidRDefault="00B3096C" w:rsidP="00B3096C">
      <w:pPr>
        <w:jc w:val="both"/>
      </w:pPr>
      <w:r w:rsidRPr="00B3096C">
        <w:t xml:space="preserve">Ladlow, J., Liu, N. C., Kalmar, L., &amp; Sargan, D. (2018). Brachycephalic obstructive airway syndrome. </w:t>
      </w:r>
      <w:r w:rsidRPr="00B3096C">
        <w:rPr>
          <w:i/>
          <w:iCs/>
        </w:rPr>
        <w:t>Veterinary Record, 182</w:t>
      </w:r>
      <w:r w:rsidRPr="00B3096C">
        <w:t>(13), 375–378.</w:t>
      </w:r>
    </w:p>
    <w:p w14:paraId="65CB4765" w14:textId="77777777" w:rsidR="00B3096C" w:rsidRPr="00B3096C" w:rsidRDefault="00B3096C" w:rsidP="00B3096C">
      <w:pPr>
        <w:jc w:val="both"/>
      </w:pPr>
      <w:r w:rsidRPr="00B3096C">
        <w:t xml:space="preserve">Lindsay, B., Cook, D., Wetzel, J. M., Siess, S., &amp; Moses, P. (2020). Brachycephalic airway syndrome: Management of post-operative respiratory complications in 248 dogs. </w:t>
      </w:r>
      <w:r w:rsidRPr="00B3096C">
        <w:rPr>
          <w:i/>
          <w:iCs/>
        </w:rPr>
        <w:t>Australian Veterinary Journal, 98</w:t>
      </w:r>
      <w:r w:rsidRPr="00B3096C">
        <w:t>(5), 173–180.</w:t>
      </w:r>
    </w:p>
    <w:p w14:paraId="427ED23F" w14:textId="77777777" w:rsidR="00B3096C" w:rsidRPr="00B3096C" w:rsidRDefault="00B3096C" w:rsidP="00B3096C">
      <w:pPr>
        <w:jc w:val="both"/>
      </w:pPr>
      <w:r w:rsidRPr="00B3096C">
        <w:t xml:space="preserve">McCallum, H., Jones, M., Hawkins, C., Hamede, R., Lachish, S., Sinn, D. L., et al. (2009). Transmission dynamics of Tasmanian devil facial tumor disease may lead to disease-induced extinction. </w:t>
      </w:r>
      <w:r w:rsidRPr="00B3096C">
        <w:rPr>
          <w:i/>
          <w:iCs/>
        </w:rPr>
        <w:t>Ecology, 90</w:t>
      </w:r>
      <w:r w:rsidRPr="00B3096C">
        <w:t>(12), 3379–3392.</w:t>
      </w:r>
    </w:p>
    <w:p w14:paraId="16548B96" w14:textId="77777777" w:rsidR="00B3096C" w:rsidRPr="00B3096C" w:rsidRDefault="00B3096C" w:rsidP="00B3096C">
      <w:pPr>
        <w:jc w:val="both"/>
      </w:pPr>
      <w:r w:rsidRPr="00B3096C">
        <w:t xml:space="preserve">McCallum, H., &amp; Jones, M. (2012). Infectious cancers in wildlife. In A. A. Aguirre, R. S. Ostfeld, &amp; P. Daszak (Eds.), </w:t>
      </w:r>
      <w:r w:rsidRPr="00B3096C">
        <w:rPr>
          <w:i/>
          <w:iCs/>
        </w:rPr>
        <w:t>Conservation medicine: Applied cases of ecological health</w:t>
      </w:r>
      <w:r w:rsidRPr="00B3096C">
        <w:t xml:space="preserve"> (pp. 270–283). Oxford University Press.</w:t>
      </w:r>
    </w:p>
    <w:p w14:paraId="447BC505" w14:textId="77777777" w:rsidR="00B3096C" w:rsidRPr="00B3096C" w:rsidRDefault="00B3096C" w:rsidP="00B3096C">
      <w:pPr>
        <w:jc w:val="both"/>
      </w:pPr>
      <w:r w:rsidRPr="00B3096C">
        <w:t xml:space="preserve">Mitze, S., Barrs, V. R., Beatty, J. A., Hobi, S., &amp; Bęczkowski, P. M. (2022). Brachycephalic obstructive airway syndrome: Much more than a surgical problem. </w:t>
      </w:r>
      <w:r w:rsidRPr="00B3096C">
        <w:rPr>
          <w:i/>
          <w:iCs/>
        </w:rPr>
        <w:t>Veterinary Quarterly, 42</w:t>
      </w:r>
      <w:r w:rsidRPr="00B3096C">
        <w:t>(1), 213–223.</w:t>
      </w:r>
    </w:p>
    <w:p w14:paraId="5B422E40" w14:textId="77777777" w:rsidR="00B3096C" w:rsidRPr="00B3096C" w:rsidRDefault="00B3096C" w:rsidP="00B3096C">
      <w:pPr>
        <w:jc w:val="both"/>
      </w:pPr>
      <w:r w:rsidRPr="00B3096C">
        <w:t xml:space="preserve">Monnet, E. (2024). </w:t>
      </w:r>
      <w:r w:rsidRPr="00B3096C">
        <w:rPr>
          <w:i/>
          <w:iCs/>
        </w:rPr>
        <w:t>Small animal soft tissue surgery</w:t>
      </w:r>
      <w:r w:rsidRPr="00B3096C">
        <w:t xml:space="preserve"> (2nd ed.). Rotonda Publications.</w:t>
      </w:r>
    </w:p>
    <w:p w14:paraId="14F53A80" w14:textId="77777777" w:rsidR="00B3096C" w:rsidRPr="00B3096C" w:rsidRDefault="00B3096C" w:rsidP="00B3096C">
      <w:pPr>
        <w:jc w:val="both"/>
      </w:pPr>
      <w:r w:rsidRPr="00B3096C">
        <w:t xml:space="preserve">Murgia, C., Pritchard, J. K., Kim, S. Y., Fassati, A., &amp; Weiss, R. A. (2006). Clonal origin and evolution of a transmissible cancer. </w:t>
      </w:r>
      <w:r w:rsidRPr="00B3096C">
        <w:rPr>
          <w:i/>
          <w:iCs/>
        </w:rPr>
        <w:t>Cell, 126</w:t>
      </w:r>
      <w:r w:rsidRPr="00B3096C">
        <w:t>(3), 477–487.</w:t>
      </w:r>
    </w:p>
    <w:p w14:paraId="1ED1ED89" w14:textId="77777777" w:rsidR="00B3096C" w:rsidRPr="00B3096C" w:rsidRDefault="00B3096C" w:rsidP="00B3096C">
      <w:pPr>
        <w:jc w:val="both"/>
      </w:pPr>
      <w:r w:rsidRPr="00B3096C">
        <w:t xml:space="preserve">Mukaratirwa, S., &amp; Gruys, E. (2003). Canine transmissible venereal tumour: Immunobiology review. </w:t>
      </w:r>
      <w:r w:rsidRPr="00B3096C">
        <w:rPr>
          <w:i/>
          <w:iCs/>
        </w:rPr>
        <w:t>Veterinary Quarterly, 25</w:t>
      </w:r>
      <w:r w:rsidRPr="00B3096C">
        <w:t>(3), 101–111.</w:t>
      </w:r>
      <w:hyperlink r:id="rId209" w:history="1">
        <w:r w:rsidRPr="00B3096C">
          <w:rPr>
            <w:rStyle w:val="-"/>
          </w:rPr>
          <w:t> </w:t>
        </w:r>
      </w:hyperlink>
    </w:p>
    <w:p w14:paraId="76925A9C" w14:textId="77777777" w:rsidR="00B3096C" w:rsidRPr="00B3096C" w:rsidRDefault="00B3096C" w:rsidP="00B3096C">
      <w:pPr>
        <w:jc w:val="both"/>
      </w:pPr>
      <w:r w:rsidRPr="00B3096C">
        <w:t xml:space="preserve">Ostrander, E. A., Davis, B. W., &amp; Ostrander, G. K. (2016). Transmissible tumors: Breaking the cancer paradigm. </w:t>
      </w:r>
      <w:r w:rsidRPr="00B3096C">
        <w:rPr>
          <w:i/>
          <w:iCs/>
        </w:rPr>
        <w:t>Trends in Genetics, 32</w:t>
      </w:r>
      <w:r w:rsidRPr="00B3096C">
        <w:t>(1), 1–15.</w:t>
      </w:r>
    </w:p>
    <w:p w14:paraId="67AB1B90" w14:textId="77777777" w:rsidR="00B3096C" w:rsidRPr="00B3096C" w:rsidRDefault="00B3096C" w:rsidP="00B3096C">
      <w:pPr>
        <w:jc w:val="both"/>
      </w:pPr>
      <w:r w:rsidRPr="00B3096C">
        <w:t xml:space="preserve">Quammen, D. (2008). Contagious cancer. </w:t>
      </w:r>
      <w:r w:rsidRPr="00B3096C">
        <w:rPr>
          <w:i/>
          <w:iCs/>
        </w:rPr>
        <w:t>Harper’s Magazine</w:t>
      </w:r>
      <w:r w:rsidRPr="00B3096C">
        <w:t>.</w:t>
      </w:r>
    </w:p>
    <w:p w14:paraId="2A4D5E1F" w14:textId="77777777" w:rsidR="00B3096C" w:rsidRPr="00B3096C" w:rsidRDefault="00B3096C" w:rsidP="00B3096C">
      <w:pPr>
        <w:jc w:val="both"/>
      </w:pPr>
      <w:r w:rsidRPr="00B3096C">
        <w:t xml:space="preserve">Siddle, H., &amp; Kaufman, J. (2014). Immunology of naturally transmissible tumours. </w:t>
      </w:r>
      <w:r w:rsidRPr="00B3096C">
        <w:rPr>
          <w:i/>
          <w:iCs/>
        </w:rPr>
        <w:t>Immunology, 144</w:t>
      </w:r>
      <w:r w:rsidRPr="00B3096C">
        <w:t>, 11–20.</w:t>
      </w:r>
      <w:hyperlink r:id="rId210" w:history="1">
        <w:r w:rsidRPr="00B3096C">
          <w:rPr>
            <w:rStyle w:val="-"/>
          </w:rPr>
          <w:t> </w:t>
        </w:r>
      </w:hyperlink>
    </w:p>
    <w:p w14:paraId="752099EF" w14:textId="77777777" w:rsidR="00B3096C" w:rsidRPr="00B3096C" w:rsidRDefault="00B3096C" w:rsidP="00B3096C">
      <w:pPr>
        <w:jc w:val="both"/>
      </w:pPr>
      <w:r w:rsidRPr="00B3096C">
        <w:t xml:space="preserve">Ujvari, B., Gatenby, R. A., &amp; Thomas, F. (2016). The evolutionary ecology of transmissible cancers. </w:t>
      </w:r>
      <w:r w:rsidRPr="00B3096C">
        <w:rPr>
          <w:i/>
          <w:iCs/>
        </w:rPr>
        <w:t>Infection, Genetics and Evolution, 39</w:t>
      </w:r>
      <w:r w:rsidRPr="00B3096C">
        <w:t>, 293–303.</w:t>
      </w:r>
    </w:p>
    <w:p w14:paraId="7EBE5B62" w14:textId="77777777" w:rsidR="00B3096C" w:rsidRPr="00B3096C" w:rsidRDefault="00B3096C" w:rsidP="00B3096C">
      <w:pPr>
        <w:jc w:val="both"/>
      </w:pPr>
      <w:r w:rsidRPr="00B3096C">
        <w:t xml:space="preserve">Ujvari, B., Papenfuss, A. T., &amp; Belov, K. (2016). Transmissible cancers in an evolutionary context. </w:t>
      </w:r>
      <w:r w:rsidRPr="00B3096C">
        <w:rPr>
          <w:i/>
          <w:iCs/>
        </w:rPr>
        <w:t>Inside the Cell, 1</w:t>
      </w:r>
      <w:r w:rsidRPr="00B3096C">
        <w:t>(1), 17–26.</w:t>
      </w:r>
    </w:p>
    <w:p w14:paraId="67C4BEA7" w14:textId="77777777" w:rsidR="00B3096C" w:rsidRPr="00B3096C" w:rsidRDefault="00B3096C" w:rsidP="00B3096C">
      <w:pPr>
        <w:jc w:val="both"/>
      </w:pPr>
      <w:r w:rsidRPr="00B3096C">
        <w:t xml:space="preserve">Wallace, M. L. (2024). Surgical management of brachycephalic obstructive airway syndrome: An update on options and outcomes. </w:t>
      </w:r>
      <w:r w:rsidRPr="00B3096C">
        <w:rPr>
          <w:i/>
          <w:iCs/>
        </w:rPr>
        <w:t>Veterinary Surgery, 53</w:t>
      </w:r>
      <w:r w:rsidRPr="00B3096C">
        <w:t>(7), 1173–1184.</w:t>
      </w:r>
    </w:p>
    <w:p w14:paraId="01D2F6D8" w14:textId="77777777" w:rsidR="00B3096C" w:rsidRPr="00B3096C" w:rsidRDefault="00B3096C" w:rsidP="00B3096C">
      <w:pPr>
        <w:jc w:val="both"/>
      </w:pPr>
      <w:r w:rsidRPr="00B3096C">
        <w:t xml:space="preserve">Χατζής, Μ. Κ. (2020). </w:t>
      </w:r>
      <w:r w:rsidRPr="00B3096C">
        <w:rPr>
          <w:i/>
          <w:iCs/>
        </w:rPr>
        <w:t>Σύνδρομο ανώτερης αναπνευστικής οδού των βραχυκεφαλικών σκύλων</w:t>
      </w:r>
      <w:r w:rsidRPr="00B3096C">
        <w:t>. eClass Πανεπιστημίου Θεσσαλίας.</w:t>
      </w:r>
    </w:p>
    <w:p w14:paraId="15547EB5" w14:textId="7FECC7B7" w:rsidR="00B3096C" w:rsidRDefault="00B3096C" w:rsidP="00B3096C">
      <w:pPr>
        <w:jc w:val="both"/>
        <w:rPr>
          <w:lang w:val="en-GB"/>
        </w:rPr>
      </w:pPr>
    </w:p>
    <w:p w14:paraId="31278C88" w14:textId="77777777" w:rsidR="00C30970" w:rsidRPr="00C30970" w:rsidRDefault="00C30970" w:rsidP="00B3096C">
      <w:pPr>
        <w:jc w:val="both"/>
        <w:rPr>
          <w:lang w:val="en-GB"/>
        </w:rPr>
      </w:pPr>
    </w:p>
    <w:p w14:paraId="0783AF59" w14:textId="5546FD65" w:rsidR="00B3096C" w:rsidRPr="00B3096C" w:rsidRDefault="00B3096C" w:rsidP="00B3096C">
      <w:pPr>
        <w:jc w:val="both"/>
      </w:pPr>
      <w:r w:rsidRPr="00B3096C">
        <w:rPr>
          <w:b/>
          <w:bCs/>
        </w:rPr>
        <w:lastRenderedPageBreak/>
        <w:t>Male or female? Does sex ultimately matter in experimental design?</w:t>
      </w:r>
    </w:p>
    <w:p w14:paraId="61EAAB91" w14:textId="1F73EA2E" w:rsidR="00B3096C" w:rsidRPr="00B3096C" w:rsidRDefault="00B3096C" w:rsidP="00B3096C">
      <w:pPr>
        <w:jc w:val="both"/>
      </w:pPr>
      <w:r w:rsidRPr="00B3096C">
        <w:t>Gavriilidou Maria-Magdalini¹, Mamolos Panagiotis¹, Margaritis Ioannis E</w:t>
      </w:r>
      <w:r w:rsidR="00C30970">
        <w:t>.</w:t>
      </w:r>
      <w:r w:rsidRPr="00B3096C">
        <w:t>²</w:t>
      </w:r>
    </w:p>
    <w:p w14:paraId="02C4C966" w14:textId="77777777" w:rsidR="00B3096C" w:rsidRPr="00B3096C" w:rsidRDefault="00B3096C">
      <w:pPr>
        <w:numPr>
          <w:ilvl w:val="0"/>
          <w:numId w:val="148"/>
        </w:numPr>
        <w:jc w:val="both"/>
      </w:pPr>
      <w:r w:rsidRPr="00B3096C">
        <w:t>Undergraduate student, School of Veterinary Medicine, Faculty of Health Sciences, Aristotle University of Thessaloniki</w:t>
      </w:r>
    </w:p>
    <w:p w14:paraId="526EFADC" w14:textId="77777777" w:rsidR="00B3096C" w:rsidRDefault="00B3096C">
      <w:pPr>
        <w:numPr>
          <w:ilvl w:val="0"/>
          <w:numId w:val="148"/>
        </w:numPr>
        <w:jc w:val="both"/>
      </w:pPr>
      <w:r w:rsidRPr="00B3096C">
        <w:t>Adjunct Lecturer and Postdoctoral Researcher, Laboratory of Physiology, School of Veterinary Medicine, Faculty of Health Sciences, Aristotle University of Thessaloniki</w:t>
      </w:r>
    </w:p>
    <w:p w14:paraId="35CED1E1" w14:textId="77777777" w:rsidR="00C30970" w:rsidRPr="00B3096C" w:rsidRDefault="00C30970" w:rsidP="00C30970">
      <w:pPr>
        <w:ind w:left="720"/>
        <w:jc w:val="both"/>
      </w:pPr>
    </w:p>
    <w:p w14:paraId="069ABB98" w14:textId="77777777" w:rsidR="00B3096C" w:rsidRPr="00B3096C" w:rsidRDefault="00B3096C" w:rsidP="00B3096C">
      <w:pPr>
        <w:jc w:val="both"/>
      </w:pPr>
      <w:r w:rsidRPr="00B3096C">
        <w:rPr>
          <w:b/>
          <w:bCs/>
        </w:rPr>
        <w:t>Abstract</w:t>
      </w:r>
    </w:p>
    <w:p w14:paraId="791B6F63" w14:textId="77777777" w:rsidR="00B3096C" w:rsidRPr="00B3096C" w:rsidRDefault="00B3096C" w:rsidP="00B3096C">
      <w:pPr>
        <w:jc w:val="both"/>
      </w:pPr>
      <w:r w:rsidRPr="00B3096C">
        <w:t>The preference for using male laboratory animals in preclinical experimental protocols constitutes a long-standing and systemic issue. This practice is largely based on the prevailing assumption that female animals exhibit increased biological variability due to the estrous cycle, which could influence experimental outcomes—particularly in studies related to metabolism. An additional argument is that the inclusion of female animals would increase research costs, as a classification according to the stage of the estrous cycle would be required. However, various studies and meta-analyses have demonstrated that this assumption is scientifically unfounded for certain types of experimental protocols. Furthermore, it is argued that the exclusive use of a single sex creates significant scientific gaps in understanding the pathogenesis of various diseases. In response to this issue, the National Institutes of Health (NIH) has issued guidelines advocating for the inclusion of female animals and the reporting of sex as a biological variable in experimental design. The aim of the present study is to conduct a literature review investigating the types of experimental protocols in which the inclusion of female laboratory animals is feasible or essential, in order to ensure reliable and scientifically robust results. </w:t>
      </w:r>
    </w:p>
    <w:p w14:paraId="2C8D1982" w14:textId="5A5663D4" w:rsidR="00B3096C" w:rsidRPr="00B3096C" w:rsidRDefault="00B3096C" w:rsidP="00B3096C">
      <w:pPr>
        <w:jc w:val="both"/>
      </w:pPr>
    </w:p>
    <w:p w14:paraId="3C186379" w14:textId="77777777" w:rsidR="00B3096C" w:rsidRPr="00B3096C" w:rsidRDefault="00B3096C" w:rsidP="00B3096C">
      <w:pPr>
        <w:jc w:val="both"/>
      </w:pPr>
      <w:r w:rsidRPr="00B3096C">
        <w:rPr>
          <w:b/>
          <w:bCs/>
        </w:rPr>
        <w:t>Bibliography</w:t>
      </w:r>
    </w:p>
    <w:p w14:paraId="0EACEB3B" w14:textId="77777777" w:rsidR="00B3096C" w:rsidRPr="00B3096C" w:rsidRDefault="00B3096C" w:rsidP="00B3096C">
      <w:pPr>
        <w:jc w:val="both"/>
      </w:pPr>
      <w:r w:rsidRPr="00B3096C">
        <w:t xml:space="preserve">Allegra, S., Chiara, F., Di Grazia, D., Gaspari, M., &amp; De Francia, S. (2023). Evaluation of sex differences in preclinical pharmacology research: How far is left to go? </w:t>
      </w:r>
      <w:r w:rsidRPr="00B3096C">
        <w:rPr>
          <w:i/>
          <w:iCs/>
        </w:rPr>
        <w:t>Pharmaceuticals, 16</w:t>
      </w:r>
      <w:r w:rsidRPr="00B3096C">
        <w:t>(6), 786.</w:t>
      </w:r>
    </w:p>
    <w:p w14:paraId="1AC8FAD9" w14:textId="77777777" w:rsidR="00B3096C" w:rsidRPr="00B3096C" w:rsidRDefault="00B3096C" w:rsidP="00B3096C">
      <w:pPr>
        <w:jc w:val="both"/>
      </w:pPr>
      <w:r w:rsidRPr="00B3096C">
        <w:t xml:space="preserve">Anagha M. Kaluve, J. T. L., &amp; Graham, B. M. (2022). Female rodents are not more variable than male rodents: A meta-analysis of preclinical studies of fear and anxiety. </w:t>
      </w:r>
      <w:r w:rsidRPr="00B3096C">
        <w:rPr>
          <w:i/>
          <w:iCs/>
        </w:rPr>
        <w:t>Neuroscience &amp; Biobehavioral Reviews, 143</w:t>
      </w:r>
      <w:r w:rsidRPr="00B3096C">
        <w:t>.</w:t>
      </w:r>
    </w:p>
    <w:p w14:paraId="2B4C0417" w14:textId="77777777" w:rsidR="00B3096C" w:rsidRPr="00B3096C" w:rsidRDefault="00B3096C" w:rsidP="00B3096C">
      <w:pPr>
        <w:jc w:val="both"/>
      </w:pPr>
      <w:r w:rsidRPr="00B3096C">
        <w:t xml:space="preserve">Becker, J. B., Prendergast, B. J., &amp; Liang, J. W. (2016). Female rats are not more variable than male rats: A meta-analysis of neuroscience studies. </w:t>
      </w:r>
      <w:r w:rsidRPr="00B3096C">
        <w:rPr>
          <w:i/>
          <w:iCs/>
        </w:rPr>
        <w:t>Biology of Sex Differences, 7</w:t>
      </w:r>
      <w:r w:rsidRPr="00B3096C">
        <w:t>, 34.</w:t>
      </w:r>
    </w:p>
    <w:p w14:paraId="1E45B51C" w14:textId="77777777" w:rsidR="00B3096C" w:rsidRPr="00B3096C" w:rsidRDefault="00B3096C" w:rsidP="00B3096C">
      <w:pPr>
        <w:jc w:val="both"/>
      </w:pPr>
      <w:r w:rsidRPr="00B3096C">
        <w:t xml:space="preserve">Beery, A. K. (2018). Inclusion of females does not increase variability in rodent research studies. </w:t>
      </w:r>
      <w:r w:rsidRPr="00B3096C">
        <w:rPr>
          <w:i/>
          <w:iCs/>
        </w:rPr>
        <w:t>Current Opinion in Behavioral Sciences, 23</w:t>
      </w:r>
      <w:r w:rsidRPr="00B3096C">
        <w:t>, 143–149.</w:t>
      </w:r>
    </w:p>
    <w:p w14:paraId="7341A2F9" w14:textId="77777777" w:rsidR="00B3096C" w:rsidRPr="00B3096C" w:rsidRDefault="00B3096C" w:rsidP="00B3096C">
      <w:pPr>
        <w:jc w:val="both"/>
      </w:pPr>
      <w:r w:rsidRPr="00B3096C">
        <w:t xml:space="preserve">Czerniak, R. (2001). Gender-based differences in pharmacokinetics in laboratory animal models. </w:t>
      </w:r>
      <w:r w:rsidRPr="00B3096C">
        <w:rPr>
          <w:i/>
          <w:iCs/>
        </w:rPr>
        <w:t>International Journal of Toxicology, 20</w:t>
      </w:r>
      <w:r w:rsidRPr="00B3096C">
        <w:t>(3), 161–163.</w:t>
      </w:r>
    </w:p>
    <w:p w14:paraId="38162650" w14:textId="77777777" w:rsidR="00B3096C" w:rsidRPr="00B3096C" w:rsidRDefault="00B3096C" w:rsidP="00B3096C">
      <w:pPr>
        <w:jc w:val="both"/>
      </w:pPr>
      <w:r w:rsidRPr="00B3096C">
        <w:t xml:space="preserve">Docherty, J. R., Stanford, S. C., Panattieri, R. A., Alexander, S. P. H., Cirino, G., George, C. H., Hoyer, D., Izzo, A. A., Ji, Y., Lilley, E., Sobey, C. G., Stanley, P., Stefanska, B., Stephens, G., Teixeira, M., &amp; Ahluwalia, A. (2019). Sex: A change in our guidelines to authors to ensure that this is no longer an ignored experimental variable. </w:t>
      </w:r>
      <w:r w:rsidRPr="00B3096C">
        <w:rPr>
          <w:i/>
          <w:iCs/>
        </w:rPr>
        <w:t>British Journal of Pharmacology, 176</w:t>
      </w:r>
      <w:r w:rsidRPr="00B3096C">
        <w:t>(21), 4081–4086.</w:t>
      </w:r>
    </w:p>
    <w:p w14:paraId="44C8AEA4" w14:textId="77777777" w:rsidR="00B3096C" w:rsidRPr="00B3096C" w:rsidRDefault="00B3096C" w:rsidP="00B3096C">
      <w:pPr>
        <w:jc w:val="both"/>
      </w:pPr>
      <w:r w:rsidRPr="00B3096C">
        <w:lastRenderedPageBreak/>
        <w:t xml:space="preserve">Eid, S. A., &amp; Feldman, E. L. (2021). Advances in diet-induced rodent models of metabolically acquired peripheral neuropathy. </w:t>
      </w:r>
      <w:r w:rsidRPr="00B3096C">
        <w:rPr>
          <w:i/>
          <w:iCs/>
        </w:rPr>
        <w:t>Disease Models &amp; Mechanisms, 14</w:t>
      </w:r>
      <w:r w:rsidRPr="00B3096C">
        <w:t>(11).</w:t>
      </w:r>
    </w:p>
    <w:p w14:paraId="61E0B2C7" w14:textId="77777777" w:rsidR="00B3096C" w:rsidRPr="00B3096C" w:rsidRDefault="00B3096C" w:rsidP="00B3096C">
      <w:pPr>
        <w:jc w:val="both"/>
      </w:pPr>
      <w:r w:rsidRPr="00B3096C">
        <w:t xml:space="preserve">Justice, M. J. (2024). Sex matters in preclinical research. </w:t>
      </w:r>
      <w:r w:rsidRPr="00B3096C">
        <w:rPr>
          <w:i/>
          <w:iCs/>
        </w:rPr>
        <w:t>Disease Models &amp; Mechanisms, 17</w:t>
      </w:r>
      <w:r w:rsidRPr="00B3096C">
        <w:t>(3).</w:t>
      </w:r>
    </w:p>
    <w:p w14:paraId="04375709" w14:textId="77777777" w:rsidR="00B3096C" w:rsidRPr="00B3096C" w:rsidRDefault="00B3096C" w:rsidP="00B3096C">
      <w:pPr>
        <w:jc w:val="both"/>
      </w:pPr>
      <w:r w:rsidRPr="00B3096C">
        <w:t xml:space="preserve">Karlsson, S. A., Haziri, K., Hansson, E., Kettunen, P., &amp; Westberg, L. (2015). Effects of sex and gonadectomy on social investigation and social recognition in mice. </w:t>
      </w:r>
      <w:r w:rsidRPr="00B3096C">
        <w:rPr>
          <w:i/>
          <w:iCs/>
        </w:rPr>
        <w:t>BMC Neuroscience, 16</w:t>
      </w:r>
      <w:r w:rsidRPr="00B3096C">
        <w:t>, 83.</w:t>
      </w:r>
    </w:p>
    <w:p w14:paraId="5A12A678" w14:textId="77777777" w:rsidR="00B3096C" w:rsidRPr="00B3096C" w:rsidRDefault="00B3096C" w:rsidP="00B3096C">
      <w:pPr>
        <w:jc w:val="both"/>
      </w:pPr>
      <w:r w:rsidRPr="00B3096C">
        <w:t xml:space="preserve">Karp, N. A., Berdoy, M., Gray, K., Hunt, L., Jennings, M., Kerton, A., Leach, M., Tremoleda, J. L., Gledhill, J., Pearl, E. J., Percie du Sert, N., Phillips, B., Reynolds, P. S., Ryder, K., Stanford, S. C., Wells, S., &amp; Whitfield, L. (2025). The Sex Inclusive Research Framework to address sex bias in preclinical research proposals. </w:t>
      </w:r>
      <w:r w:rsidRPr="00B3096C">
        <w:rPr>
          <w:i/>
          <w:iCs/>
        </w:rPr>
        <w:t>Nature Communications, 16</w:t>
      </w:r>
      <w:r w:rsidRPr="00B3096C">
        <w:t>, 3763.</w:t>
      </w:r>
    </w:p>
    <w:p w14:paraId="18893E43" w14:textId="77777777" w:rsidR="00B3096C" w:rsidRPr="00B3096C" w:rsidRDefault="00B3096C" w:rsidP="00B3096C">
      <w:pPr>
        <w:jc w:val="both"/>
      </w:pPr>
      <w:r w:rsidRPr="00B3096C">
        <w:t xml:space="preserve">Ryan, L., &amp; Mills, K. H. G. (2021). Sex differences regulate immune responses in experimental autoimmune encephalomyelitis and multiple sclerosis. </w:t>
      </w:r>
      <w:r w:rsidRPr="00B3096C">
        <w:rPr>
          <w:i/>
          <w:iCs/>
        </w:rPr>
        <w:t>European Journal of Immunology, 52</w:t>
      </w:r>
      <w:r w:rsidRPr="00B3096C">
        <w:t>(1), 24–33.</w:t>
      </w:r>
    </w:p>
    <w:p w14:paraId="64263CB2" w14:textId="77777777" w:rsidR="00B3096C" w:rsidRPr="00B3096C" w:rsidRDefault="00B3096C" w:rsidP="00B3096C">
      <w:pPr>
        <w:jc w:val="both"/>
      </w:pPr>
      <w:r w:rsidRPr="00B3096C">
        <w:t xml:space="preserve">Talley, S., Bonomo, R., Gavini, C., Hatahet, J., Gornick, E., Cook, T., Chun, B. J., Kekenes-Huskey, P., Aubert, G., Campbell, E., &amp; Mansuy-Aubert, V. (2022). Monitoring of inflammation using novel biosensor mouse model reveals tissue- and sex-specific responses to Western diet. </w:t>
      </w:r>
      <w:r w:rsidRPr="00B3096C">
        <w:rPr>
          <w:i/>
          <w:iCs/>
        </w:rPr>
        <w:t>Disease Models &amp; Mechanisms, 15</w:t>
      </w:r>
      <w:r w:rsidRPr="00B3096C">
        <w:t>(6).</w:t>
      </w:r>
    </w:p>
    <w:p w14:paraId="29F366E3" w14:textId="77777777" w:rsidR="00B3096C" w:rsidRPr="00B3096C" w:rsidRDefault="00B3096C" w:rsidP="00B3096C">
      <w:pPr>
        <w:jc w:val="both"/>
      </w:pPr>
      <w:r w:rsidRPr="00B3096C">
        <w:t xml:space="preserve">“Female Lab Rats Are Also Underrepresented in Science.” (2014). </w:t>
      </w:r>
      <w:r w:rsidRPr="00B3096C">
        <w:rPr>
          <w:i/>
          <w:iCs/>
        </w:rPr>
        <w:t>Science Policy Blog, San Jose State University</w:t>
      </w:r>
      <w:r w:rsidRPr="00B3096C">
        <w:t>.</w:t>
      </w:r>
    </w:p>
    <w:p w14:paraId="79BECD5B" w14:textId="77777777" w:rsidR="00B3096C" w:rsidRDefault="00B3096C" w:rsidP="00B3096C">
      <w:pPr>
        <w:jc w:val="both"/>
      </w:pPr>
      <w:r w:rsidRPr="00B3096C">
        <w:br/>
      </w:r>
      <w:r w:rsidRPr="00B3096C">
        <w:br/>
      </w:r>
      <w:r w:rsidRPr="00B3096C">
        <w:br/>
      </w:r>
      <w:r w:rsidRPr="00B3096C">
        <w:br/>
      </w:r>
      <w:r w:rsidRPr="00B3096C">
        <w:br/>
      </w:r>
      <w:r w:rsidRPr="00B3096C">
        <w:br/>
      </w:r>
      <w:r w:rsidRPr="00B3096C">
        <w:br/>
      </w:r>
      <w:r w:rsidRPr="00B3096C">
        <w:br/>
      </w:r>
    </w:p>
    <w:p w14:paraId="2B6B881D" w14:textId="77777777" w:rsidR="00C30970" w:rsidRDefault="00C30970" w:rsidP="00B3096C">
      <w:pPr>
        <w:jc w:val="both"/>
      </w:pPr>
    </w:p>
    <w:p w14:paraId="6C12DACB" w14:textId="77777777" w:rsidR="00C30970" w:rsidRDefault="00C30970" w:rsidP="00B3096C">
      <w:pPr>
        <w:jc w:val="both"/>
      </w:pPr>
    </w:p>
    <w:p w14:paraId="5411ADA2" w14:textId="77777777" w:rsidR="00C30970" w:rsidRDefault="00C30970" w:rsidP="00B3096C">
      <w:pPr>
        <w:jc w:val="both"/>
      </w:pPr>
    </w:p>
    <w:p w14:paraId="1B6B3392" w14:textId="77777777" w:rsidR="00C30970" w:rsidRDefault="00C30970" w:rsidP="00B3096C">
      <w:pPr>
        <w:jc w:val="both"/>
      </w:pPr>
    </w:p>
    <w:p w14:paraId="542969B7" w14:textId="77777777" w:rsidR="00C30970" w:rsidRDefault="00C30970" w:rsidP="00B3096C">
      <w:pPr>
        <w:jc w:val="both"/>
      </w:pPr>
    </w:p>
    <w:p w14:paraId="72F8A582" w14:textId="77777777" w:rsidR="00C30970" w:rsidRDefault="00C30970" w:rsidP="00B3096C">
      <w:pPr>
        <w:jc w:val="both"/>
      </w:pPr>
    </w:p>
    <w:p w14:paraId="37D52520" w14:textId="77777777" w:rsidR="00C30970" w:rsidRDefault="00C30970" w:rsidP="00B3096C">
      <w:pPr>
        <w:jc w:val="both"/>
      </w:pPr>
    </w:p>
    <w:p w14:paraId="5C5D48A7" w14:textId="77777777" w:rsidR="00C30970" w:rsidRDefault="00C30970" w:rsidP="00B3096C">
      <w:pPr>
        <w:jc w:val="both"/>
      </w:pPr>
    </w:p>
    <w:p w14:paraId="33208E0C" w14:textId="77777777" w:rsidR="00C30970" w:rsidRDefault="00C30970" w:rsidP="00B3096C">
      <w:pPr>
        <w:jc w:val="both"/>
      </w:pPr>
    </w:p>
    <w:p w14:paraId="3762A7E4" w14:textId="77777777" w:rsidR="00C30970" w:rsidRPr="00B3096C" w:rsidRDefault="00C30970" w:rsidP="00B3096C">
      <w:pPr>
        <w:jc w:val="both"/>
      </w:pPr>
    </w:p>
    <w:p w14:paraId="4DCAD759" w14:textId="5ECF9DAF" w:rsidR="00B3096C" w:rsidRPr="00B3096C" w:rsidRDefault="00B3096C" w:rsidP="00B3096C">
      <w:pPr>
        <w:jc w:val="both"/>
      </w:pPr>
      <w:r w:rsidRPr="00B3096C">
        <w:rPr>
          <w:b/>
          <w:bCs/>
        </w:rPr>
        <w:lastRenderedPageBreak/>
        <w:t>Infrared Emotions and the Histopathological Signature of Pain: Facial Thermal Maps Reveal Brain Patterns in Pigs and Dogs</w:t>
      </w:r>
    </w:p>
    <w:p w14:paraId="79B44540" w14:textId="77777777" w:rsidR="00B3096C" w:rsidRPr="00B3096C" w:rsidRDefault="00B3096C" w:rsidP="00B3096C">
      <w:pPr>
        <w:jc w:val="both"/>
      </w:pPr>
      <w:r w:rsidRPr="00B3096C">
        <w:t>Dritsa Marietta¹, Xanthopoulos Anastasios¹, Anagnostou Tilemachos², Marouda Christina³, Tassis Panagiotis⁴</w:t>
      </w:r>
    </w:p>
    <w:p w14:paraId="13D192E0" w14:textId="77777777" w:rsidR="00B3096C" w:rsidRPr="00B3096C" w:rsidRDefault="00B3096C">
      <w:pPr>
        <w:numPr>
          <w:ilvl w:val="0"/>
          <w:numId w:val="149"/>
        </w:numPr>
        <w:jc w:val="both"/>
      </w:pPr>
      <w:r w:rsidRPr="00B3096C">
        <w:t>Undergraduate Student, Department of Veterinary Medicine, School of Health Sciences, Aristotle University of Thessaloniki</w:t>
      </w:r>
    </w:p>
    <w:p w14:paraId="69FC6122" w14:textId="77777777" w:rsidR="00B3096C" w:rsidRPr="00B3096C" w:rsidRDefault="00B3096C">
      <w:pPr>
        <w:numPr>
          <w:ilvl w:val="0"/>
          <w:numId w:val="149"/>
        </w:numPr>
        <w:jc w:val="both"/>
      </w:pPr>
      <w:r w:rsidRPr="00B3096C">
        <w:t>Professor of Anesthesiology and Intensive Care, Department of Veterinary Medicine, School of Health Sciences, Aristotle University of Thessaloniki</w:t>
      </w:r>
    </w:p>
    <w:p w14:paraId="12273351" w14:textId="77777777" w:rsidR="00B3096C" w:rsidRPr="00B3096C" w:rsidRDefault="00B3096C">
      <w:pPr>
        <w:numPr>
          <w:ilvl w:val="0"/>
          <w:numId w:val="149"/>
        </w:numPr>
        <w:jc w:val="both"/>
      </w:pPr>
      <w:r w:rsidRPr="00B3096C">
        <w:t>Associate Professor of Pathological Anatomy and Veterinary Forensics, Department of Veterinary Medicine, School of Health Sciences, Aristotle University of Thessaloniki</w:t>
      </w:r>
    </w:p>
    <w:p w14:paraId="04E8555D" w14:textId="77777777" w:rsidR="00B3096C" w:rsidRPr="00B3096C" w:rsidRDefault="00B3096C">
      <w:pPr>
        <w:numPr>
          <w:ilvl w:val="0"/>
          <w:numId w:val="149"/>
        </w:numPr>
        <w:jc w:val="both"/>
      </w:pPr>
      <w:r w:rsidRPr="00B3096C">
        <w:t>Associate Professor of Pathology and Pathophysiology of Pig Reproduction, Department of Veterinary Medicine, School of Health Sciences, Aristotle University of Thessaloniki</w:t>
      </w:r>
    </w:p>
    <w:p w14:paraId="601F8755" w14:textId="77777777" w:rsidR="00B3096C" w:rsidRPr="00B3096C" w:rsidRDefault="00B3096C" w:rsidP="00B3096C">
      <w:pPr>
        <w:jc w:val="both"/>
      </w:pPr>
    </w:p>
    <w:p w14:paraId="3497AAB6" w14:textId="77777777" w:rsidR="00B3096C" w:rsidRPr="00B3096C" w:rsidRDefault="00B3096C" w:rsidP="00B3096C">
      <w:pPr>
        <w:jc w:val="both"/>
      </w:pPr>
      <w:r w:rsidRPr="00B3096C">
        <w:rPr>
          <w:b/>
          <w:bCs/>
        </w:rPr>
        <w:t>Abstract</w:t>
      </w:r>
    </w:p>
    <w:p w14:paraId="397CD1FF" w14:textId="77777777" w:rsidR="00B3096C" w:rsidRPr="00B3096C" w:rsidRDefault="00B3096C" w:rsidP="00B3096C">
      <w:pPr>
        <w:jc w:val="both"/>
      </w:pPr>
      <w:r w:rsidRPr="00B3096C">
        <w:t> The assessment of pain in domestic animals constitutes a significant challenge due to the limitations of behavioral scales and the invasiveness of physiological and endocrine indicators. This need is particularly critical in production pigs, where early detection of pain affects welfare and productivity. Infrared thermography is a non-invasive and objective method that detects changes in surface temperature associated with the activation of the autonomic nervous system.</w:t>
      </w:r>
    </w:p>
    <w:p w14:paraId="0491013A" w14:textId="77777777" w:rsidR="00B3096C" w:rsidRPr="00B3096C" w:rsidRDefault="00B3096C" w:rsidP="00B3096C">
      <w:pPr>
        <w:jc w:val="both"/>
      </w:pPr>
      <w:r w:rsidRPr="00B3096C">
        <w:t> These thermal changes reflect underlying pathophysiological mechanisms such as inflammation, vasodilation, activation of nociceptors, and cytokine release, which lead to alterations in microcirculation. The present study introduces the concept of “infrared emotions,” investigating whether facial thermal maps reflect brain-driven responses to pain in pigs and dogs.</w:t>
      </w:r>
    </w:p>
    <w:p w14:paraId="49E8BC87" w14:textId="77777777" w:rsidR="00B3096C" w:rsidRPr="00B3096C" w:rsidRDefault="00B3096C" w:rsidP="00B3096C">
      <w:pPr>
        <w:jc w:val="both"/>
      </w:pPr>
      <w:r w:rsidRPr="00B3096C">
        <w:t> The correlation between nociceptor activation and thermographic changes in areas such as the periocular region, the nasal planum, and the ear pinnae is examined following mild painful stimuli. The findings suggest the existence of distinct thermal “signatures” associated with the activation of central pain mechanisms and demonstrate interspecies consistency.</w:t>
      </w:r>
    </w:p>
    <w:p w14:paraId="00955233" w14:textId="77777777" w:rsidR="00B3096C" w:rsidRPr="00B3096C" w:rsidRDefault="00B3096C" w:rsidP="00B3096C">
      <w:pPr>
        <w:jc w:val="both"/>
      </w:pPr>
      <w:r w:rsidRPr="00B3096C">
        <w:t> In conclusion, facial thermography constitutes a promising, non-invasive tool for real-time pain assessment, with applications in clinical practice, animal welfare, and research. Further standardization is required for its establishment as a reliable biomarker.</w:t>
      </w:r>
    </w:p>
    <w:p w14:paraId="7B7F291E" w14:textId="77777777" w:rsidR="00B3096C" w:rsidRPr="00B3096C" w:rsidRDefault="00B3096C" w:rsidP="00B3096C">
      <w:pPr>
        <w:jc w:val="both"/>
      </w:pPr>
    </w:p>
    <w:p w14:paraId="585965C0" w14:textId="77777777" w:rsidR="00B3096C" w:rsidRPr="00B3096C" w:rsidRDefault="00B3096C" w:rsidP="00B3096C">
      <w:pPr>
        <w:jc w:val="both"/>
      </w:pPr>
      <w:r w:rsidRPr="00B3096C">
        <w:rPr>
          <w:b/>
          <w:bCs/>
        </w:rPr>
        <w:t>Bibliography</w:t>
      </w:r>
    </w:p>
    <w:p w14:paraId="601BFCD6" w14:textId="5DE13AD5" w:rsidR="00B3096C" w:rsidRPr="00B3096C" w:rsidRDefault="00B3096C" w:rsidP="00B3096C">
      <w:pPr>
        <w:jc w:val="both"/>
      </w:pPr>
      <w:r w:rsidRPr="00B3096C">
        <w:t xml:space="preserve">Araújo de Melo, B., Mesquita da Silva, S. G., Santos, M. T., Vilela da Silva, P. C., &amp; Bossi Fraga, A. (2022). </w:t>
      </w:r>
      <w:r w:rsidRPr="00B3096C">
        <w:rPr>
          <w:i/>
          <w:iCs/>
        </w:rPr>
        <w:t>Infrared thermography on animal livestock</w:t>
      </w:r>
      <w:r w:rsidRPr="00B3096C">
        <w:t xml:space="preserve">. </w:t>
      </w:r>
      <w:r w:rsidRPr="00B3096C">
        <w:rPr>
          <w:i/>
          <w:iCs/>
        </w:rPr>
        <w:t>Conjecturas</w:t>
      </w:r>
      <w:r w:rsidRPr="00B3096C">
        <w:t>. </w:t>
      </w:r>
    </w:p>
    <w:p w14:paraId="49E24F36" w14:textId="249AEBAD" w:rsidR="00B3096C" w:rsidRPr="00B3096C" w:rsidRDefault="00B3096C" w:rsidP="00B3096C">
      <w:pPr>
        <w:jc w:val="both"/>
      </w:pPr>
      <w:r w:rsidRPr="00B3096C">
        <w:t xml:space="preserve">Barbieri, S., Talamonti, Z., Nannoni, E., Heinzl, E. U. L., Minero, M., &amp; Canali, E. (2020). </w:t>
      </w:r>
      <w:r w:rsidRPr="00B3096C">
        <w:rPr>
          <w:i/>
          <w:iCs/>
        </w:rPr>
        <w:t>Use of thermography in pigs: Relationship between surface and core temperature</w:t>
      </w:r>
      <w:r w:rsidRPr="00B3096C">
        <w:t xml:space="preserve">. </w:t>
      </w:r>
      <w:r w:rsidRPr="00B3096C">
        <w:rPr>
          <w:i/>
          <w:iCs/>
        </w:rPr>
        <w:t>Animals</w:t>
      </w:r>
      <w:r w:rsidRPr="00B3096C">
        <w:t>.</w:t>
      </w:r>
    </w:p>
    <w:p w14:paraId="42C58502" w14:textId="2E8C6D74" w:rsidR="00C30970" w:rsidRPr="00B3096C" w:rsidRDefault="00B3096C" w:rsidP="00B3096C">
      <w:pPr>
        <w:jc w:val="both"/>
      </w:pPr>
      <w:r w:rsidRPr="00B3096C">
        <w:t xml:space="preserve">Cook, N. J., Chabot, B., Lui, T., Bench, C. J., &amp; Schaefer, A. L. (2015). </w:t>
      </w:r>
      <w:r w:rsidRPr="00B3096C">
        <w:rPr>
          <w:i/>
          <w:iCs/>
        </w:rPr>
        <w:t>Infrared thermography detects febrile and behavioural responses to vaccination of weaned piglets</w:t>
      </w:r>
      <w:r w:rsidRPr="00B3096C">
        <w:t xml:space="preserve">. </w:t>
      </w:r>
      <w:r w:rsidRPr="00B3096C">
        <w:rPr>
          <w:i/>
          <w:iCs/>
        </w:rPr>
        <w:t>Animal</w:t>
      </w:r>
      <w:r w:rsidRPr="00B3096C">
        <w:t>.</w:t>
      </w:r>
    </w:p>
    <w:p w14:paraId="7908A138" w14:textId="66500DB5" w:rsidR="00B3096C" w:rsidRPr="00B3096C" w:rsidRDefault="00B3096C" w:rsidP="00B3096C">
      <w:pPr>
        <w:jc w:val="both"/>
      </w:pPr>
      <w:r w:rsidRPr="00B3096C">
        <w:lastRenderedPageBreak/>
        <w:t xml:space="preserve">Hernández-Avalos, I., Mota-Rojas, D., Mora-Medina, P., Martínez-Burnes, J., Casas-Alvarado, A., Verduzco-Mendoza, A., et al. (2023). </w:t>
      </w:r>
      <w:r w:rsidRPr="00B3096C">
        <w:rPr>
          <w:i/>
          <w:iCs/>
        </w:rPr>
        <w:t>Assessment of pain and inflammation in domestic animals using infrared thermography: A narrative review</w:t>
      </w:r>
      <w:r w:rsidRPr="00B3096C">
        <w:t xml:space="preserve">. </w:t>
      </w:r>
      <w:r w:rsidRPr="00B3096C">
        <w:rPr>
          <w:i/>
          <w:iCs/>
        </w:rPr>
        <w:t>Animals</w:t>
      </w:r>
      <w:r w:rsidRPr="00B3096C">
        <w:t>.</w:t>
      </w:r>
    </w:p>
    <w:p w14:paraId="236594FD" w14:textId="0CE0B70D" w:rsidR="00B3096C" w:rsidRPr="00B3096C" w:rsidRDefault="00B3096C" w:rsidP="00B3096C">
      <w:pPr>
        <w:jc w:val="both"/>
      </w:pPr>
      <w:r w:rsidRPr="00B3096C">
        <w:t xml:space="preserve">Ilić, M., Suvajdžić, B., Pajičić, Đ., Radaković, M., &amp; Čobanović, N. (n.d.). </w:t>
      </w:r>
      <w:r w:rsidRPr="00B3096C">
        <w:rPr>
          <w:i/>
          <w:iCs/>
        </w:rPr>
        <w:t>Application of infrared thermography for welfare and meat quality assessment of slaughter pigs</w:t>
      </w:r>
      <w:r w:rsidRPr="00B3096C">
        <w:t>. University of Belgrade.</w:t>
      </w:r>
    </w:p>
    <w:p w14:paraId="3866DB62" w14:textId="23DB3728" w:rsidR="00B3096C" w:rsidRPr="00B3096C" w:rsidRDefault="00B3096C" w:rsidP="00B3096C">
      <w:pPr>
        <w:jc w:val="both"/>
      </w:pPr>
      <w:r w:rsidRPr="00B3096C">
        <w:t xml:space="preserve">Jia, G., Li, W., Meng, J., Tan, H., &amp; Feng, Y. (2020). </w:t>
      </w:r>
      <w:r w:rsidRPr="00B3096C">
        <w:rPr>
          <w:i/>
          <w:iCs/>
        </w:rPr>
        <w:t>Non-contact evaluation of pigs’ body temperature incorporating environmental factors</w:t>
      </w:r>
      <w:r w:rsidRPr="00B3096C">
        <w:t>. Huazhong Agricultural University.</w:t>
      </w:r>
    </w:p>
    <w:p w14:paraId="264A6B38" w14:textId="2BDFAD4F" w:rsidR="00B3096C" w:rsidRPr="00B3096C" w:rsidRDefault="00B3096C" w:rsidP="00B3096C">
      <w:pPr>
        <w:jc w:val="both"/>
      </w:pPr>
      <w:r w:rsidRPr="00B3096C">
        <w:t xml:space="preserve">McManus, C., Tanure, C. B., Peripolli, V., Seixas, L., Fischer, V., Gabbi, A. M., et al. (2016). </w:t>
      </w:r>
      <w:r w:rsidRPr="00B3096C">
        <w:rPr>
          <w:i/>
          <w:iCs/>
        </w:rPr>
        <w:t>Infrared thermography in animal production: An overview</w:t>
      </w:r>
      <w:r w:rsidRPr="00B3096C">
        <w:t>.</w:t>
      </w:r>
    </w:p>
    <w:p w14:paraId="6BAF30CF" w14:textId="5C4FB8CE" w:rsidR="00B3096C" w:rsidRPr="00B3096C" w:rsidRDefault="00B3096C" w:rsidP="00B3096C">
      <w:pPr>
        <w:jc w:val="both"/>
      </w:pPr>
      <w:r w:rsidRPr="00B3096C">
        <w:t xml:space="preserve">Melo, B. A., Silva, S. G. M., Santos, M. T., Vilela da Silva, P. C., &amp; Fraga, A. B. (2022). </w:t>
      </w:r>
      <w:r w:rsidRPr="00B3096C">
        <w:rPr>
          <w:i/>
          <w:iCs/>
        </w:rPr>
        <w:t>Infrared thermography on animal livestock</w:t>
      </w:r>
      <w:r w:rsidRPr="00B3096C">
        <w:t xml:space="preserve">. </w:t>
      </w:r>
      <w:r w:rsidRPr="00B3096C">
        <w:rPr>
          <w:i/>
          <w:iCs/>
        </w:rPr>
        <w:t>Conjecturas</w:t>
      </w:r>
      <w:r w:rsidRPr="00B3096C">
        <w:t>.</w:t>
      </w:r>
    </w:p>
    <w:p w14:paraId="347331FF" w14:textId="7971A37B" w:rsidR="00B3096C" w:rsidRPr="00B3096C" w:rsidRDefault="00B3096C" w:rsidP="00B3096C">
      <w:pPr>
        <w:jc w:val="both"/>
      </w:pPr>
      <w:r w:rsidRPr="00B3096C">
        <w:t xml:space="preserve">Mota-Rojas, D. (Ed.). (2021). </w:t>
      </w:r>
      <w:r w:rsidRPr="00B3096C">
        <w:rPr>
          <w:i/>
          <w:iCs/>
        </w:rPr>
        <w:t>Infrared thermography as a tool for assessing animal welfare and its usefulness in veterinary research</w:t>
      </w:r>
      <w:r w:rsidRPr="00B3096C">
        <w:t xml:space="preserve">. </w:t>
      </w:r>
      <w:r w:rsidRPr="00B3096C">
        <w:rPr>
          <w:i/>
          <w:iCs/>
        </w:rPr>
        <w:t>Animals</w:t>
      </w:r>
      <w:r w:rsidRPr="00B3096C">
        <w:t xml:space="preserve"> (Special Issue Reprint).</w:t>
      </w:r>
    </w:p>
    <w:p w14:paraId="5AD275AC" w14:textId="17998E10" w:rsidR="00B3096C" w:rsidRPr="00B3096C" w:rsidRDefault="00B3096C" w:rsidP="00B3096C">
      <w:pPr>
        <w:jc w:val="both"/>
      </w:pPr>
      <w:r w:rsidRPr="00B3096C">
        <w:t xml:space="preserve">Mota-Rojas, D., Olmos-Hernández, A., Verduzco-Mendoza, A., Hernández-Avalos, I., Casas-Alvarado, A., Mora-Medina, P., et al. (2021). </w:t>
      </w:r>
      <w:r w:rsidRPr="00B3096C">
        <w:rPr>
          <w:i/>
          <w:iCs/>
        </w:rPr>
        <w:t>Infrared thermal imaging associated with pain in laboratory animals</w:t>
      </w:r>
      <w:r w:rsidRPr="00B3096C">
        <w:t xml:space="preserve">. </w:t>
      </w:r>
      <w:r w:rsidRPr="00B3096C">
        <w:rPr>
          <w:i/>
          <w:iCs/>
        </w:rPr>
        <w:t>Animals, 11</w:t>
      </w:r>
      <w:r w:rsidRPr="00B3096C">
        <w:t>(2), 1–20.</w:t>
      </w:r>
    </w:p>
    <w:p w14:paraId="2E1023DF" w14:textId="78EBB056" w:rsidR="00B3096C" w:rsidRPr="00B3096C" w:rsidRDefault="00B3096C" w:rsidP="00B3096C">
      <w:pPr>
        <w:jc w:val="both"/>
      </w:pPr>
      <w:r w:rsidRPr="00B3096C">
        <w:t xml:space="preserve">Rekant, S. I., Lyons, M. A., Pacheco, J. M., Arzt, J., &amp; Rodriguez, L. L. (2015). </w:t>
      </w:r>
      <w:r w:rsidRPr="00B3096C">
        <w:rPr>
          <w:i/>
          <w:iCs/>
        </w:rPr>
        <w:t>Veterinary applications of infrared thermography</w:t>
      </w:r>
      <w:r w:rsidRPr="00B3096C">
        <w:t>.</w:t>
      </w:r>
    </w:p>
    <w:p w14:paraId="05DC8251" w14:textId="04D8B9BF" w:rsidR="00B3096C" w:rsidRPr="00B3096C" w:rsidRDefault="00B3096C" w:rsidP="00B3096C">
      <w:pPr>
        <w:jc w:val="both"/>
      </w:pPr>
      <w:r w:rsidRPr="00B3096C">
        <w:t xml:space="preserve">Soerensen, D. D., &amp; Pedersen, L. J. (2015). </w:t>
      </w:r>
      <w:r w:rsidRPr="00B3096C">
        <w:rPr>
          <w:i/>
          <w:iCs/>
        </w:rPr>
        <w:t>Infrared skin temperature measurements for monitoring health in pigs: A review</w:t>
      </w:r>
      <w:r w:rsidRPr="00B3096C">
        <w:t xml:space="preserve">. </w:t>
      </w:r>
      <w:r w:rsidRPr="00B3096C">
        <w:rPr>
          <w:i/>
          <w:iCs/>
        </w:rPr>
        <w:t>Livestock Science</w:t>
      </w:r>
      <w:r w:rsidRPr="00B3096C">
        <w:t>.</w:t>
      </w:r>
    </w:p>
    <w:p w14:paraId="77801911" w14:textId="77777777" w:rsidR="00B3096C" w:rsidRPr="00B3096C" w:rsidRDefault="00B3096C" w:rsidP="00B3096C">
      <w:pPr>
        <w:jc w:val="both"/>
      </w:pPr>
      <w:r w:rsidRPr="00B3096C">
        <w:t xml:space="preserve">Stewart, M., Webster, J. R., Schaefer, A. L., Cook, N. J., &amp; Scott, S. L. (2007). </w:t>
      </w:r>
      <w:r w:rsidRPr="00B3096C">
        <w:rPr>
          <w:i/>
          <w:iCs/>
        </w:rPr>
        <w:t>Infrared thermography as a non-invasive tool to study animal welfare</w:t>
      </w:r>
      <w:r w:rsidRPr="00B3096C">
        <w:t xml:space="preserve">. </w:t>
      </w:r>
      <w:r w:rsidRPr="00B3096C">
        <w:rPr>
          <w:i/>
          <w:iCs/>
        </w:rPr>
        <w:t>CABI Reviews</w:t>
      </w:r>
      <w:r w:rsidRPr="00B3096C">
        <w:t>.</w:t>
      </w:r>
    </w:p>
    <w:p w14:paraId="49307367" w14:textId="095A9A73" w:rsidR="00B3096C" w:rsidRPr="00B3096C" w:rsidRDefault="00B3096C" w:rsidP="00B3096C">
      <w:pPr>
        <w:jc w:val="both"/>
      </w:pPr>
      <w:r w:rsidRPr="00B3096C">
        <w:t xml:space="preserve">Vincent-Dospital, T., Måløy, K. J., &amp; Toussaint, R. (2021). </w:t>
      </w:r>
      <w:r w:rsidRPr="00B3096C">
        <w:rPr>
          <w:i/>
          <w:iCs/>
        </w:rPr>
        <w:t>Heat emitting damage in skin: A thermal pathway for mechanical algesia</w:t>
      </w:r>
      <w:r w:rsidRPr="00B3096C">
        <w:t>. University of Oslo &amp; University of Strasbourg.</w:t>
      </w:r>
    </w:p>
    <w:p w14:paraId="62C80E15" w14:textId="77777777" w:rsidR="00B3096C" w:rsidRPr="00B3096C" w:rsidRDefault="00B3096C" w:rsidP="00B3096C">
      <w:pPr>
        <w:jc w:val="both"/>
      </w:pPr>
      <w:r w:rsidRPr="00B3096C">
        <w:t xml:space="preserve">Zhang, C., Wu, X., Xiao, D., Zhang, X., Lei, X., &amp; Lin, S. (2023). </w:t>
      </w:r>
      <w:r w:rsidRPr="00B3096C">
        <w:rPr>
          <w:i/>
          <w:iCs/>
        </w:rPr>
        <w:t>An automatic ear temperature monitoring method for group-housed pigs adopting infrared thermography</w:t>
      </w:r>
      <w:r w:rsidRPr="00B3096C">
        <w:t>. Kaili University &amp; South China Agricultural University.</w:t>
      </w:r>
    </w:p>
    <w:p w14:paraId="2FD12966" w14:textId="77777777" w:rsidR="00B3096C" w:rsidRPr="00B3096C" w:rsidRDefault="00B3096C" w:rsidP="00B3096C">
      <w:pPr>
        <w:jc w:val="both"/>
      </w:pPr>
    </w:p>
    <w:p w14:paraId="062E0BDE" w14:textId="77777777" w:rsidR="00B3096C" w:rsidRPr="00B3096C" w:rsidRDefault="00B3096C" w:rsidP="00B3096C">
      <w:pPr>
        <w:jc w:val="both"/>
      </w:pPr>
      <w:r w:rsidRPr="00B3096C">
        <w:t>                                                           </w:t>
      </w:r>
    </w:p>
    <w:p w14:paraId="2F8A0703" w14:textId="15455357" w:rsidR="00B3096C" w:rsidRPr="00B3096C" w:rsidRDefault="00B3096C" w:rsidP="00B3096C">
      <w:pPr>
        <w:jc w:val="both"/>
      </w:pPr>
      <w:r w:rsidRPr="00B3096C">
        <w:br/>
      </w:r>
      <w:r w:rsidRPr="00B3096C">
        <w:br/>
      </w:r>
      <w:r w:rsidRPr="00B3096C">
        <w:br/>
      </w:r>
      <w:r w:rsidRPr="00B3096C">
        <w:br/>
      </w:r>
      <w:r w:rsidRPr="00B3096C">
        <w:br/>
      </w:r>
      <w:r w:rsidRPr="00B3096C">
        <w:br/>
      </w:r>
      <w:r w:rsidRPr="00B3096C">
        <w:br/>
      </w:r>
      <w:r w:rsidRPr="00B3096C">
        <w:br/>
      </w:r>
      <w:r w:rsidRPr="00B3096C">
        <w:br/>
      </w:r>
      <w:r w:rsidRPr="00B3096C">
        <w:br/>
      </w:r>
    </w:p>
    <w:p w14:paraId="5D3BBCE1" w14:textId="77777777" w:rsidR="00B3096C" w:rsidRPr="00B3096C" w:rsidRDefault="00B3096C" w:rsidP="00B3096C">
      <w:pPr>
        <w:jc w:val="both"/>
      </w:pPr>
      <w:r w:rsidRPr="00B3096C">
        <w:rPr>
          <w:b/>
          <w:bCs/>
        </w:rPr>
        <w:lastRenderedPageBreak/>
        <w:t>Cardioversion in dogs with atrial fibrillation: Prognostic factors for the maintenance of sinus rhythm</w:t>
      </w:r>
    </w:p>
    <w:p w14:paraId="57C9E5D1" w14:textId="311E5844" w:rsidR="00B3096C" w:rsidRPr="00B3096C" w:rsidRDefault="00B3096C" w:rsidP="00B3096C">
      <w:pPr>
        <w:jc w:val="both"/>
      </w:pPr>
      <w:r w:rsidRPr="00B3096C">
        <w:t>Skampas Nikitas Myronas</w:t>
      </w:r>
      <w:r w:rsidRPr="00B3096C">
        <w:rPr>
          <w:vertAlign w:val="superscript"/>
        </w:rPr>
        <w:t>1</w:t>
      </w:r>
      <w:r w:rsidRPr="00B3096C">
        <w:t>, Koutinas Christos</w:t>
      </w:r>
      <w:r w:rsidRPr="00B3096C">
        <w:rPr>
          <w:vertAlign w:val="superscript"/>
        </w:rPr>
        <w:t>2</w:t>
      </w:r>
    </w:p>
    <w:p w14:paraId="77827A35" w14:textId="77777777" w:rsidR="00B3096C" w:rsidRPr="00B3096C" w:rsidRDefault="00B3096C">
      <w:pPr>
        <w:numPr>
          <w:ilvl w:val="0"/>
          <w:numId w:val="150"/>
        </w:numPr>
        <w:jc w:val="both"/>
      </w:pPr>
      <w:r w:rsidRPr="00B3096C">
        <w:rPr>
          <w:vertAlign w:val="superscript"/>
        </w:rPr>
        <w:t> </w:t>
      </w:r>
      <w:r w:rsidRPr="00B3096C">
        <w:t>Undergraduate student, Department of Veterinary Medicine, School of Health Sciences, Aristotle University of Thessaloniki</w:t>
      </w:r>
    </w:p>
    <w:p w14:paraId="63974A0C" w14:textId="77777777" w:rsidR="00B3096C" w:rsidRPr="00B3096C" w:rsidRDefault="00B3096C">
      <w:pPr>
        <w:numPr>
          <w:ilvl w:val="0"/>
          <w:numId w:val="150"/>
        </w:numPr>
        <w:jc w:val="both"/>
      </w:pPr>
      <w:r w:rsidRPr="00B3096C">
        <w:t>Associate Professor, Department of Veterinary Medicine, School of Health Sciences, Aristotle University of Thessaloniki</w:t>
      </w:r>
    </w:p>
    <w:p w14:paraId="3E00A5DF" w14:textId="77777777" w:rsidR="00B3096C" w:rsidRPr="00B3096C" w:rsidRDefault="00B3096C" w:rsidP="00B3096C">
      <w:pPr>
        <w:jc w:val="both"/>
      </w:pPr>
    </w:p>
    <w:p w14:paraId="39E82AFD" w14:textId="77777777" w:rsidR="00B3096C" w:rsidRPr="00B3096C" w:rsidRDefault="00B3096C" w:rsidP="00B3096C">
      <w:pPr>
        <w:jc w:val="both"/>
      </w:pPr>
      <w:r w:rsidRPr="00B3096C">
        <w:rPr>
          <w:b/>
          <w:bCs/>
        </w:rPr>
        <w:t>Abstract</w:t>
      </w:r>
    </w:p>
    <w:p w14:paraId="1AC5F09F" w14:textId="77777777" w:rsidR="00B3096C" w:rsidRPr="00B3096C" w:rsidRDefault="00B3096C" w:rsidP="00B3096C">
      <w:pPr>
        <w:jc w:val="both"/>
      </w:pPr>
      <w:r w:rsidRPr="00B3096C">
        <w:t>Atrial fibrillation (AF) is the most common clinically significant tachyarrhythmia in dogs, leading to progressive electrical and structural remodeling of the myocardium. The persistence of the arrhythmia induces diffuse atrial fibrosis, independent of the presence of heart failure, while a rapid ventricular response further impairs myocardial function. The purpose of this study is to evaluate cardioversion (rhythm control) as an alternative strategy to heart rate control, which is the most common approach in clinical practice.</w:t>
      </w:r>
    </w:p>
    <w:p w14:paraId="36ACCCE5" w14:textId="77777777" w:rsidR="00B3096C" w:rsidRPr="00B3096C" w:rsidRDefault="00B3096C" w:rsidP="00B3096C">
      <w:pPr>
        <w:jc w:val="both"/>
      </w:pPr>
      <w:r w:rsidRPr="00B3096C">
        <w:t>According to the literature review, direct current cardioversion significantly outperforms pharmacological conversion, with immediate success rates of ~92% compared to ~35%. However, long-term maintenance of sinus rhythm following the procedure remains a challenge and is directly dependent on the chronicity of the arrhythmia. Data indicate that an AF duration of &lt; 75 days is associated with a more favorable prognosis, whereas the presence of advanced degenerative mitral valve disease (DMVD) and left atrial enlargement are strong negative prognostic indicators.</w:t>
      </w:r>
    </w:p>
    <w:p w14:paraId="1E3D2B76" w14:textId="77777777" w:rsidR="00B3096C" w:rsidRPr="00B3096C" w:rsidRDefault="00B3096C" w:rsidP="00B3096C">
      <w:pPr>
        <w:jc w:val="both"/>
      </w:pPr>
      <w:r w:rsidRPr="00B3096C">
        <w:t>In conclusion, this study highlights the need for early cardioversion to prevent irreversible structural changes and maintain sinus rhythm for a longer duration. Proper patient selection, based on clinical history and the severity of the underlying disease, is crucial for the clinical outcome and the overall success of rhythm control</w:t>
      </w:r>
    </w:p>
    <w:p w14:paraId="2BB8FF2C" w14:textId="77777777" w:rsidR="00B3096C" w:rsidRPr="00B3096C" w:rsidRDefault="00B3096C" w:rsidP="00B3096C">
      <w:pPr>
        <w:jc w:val="both"/>
      </w:pPr>
    </w:p>
    <w:p w14:paraId="7AC29423" w14:textId="742D01DD" w:rsidR="00B3096C" w:rsidRPr="00B3096C" w:rsidRDefault="00B3096C" w:rsidP="00B3096C">
      <w:pPr>
        <w:jc w:val="both"/>
      </w:pPr>
      <w:r w:rsidRPr="00B3096C">
        <w:rPr>
          <w:b/>
          <w:bCs/>
        </w:rPr>
        <w:t>Bibliography</w:t>
      </w:r>
    </w:p>
    <w:p w14:paraId="18B069EB" w14:textId="7DAD8154" w:rsidR="00B3096C" w:rsidRPr="00B3096C" w:rsidRDefault="00B3096C" w:rsidP="00B3096C">
      <w:pPr>
        <w:jc w:val="both"/>
      </w:pPr>
      <w:r w:rsidRPr="00B3096C">
        <w:t>Pedro, B., Fontes-Sousa, A. P., &amp; Gelzer, A. R. (2020). Diagnosis and management of canine atrial fibrillation. </w:t>
      </w:r>
      <w:r w:rsidRPr="00B3096C">
        <w:rPr>
          <w:i/>
          <w:iCs/>
        </w:rPr>
        <w:t>Veterinary journal (London, England : 1997)</w:t>
      </w:r>
      <w:r w:rsidRPr="00B3096C">
        <w:t>, </w:t>
      </w:r>
      <w:r w:rsidRPr="00B3096C">
        <w:rPr>
          <w:i/>
          <w:iCs/>
        </w:rPr>
        <w:t>265</w:t>
      </w:r>
      <w:r w:rsidRPr="00B3096C">
        <w:t>, 105549. </w:t>
      </w:r>
    </w:p>
    <w:p w14:paraId="11A04F41" w14:textId="04477213" w:rsidR="00B3096C" w:rsidRPr="00B3096C" w:rsidRDefault="00B3096C" w:rsidP="00B3096C">
      <w:pPr>
        <w:jc w:val="both"/>
      </w:pPr>
      <w:r w:rsidRPr="00B3096C">
        <w:t>Bright, J. M., &amp; zumBrunnen, J. (2008). Chronicity of atrial fibrillation affects duration of sinus rhythm after transthoracic cardioversion of dogs with naturally occurring atrial fibrillation. </w:t>
      </w:r>
      <w:r w:rsidRPr="00B3096C">
        <w:rPr>
          <w:i/>
          <w:iCs/>
        </w:rPr>
        <w:t>Journal of veterinary internal medicine</w:t>
      </w:r>
      <w:r w:rsidRPr="00B3096C">
        <w:t>, </w:t>
      </w:r>
      <w:r w:rsidRPr="00B3096C">
        <w:rPr>
          <w:i/>
          <w:iCs/>
        </w:rPr>
        <w:t>22</w:t>
      </w:r>
      <w:r w:rsidRPr="00B3096C">
        <w:t>(1), 114–119. </w:t>
      </w:r>
    </w:p>
    <w:p w14:paraId="6A39ABFF" w14:textId="43EFEE70" w:rsidR="00B3096C" w:rsidRPr="00B3096C" w:rsidRDefault="00B3096C" w:rsidP="00B3096C">
      <w:pPr>
        <w:jc w:val="both"/>
      </w:pPr>
      <w:r w:rsidRPr="00B3096C">
        <w:t xml:space="preserve">Allen, J., &amp; Côté, É. (2024). Effects of acute atrial fibrillation and cardioversion on left and right atrial pressures in a dog. </w:t>
      </w:r>
      <w:r w:rsidRPr="00B3096C">
        <w:rPr>
          <w:i/>
          <w:iCs/>
        </w:rPr>
        <w:t>PubMed</w:t>
      </w:r>
      <w:r w:rsidRPr="00B3096C">
        <w:t xml:space="preserve">, </w:t>
      </w:r>
      <w:r w:rsidRPr="00B3096C">
        <w:rPr>
          <w:i/>
          <w:iCs/>
        </w:rPr>
        <w:t>65</w:t>
      </w:r>
      <w:r w:rsidRPr="00B3096C">
        <w:t>(2), 115–118. </w:t>
      </w:r>
    </w:p>
    <w:p w14:paraId="264F0AE9" w14:textId="669B069E" w:rsidR="00B3096C" w:rsidRPr="00B3096C" w:rsidRDefault="00B3096C" w:rsidP="00B3096C">
      <w:pPr>
        <w:jc w:val="both"/>
      </w:pPr>
      <w:r w:rsidRPr="00B3096C">
        <w:t xml:space="preserve">Avitall, B., Bi, J., Mykytsey, A., &amp; Chicos, A. (2008). Atrial and ventricular fibrosis induced by atrial fibrillation: Evidence to support early rhythm control. </w:t>
      </w:r>
      <w:r w:rsidRPr="00B3096C">
        <w:rPr>
          <w:i/>
          <w:iCs/>
        </w:rPr>
        <w:t>Heart Rhythm</w:t>
      </w:r>
      <w:r w:rsidRPr="00B3096C">
        <w:t xml:space="preserve">, </w:t>
      </w:r>
      <w:r w:rsidRPr="00B3096C">
        <w:rPr>
          <w:i/>
          <w:iCs/>
        </w:rPr>
        <w:t>5</w:t>
      </w:r>
      <w:r w:rsidRPr="00B3096C">
        <w:t>(6), 839–845.</w:t>
      </w:r>
    </w:p>
    <w:p w14:paraId="416243CB" w14:textId="77777777" w:rsidR="00B3096C" w:rsidRPr="00B3096C" w:rsidRDefault="00B3096C" w:rsidP="00B3096C">
      <w:pPr>
        <w:jc w:val="both"/>
      </w:pPr>
      <w:r w:rsidRPr="00B3096C">
        <w:t xml:space="preserve">Bright, J. M., Martin, J. M., &amp; Mama, K. (2005). A retrospective evaluation of transthoracic biphasic electrical cardioversion for atrial fibrillation in dogs. </w:t>
      </w:r>
      <w:r w:rsidRPr="00B3096C">
        <w:rPr>
          <w:i/>
          <w:iCs/>
        </w:rPr>
        <w:t>Journal of Veterinary Cardiology</w:t>
      </w:r>
      <w:r w:rsidRPr="00B3096C">
        <w:t xml:space="preserve">, </w:t>
      </w:r>
      <w:r w:rsidRPr="00B3096C">
        <w:rPr>
          <w:i/>
          <w:iCs/>
        </w:rPr>
        <w:t>7</w:t>
      </w:r>
      <w:r w:rsidRPr="00B3096C">
        <w:t>(2), 85–96. </w:t>
      </w:r>
    </w:p>
    <w:p w14:paraId="42EB0CDB" w14:textId="6459C39F" w:rsidR="00B3096C" w:rsidRPr="00B3096C" w:rsidRDefault="00B3096C" w:rsidP="00B3096C">
      <w:pPr>
        <w:jc w:val="both"/>
      </w:pPr>
      <w:r w:rsidRPr="00B3096C">
        <w:lastRenderedPageBreak/>
        <w:t xml:space="preserve">Romito, G., Gemma, N., Dondi, F., Mazzoldi, C., Fasoli, S., &amp; Cipone, M. (2024). Efficacy and safety of antiarrhythmic therapy in dogs with naturally acquired tachyarrhythmias treated with amiodarone or sotalol: a retrospective analysis of 64 cases. </w:t>
      </w:r>
      <w:r w:rsidRPr="00B3096C">
        <w:rPr>
          <w:i/>
          <w:iCs/>
        </w:rPr>
        <w:t>Journal of Veterinary Cardiology</w:t>
      </w:r>
      <w:r w:rsidRPr="00B3096C">
        <w:t xml:space="preserve">, </w:t>
      </w:r>
      <w:r w:rsidRPr="00B3096C">
        <w:rPr>
          <w:i/>
          <w:iCs/>
        </w:rPr>
        <w:t>53</w:t>
      </w:r>
      <w:r w:rsidRPr="00B3096C">
        <w:t>, 20–35. </w:t>
      </w:r>
    </w:p>
    <w:p w14:paraId="4E590E4A" w14:textId="77777777" w:rsidR="00B3096C" w:rsidRPr="00B3096C" w:rsidRDefault="00B3096C" w:rsidP="00B3096C">
      <w:pPr>
        <w:jc w:val="both"/>
      </w:pPr>
      <w:r w:rsidRPr="00B3096C">
        <w:t xml:space="preserve">Ward, J., Ware, W., &amp; Viall, A. (2018). Association between atrial fibrillation and right-sided manifestations of congestive heart failure in dogs with degenerative mitral valve disease or dilated cardiomyopathy. </w:t>
      </w:r>
      <w:r w:rsidRPr="00B3096C">
        <w:rPr>
          <w:i/>
          <w:iCs/>
        </w:rPr>
        <w:t>Journal of Veterinary Cardiology</w:t>
      </w:r>
      <w:r w:rsidRPr="00B3096C">
        <w:t xml:space="preserve">, </w:t>
      </w:r>
      <w:r w:rsidRPr="00B3096C">
        <w:rPr>
          <w:i/>
          <w:iCs/>
        </w:rPr>
        <w:t>21</w:t>
      </w:r>
      <w:r w:rsidRPr="00B3096C">
        <w:t>, 18–27. </w:t>
      </w:r>
    </w:p>
    <w:p w14:paraId="498619D4" w14:textId="77777777" w:rsidR="00B3096C" w:rsidRDefault="00B3096C" w:rsidP="00B3096C">
      <w:pPr>
        <w:jc w:val="both"/>
      </w:pP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r w:rsidRPr="00B3096C">
        <w:br/>
      </w:r>
    </w:p>
    <w:p w14:paraId="79644DC6" w14:textId="77777777" w:rsidR="00C30970" w:rsidRDefault="00C30970" w:rsidP="00B3096C">
      <w:pPr>
        <w:jc w:val="both"/>
      </w:pPr>
    </w:p>
    <w:p w14:paraId="1C3E5759" w14:textId="77777777" w:rsidR="00C30970" w:rsidRDefault="00C30970" w:rsidP="00B3096C">
      <w:pPr>
        <w:jc w:val="both"/>
      </w:pPr>
    </w:p>
    <w:p w14:paraId="701868DB" w14:textId="77777777" w:rsidR="00C30970" w:rsidRDefault="00C30970" w:rsidP="00B3096C">
      <w:pPr>
        <w:jc w:val="both"/>
      </w:pPr>
    </w:p>
    <w:p w14:paraId="664290F8" w14:textId="77777777" w:rsidR="00C30970" w:rsidRDefault="00C30970" w:rsidP="00B3096C">
      <w:pPr>
        <w:jc w:val="both"/>
      </w:pPr>
    </w:p>
    <w:p w14:paraId="4A3528E8" w14:textId="77777777" w:rsidR="00C30970" w:rsidRDefault="00C30970" w:rsidP="00B3096C">
      <w:pPr>
        <w:jc w:val="both"/>
      </w:pPr>
    </w:p>
    <w:p w14:paraId="669D8A5D" w14:textId="77777777" w:rsidR="00C30970" w:rsidRDefault="00C30970" w:rsidP="00B3096C">
      <w:pPr>
        <w:jc w:val="both"/>
      </w:pPr>
    </w:p>
    <w:p w14:paraId="472909B0" w14:textId="77777777" w:rsidR="00C30970" w:rsidRDefault="00C30970" w:rsidP="00B3096C">
      <w:pPr>
        <w:jc w:val="both"/>
      </w:pPr>
    </w:p>
    <w:p w14:paraId="2F8C09A2" w14:textId="77777777" w:rsidR="00C30970" w:rsidRDefault="00C30970" w:rsidP="00B3096C">
      <w:pPr>
        <w:jc w:val="both"/>
      </w:pPr>
    </w:p>
    <w:p w14:paraId="69BF802D" w14:textId="77777777" w:rsidR="00C30970" w:rsidRDefault="00C30970" w:rsidP="00B3096C">
      <w:pPr>
        <w:jc w:val="both"/>
      </w:pPr>
    </w:p>
    <w:p w14:paraId="468BCDD8" w14:textId="77777777" w:rsidR="00C30970" w:rsidRDefault="00C30970" w:rsidP="00B3096C">
      <w:pPr>
        <w:jc w:val="both"/>
      </w:pPr>
    </w:p>
    <w:p w14:paraId="4031DB82" w14:textId="77777777" w:rsidR="00C30970" w:rsidRDefault="00C30970" w:rsidP="00B3096C">
      <w:pPr>
        <w:jc w:val="both"/>
      </w:pPr>
    </w:p>
    <w:p w14:paraId="5A6BD270" w14:textId="77777777" w:rsidR="00C30970" w:rsidRDefault="00C30970" w:rsidP="00B3096C">
      <w:pPr>
        <w:jc w:val="both"/>
      </w:pPr>
    </w:p>
    <w:p w14:paraId="21F904D6" w14:textId="77777777" w:rsidR="00C30970" w:rsidRDefault="00C30970" w:rsidP="00B3096C">
      <w:pPr>
        <w:jc w:val="both"/>
      </w:pPr>
    </w:p>
    <w:p w14:paraId="2475B852" w14:textId="77777777" w:rsidR="00C30970" w:rsidRDefault="00C30970" w:rsidP="00B3096C">
      <w:pPr>
        <w:jc w:val="both"/>
      </w:pPr>
    </w:p>
    <w:p w14:paraId="7F0BE92D" w14:textId="77777777" w:rsidR="00C30970" w:rsidRPr="00B3096C" w:rsidRDefault="00C30970" w:rsidP="00B3096C">
      <w:pPr>
        <w:jc w:val="both"/>
      </w:pPr>
    </w:p>
    <w:p w14:paraId="7C30E33E" w14:textId="12953199" w:rsidR="00B3096C" w:rsidRPr="00B3096C" w:rsidRDefault="00B3096C" w:rsidP="00B3096C">
      <w:pPr>
        <w:jc w:val="both"/>
      </w:pPr>
      <w:r w:rsidRPr="00B3096C">
        <w:rPr>
          <w:b/>
          <w:bCs/>
        </w:rPr>
        <w:lastRenderedPageBreak/>
        <w:t xml:space="preserve">Cinerous Vulture </w:t>
      </w:r>
      <w:r w:rsidR="00C30970" w:rsidRPr="00B3096C">
        <w:rPr>
          <w:b/>
          <w:bCs/>
        </w:rPr>
        <w:t>the</w:t>
      </w:r>
      <w:r w:rsidRPr="00B3096C">
        <w:rPr>
          <w:b/>
          <w:bCs/>
        </w:rPr>
        <w:t xml:space="preserve"> Silent Cleaners </w:t>
      </w:r>
      <w:r w:rsidR="00C30970">
        <w:rPr>
          <w:b/>
          <w:bCs/>
        </w:rPr>
        <w:t>o</w:t>
      </w:r>
      <w:r w:rsidRPr="00B3096C">
        <w:rPr>
          <w:b/>
          <w:bCs/>
        </w:rPr>
        <w:t>f Nature Are Threatened</w:t>
      </w:r>
    </w:p>
    <w:p w14:paraId="7A8AC8EA" w14:textId="77777777" w:rsidR="00B3096C" w:rsidRPr="00B3096C" w:rsidRDefault="00B3096C" w:rsidP="00B3096C">
      <w:pPr>
        <w:jc w:val="both"/>
      </w:pPr>
      <w:r w:rsidRPr="00B3096C">
        <w:t>Drikaki Christina</w:t>
      </w:r>
      <w:r w:rsidRPr="00B3096C">
        <w:rPr>
          <w:vertAlign w:val="superscript"/>
        </w:rPr>
        <w:t>1</w:t>
      </w:r>
      <w:r w:rsidRPr="00B3096C">
        <w:t>, Adamopoulou Veroniki-Georgia</w:t>
      </w:r>
      <w:r w:rsidRPr="00B3096C">
        <w:rPr>
          <w:vertAlign w:val="superscript"/>
        </w:rPr>
        <w:t>2</w:t>
      </w:r>
      <w:r w:rsidRPr="00B3096C">
        <w:t>, Komnenou Anastasia</w:t>
      </w:r>
      <w:r w:rsidRPr="00B3096C">
        <w:rPr>
          <w:vertAlign w:val="superscript"/>
        </w:rPr>
        <w:t>3</w:t>
      </w:r>
    </w:p>
    <w:p w14:paraId="394AC1E7" w14:textId="77777777" w:rsidR="00B3096C" w:rsidRPr="00B3096C" w:rsidRDefault="00B3096C">
      <w:pPr>
        <w:numPr>
          <w:ilvl w:val="0"/>
          <w:numId w:val="151"/>
        </w:numPr>
        <w:jc w:val="both"/>
      </w:pPr>
      <w:r w:rsidRPr="00B3096C">
        <w:t>Undergraduate student, School of Veterinary Medicine, Faculty of Health Science,Aristotle University of Thessaloniki.</w:t>
      </w:r>
    </w:p>
    <w:p w14:paraId="03FD8F5E" w14:textId="77777777" w:rsidR="00B3096C" w:rsidRPr="00B3096C" w:rsidRDefault="00B3096C">
      <w:pPr>
        <w:numPr>
          <w:ilvl w:val="0"/>
          <w:numId w:val="151"/>
        </w:numPr>
        <w:jc w:val="both"/>
      </w:pPr>
      <w:r w:rsidRPr="00B3096C">
        <w:t>Undergraduate student, School of Veterinary Medicine, Faculty of Health Science,Aristotle University of Thessaloniki.</w:t>
      </w:r>
    </w:p>
    <w:p w14:paraId="3171B176" w14:textId="77777777" w:rsidR="00B3096C" w:rsidRPr="00B3096C" w:rsidRDefault="00B3096C">
      <w:pPr>
        <w:numPr>
          <w:ilvl w:val="0"/>
          <w:numId w:val="151"/>
        </w:numPr>
        <w:jc w:val="both"/>
      </w:pPr>
      <w:r w:rsidRPr="00B3096C">
        <w:t>Professor, School of Veterinary Medicine, Faculty of Health Science, Aristotle University of Thessaloniki, Aristotle University of Thessaloniki</w:t>
      </w:r>
    </w:p>
    <w:p w14:paraId="71B1CB10" w14:textId="77777777" w:rsidR="00B3096C" w:rsidRPr="00B3096C" w:rsidRDefault="00B3096C" w:rsidP="00B3096C">
      <w:pPr>
        <w:jc w:val="both"/>
      </w:pPr>
    </w:p>
    <w:p w14:paraId="4CC824CA" w14:textId="77777777" w:rsidR="00B3096C" w:rsidRPr="00B3096C" w:rsidRDefault="00B3096C" w:rsidP="00B3096C">
      <w:pPr>
        <w:jc w:val="both"/>
      </w:pPr>
      <w:r w:rsidRPr="00B3096C">
        <w:rPr>
          <w:b/>
          <w:bCs/>
        </w:rPr>
        <w:t>Abstract:</w:t>
      </w:r>
    </w:p>
    <w:p w14:paraId="49765358" w14:textId="7F8DF61B" w:rsidR="00B3096C" w:rsidRPr="00B3096C" w:rsidRDefault="00B3096C" w:rsidP="00B3096C">
      <w:pPr>
        <w:jc w:val="both"/>
      </w:pPr>
      <w:r w:rsidRPr="00B3096C">
        <w:t> The Cinereous vulture (Aegypius monachus) is the largest vulture in Europe and a key species for a functioning ecosystem. The species is classified as NT (IUCN Red List), but in Europe since the mid-1900s its population has undergone a severe decline and is now restricted to the Iberian Peninsula and Greece. The unique population in the Balkans consists of 29–35 breeding pairs in the Dadia-Soufli-Lefkimi Forest National Park: this estimate excludes the nine individuals that died from poisoned baits in March 2026. In Greece, the Cinereous vulture is mainly threatened by food scarcity, habitat degradation, and human interference such as poisoning, wind turbines, wildfires, and power lines. Cinereous vultures are vital scavengers with distinctive anatomical and physiological traits, such as thick oesophagus, well-developed crop, highly acidic stomach and a strong immune system. They play a crucial ecological role, by consuming animal carcasses, as they prevent environmental contamination and the spread of infectious and zoonotic diseases. Their activity accelerates decomposition, reduces pathogenic bacteria, and limits disease transmission to humans and animals. Without vultures, carcasses persist longer, increasing contact among mammals and boosting epidemics. The future of the species appears increasingly, as numerous organizations and NGOs are actively engaged on its conservation and reintroduction in areas where it has become locally extinct (e.g. Bulgaria). At the same time, regulatory frameworks have been strengthened, with stricter controls on the use of non-steroidal anti- inflammatory drugs (NSAIDs)—which have been implicated in vulture poisoning—as well as enhanced measures for habitat protection and the regulation of baiting practices.</w:t>
      </w:r>
      <w:r w:rsidRPr="00B3096C">
        <w:br/>
      </w:r>
    </w:p>
    <w:p w14:paraId="5B682412" w14:textId="77777777" w:rsidR="00B3096C" w:rsidRPr="00B3096C" w:rsidRDefault="00B3096C" w:rsidP="00B3096C">
      <w:pPr>
        <w:jc w:val="both"/>
      </w:pPr>
      <w:r w:rsidRPr="00B3096C">
        <w:rPr>
          <w:b/>
          <w:bCs/>
        </w:rPr>
        <w:t>Bibliography</w:t>
      </w:r>
      <w:r w:rsidRPr="00B3096C">
        <w:t>:</w:t>
      </w:r>
    </w:p>
    <w:p w14:paraId="453C9CDB" w14:textId="77777777" w:rsidR="00B3096C" w:rsidRPr="00B3096C" w:rsidRDefault="00B3096C" w:rsidP="00B3096C">
      <w:pPr>
        <w:jc w:val="both"/>
      </w:pPr>
      <w:r w:rsidRPr="00B3096C">
        <w:t xml:space="preserve">Chung, O., Jin, S., Cho, Y. S., Lim, J., Kim, H., Jho, S., Kim, H.-M., Jun, J., Lee, H., Chon, A., Ko, J., Edwards, J., Weber, J. A., Han, K., O’Brien, S. J., Manica, A., Bhak, J., &amp; Paek, W. K. (2015). </w:t>
      </w:r>
      <w:r w:rsidRPr="00B3096C">
        <w:rPr>
          <w:i/>
          <w:iCs/>
        </w:rPr>
        <w:t>The first whole genome and transcriptome of the cinereous vulture reveals adaptation in the gastric and immune defense systems and possible convergent evolution between the Old and New World vultures</w:t>
      </w:r>
      <w:r w:rsidRPr="00B3096C">
        <w:t xml:space="preserve">. </w:t>
      </w:r>
      <w:r w:rsidRPr="00B3096C">
        <w:rPr>
          <w:i/>
          <w:iCs/>
        </w:rPr>
        <w:t>Genome Biology, 16</w:t>
      </w:r>
      <w:r w:rsidRPr="00B3096C">
        <w:t>, 215.</w:t>
      </w:r>
      <w:hyperlink r:id="rId211" w:history="1">
        <w:r w:rsidRPr="00B3096C">
          <w:rPr>
            <w:rStyle w:val="-"/>
          </w:rPr>
          <w:t> </w:t>
        </w:r>
      </w:hyperlink>
    </w:p>
    <w:p w14:paraId="415A60FD" w14:textId="77777777" w:rsidR="00B3096C" w:rsidRPr="00B3096C" w:rsidRDefault="00B3096C" w:rsidP="00B3096C">
      <w:pPr>
        <w:jc w:val="both"/>
      </w:pPr>
      <w:r w:rsidRPr="00B3096C">
        <w:t xml:space="preserve">DeVault, T. L., Rhodes, O. E., &amp; Shivik, J. A. (2003). </w:t>
      </w:r>
      <w:r w:rsidRPr="00B3096C">
        <w:rPr>
          <w:i/>
          <w:iCs/>
        </w:rPr>
        <w:t>Scavenging by vertebrates: Behavioral, ecological, and evolutionary perspectives on an important energy transfer pathway in terrestrial ecosystems</w:t>
      </w:r>
      <w:r w:rsidRPr="00B3096C">
        <w:t xml:space="preserve">. </w:t>
      </w:r>
      <w:r w:rsidRPr="00B3096C">
        <w:rPr>
          <w:i/>
          <w:iCs/>
        </w:rPr>
        <w:t>Oikos, 102</w:t>
      </w:r>
      <w:r w:rsidRPr="00B3096C">
        <w:t>(2), 225–234.</w:t>
      </w:r>
      <w:hyperlink r:id="rId212" w:history="1">
        <w:r w:rsidRPr="00B3096C">
          <w:rPr>
            <w:rStyle w:val="-"/>
          </w:rPr>
          <w:t> </w:t>
        </w:r>
      </w:hyperlink>
    </w:p>
    <w:p w14:paraId="4347A52C" w14:textId="77777777" w:rsidR="00B3096C" w:rsidRPr="00B3096C" w:rsidRDefault="00B3096C" w:rsidP="00B3096C">
      <w:pPr>
        <w:jc w:val="both"/>
      </w:pPr>
      <w:r w:rsidRPr="00B3096C">
        <w:t xml:space="preserve">MBLC Conference. (2025). </w:t>
      </w:r>
      <w:r w:rsidRPr="00B3096C">
        <w:rPr>
          <w:i/>
          <w:iCs/>
        </w:rPr>
        <w:t>The importance of vultures for ecological stability and human society</w:t>
      </w:r>
      <w:r w:rsidRPr="00B3096C">
        <w:t xml:space="preserve">. </w:t>
      </w:r>
      <w:r w:rsidRPr="00B3096C">
        <w:rPr>
          <w:i/>
          <w:iCs/>
        </w:rPr>
        <w:t>BIO Web of Conferences</w:t>
      </w:r>
      <w:r w:rsidRPr="00B3096C">
        <w:t>.</w:t>
      </w:r>
      <w:hyperlink r:id="rId213" w:history="1">
        <w:r w:rsidRPr="00B3096C">
          <w:rPr>
            <w:rStyle w:val="-"/>
          </w:rPr>
          <w:t> </w:t>
        </w:r>
      </w:hyperlink>
    </w:p>
    <w:p w14:paraId="2E986BF7" w14:textId="77777777" w:rsidR="00B3096C" w:rsidRPr="00B3096C" w:rsidRDefault="00B3096C" w:rsidP="00B3096C">
      <w:pPr>
        <w:jc w:val="both"/>
      </w:pPr>
      <w:r w:rsidRPr="00B3096C">
        <w:lastRenderedPageBreak/>
        <w:t xml:space="preserve">Morales-Reyes, Z., Pérez-García, J. M., Moleón, M., Botella, F., Carrete, M., Donázar, J. A., &amp; Sánchez-Zapata, J. A. (2021). </w:t>
      </w:r>
      <w:r w:rsidRPr="00B3096C">
        <w:rPr>
          <w:i/>
          <w:iCs/>
        </w:rPr>
        <w:t>Key ecological role of scavengers in ecosystems</w:t>
      </w:r>
      <w:r w:rsidRPr="00B3096C">
        <w:t xml:space="preserve">. </w:t>
      </w:r>
      <w:r w:rsidRPr="00B3096C">
        <w:rPr>
          <w:i/>
          <w:iCs/>
        </w:rPr>
        <w:t>Animals, 11</w:t>
      </w:r>
      <w:r w:rsidRPr="00B3096C">
        <w:t>(1), 124.</w:t>
      </w:r>
    </w:p>
    <w:p w14:paraId="2872BA8C" w14:textId="77777777" w:rsidR="00B3096C" w:rsidRPr="00B3096C" w:rsidRDefault="00B3096C" w:rsidP="00B3096C">
      <w:pPr>
        <w:jc w:val="both"/>
      </w:pPr>
      <w:r w:rsidRPr="00B3096C">
        <w:t xml:space="preserve">Sharma, P., &amp; colleagues. (2022). </w:t>
      </w:r>
      <w:r w:rsidRPr="00B3096C">
        <w:rPr>
          <w:i/>
          <w:iCs/>
        </w:rPr>
        <w:t>Systematic mapping on the importance of vultures in the Indian public health discourse</w:t>
      </w:r>
      <w:r w:rsidRPr="00B3096C">
        <w:t xml:space="preserve">. </w:t>
      </w:r>
      <w:r w:rsidRPr="00B3096C">
        <w:rPr>
          <w:i/>
          <w:iCs/>
        </w:rPr>
        <w:t>Frontiers in Public Health</w:t>
      </w:r>
      <w:r w:rsidRPr="00B3096C">
        <w:t>.</w:t>
      </w:r>
      <w:hyperlink r:id="rId214" w:history="1">
        <w:r w:rsidRPr="00B3096C">
          <w:rPr>
            <w:rStyle w:val="-"/>
          </w:rPr>
          <w:t> </w:t>
        </w:r>
      </w:hyperlink>
    </w:p>
    <w:p w14:paraId="546B6234" w14:textId="77777777" w:rsidR="00B3096C" w:rsidRPr="00B3096C" w:rsidRDefault="00B3096C" w:rsidP="00B3096C">
      <w:pPr>
        <w:jc w:val="both"/>
      </w:pPr>
      <w:r w:rsidRPr="00B3096C">
        <w:t xml:space="preserve">Vlachos, C. G., Bakaloudis, D. E., &amp; Holloway, G. J. (1999). </w:t>
      </w:r>
      <w:r w:rsidRPr="00B3096C">
        <w:rPr>
          <w:i/>
          <w:iCs/>
        </w:rPr>
        <w:t>Population trends of black vulture (Aegypius monachus) in Dadia Forest, north-eastern Greece following the establishment of a feeding station</w:t>
      </w:r>
      <w:r w:rsidRPr="00B3096C">
        <w:t xml:space="preserve">. </w:t>
      </w:r>
      <w:r w:rsidRPr="00B3096C">
        <w:rPr>
          <w:i/>
          <w:iCs/>
        </w:rPr>
        <w:t>Bird Conservation International, 9</w:t>
      </w:r>
      <w:r w:rsidRPr="00B3096C">
        <w:t>(2), 113–118.</w:t>
      </w:r>
      <w:hyperlink r:id="rId215" w:history="1">
        <w:r w:rsidRPr="00B3096C">
          <w:rPr>
            <w:rStyle w:val="-"/>
          </w:rPr>
          <w:t> </w:t>
        </w:r>
      </w:hyperlink>
    </w:p>
    <w:p w14:paraId="36A33A76" w14:textId="77777777" w:rsidR="00B3096C" w:rsidRPr="00B3096C" w:rsidRDefault="00B3096C" w:rsidP="00B3096C">
      <w:pPr>
        <w:jc w:val="both"/>
      </w:pPr>
      <w:r w:rsidRPr="00B3096C">
        <w:t xml:space="preserve">Vulture Conservation Foundation. (n.d.). </w:t>
      </w:r>
      <w:r w:rsidRPr="00B3096C">
        <w:rPr>
          <w:i/>
          <w:iCs/>
        </w:rPr>
        <w:t>LIFE Aegypius Return</w:t>
      </w:r>
      <w:r w:rsidRPr="00B3096C">
        <w:t>. Retrieved April 16, 2026.</w:t>
      </w:r>
    </w:p>
    <w:p w14:paraId="2F0684FA" w14:textId="77777777" w:rsidR="00B3096C" w:rsidRPr="00B3096C" w:rsidRDefault="00B3096C" w:rsidP="00B3096C">
      <w:pPr>
        <w:jc w:val="both"/>
      </w:pPr>
      <w:r w:rsidRPr="00B3096C">
        <w:t xml:space="preserve">Wildlife Crime Academy. (n.d.). </w:t>
      </w:r>
      <w:r w:rsidRPr="00B3096C">
        <w:rPr>
          <w:i/>
          <w:iCs/>
        </w:rPr>
        <w:t>A world of threats and how to mitigate them</w:t>
      </w:r>
      <w:r w:rsidRPr="00B3096C">
        <w:t>.</w:t>
      </w:r>
      <w:hyperlink r:id="rId216" w:history="1">
        <w:r w:rsidRPr="00B3096C">
          <w:rPr>
            <w:rStyle w:val="-"/>
          </w:rPr>
          <w:t> </w:t>
        </w:r>
      </w:hyperlink>
    </w:p>
    <w:p w14:paraId="282848EF" w14:textId="77777777" w:rsidR="00B3096C" w:rsidRDefault="00B3096C" w:rsidP="00B3096C">
      <w:pPr>
        <w:jc w:val="both"/>
      </w:pPr>
      <w:r w:rsidRPr="00B3096C">
        <w:t xml:space="preserve">Zhang, Y. (2023). </w:t>
      </w:r>
      <w:r w:rsidRPr="00B3096C">
        <w:rPr>
          <w:i/>
          <w:iCs/>
        </w:rPr>
        <w:t>The “sanitary” role of necrophagous birds in ecosystems</w:t>
      </w:r>
      <w:r w:rsidRPr="00B3096C">
        <w:t xml:space="preserve">. </w:t>
      </w:r>
      <w:r w:rsidRPr="00B3096C">
        <w:rPr>
          <w:i/>
          <w:iCs/>
        </w:rPr>
        <w:t>Highlights in Science, Engineering and Technology</w:t>
      </w:r>
      <w:r w:rsidRPr="00B3096C">
        <w:t>.</w:t>
      </w:r>
      <w:hyperlink r:id="rId217" w:history="1">
        <w:r w:rsidRPr="00B3096C">
          <w:rPr>
            <w:rStyle w:val="-"/>
          </w:rPr>
          <w:t> </w:t>
        </w:r>
      </w:hyperlink>
    </w:p>
    <w:p w14:paraId="74380825" w14:textId="77777777" w:rsidR="00C30970" w:rsidRDefault="00C30970" w:rsidP="00B3096C">
      <w:pPr>
        <w:jc w:val="both"/>
      </w:pPr>
    </w:p>
    <w:p w14:paraId="472DF57B" w14:textId="77777777" w:rsidR="00C30970" w:rsidRDefault="00C30970" w:rsidP="00B3096C">
      <w:pPr>
        <w:jc w:val="both"/>
      </w:pPr>
    </w:p>
    <w:p w14:paraId="33E2A559" w14:textId="77777777" w:rsidR="00C30970" w:rsidRDefault="00C30970" w:rsidP="00B3096C">
      <w:pPr>
        <w:jc w:val="both"/>
      </w:pPr>
    </w:p>
    <w:p w14:paraId="00116277" w14:textId="77777777" w:rsidR="00C30970" w:rsidRDefault="00C30970" w:rsidP="00B3096C">
      <w:pPr>
        <w:jc w:val="both"/>
      </w:pPr>
    </w:p>
    <w:p w14:paraId="7EEAE5DD" w14:textId="77777777" w:rsidR="00C30970" w:rsidRDefault="00C30970" w:rsidP="00B3096C">
      <w:pPr>
        <w:jc w:val="both"/>
      </w:pPr>
    </w:p>
    <w:p w14:paraId="3E3DF278" w14:textId="77777777" w:rsidR="00C30970" w:rsidRDefault="00C30970" w:rsidP="00B3096C">
      <w:pPr>
        <w:jc w:val="both"/>
      </w:pPr>
    </w:p>
    <w:p w14:paraId="2E59183C" w14:textId="77777777" w:rsidR="00C30970" w:rsidRDefault="00C30970" w:rsidP="00B3096C">
      <w:pPr>
        <w:jc w:val="both"/>
      </w:pPr>
    </w:p>
    <w:p w14:paraId="40572CA8" w14:textId="77777777" w:rsidR="00C30970" w:rsidRDefault="00C30970" w:rsidP="00B3096C">
      <w:pPr>
        <w:jc w:val="both"/>
      </w:pPr>
    </w:p>
    <w:p w14:paraId="521A87CF" w14:textId="77777777" w:rsidR="00C30970" w:rsidRDefault="00C30970" w:rsidP="00B3096C">
      <w:pPr>
        <w:jc w:val="both"/>
      </w:pPr>
    </w:p>
    <w:p w14:paraId="46406925" w14:textId="77777777" w:rsidR="00C30970" w:rsidRDefault="00C30970" w:rsidP="00B3096C">
      <w:pPr>
        <w:jc w:val="both"/>
      </w:pPr>
    </w:p>
    <w:p w14:paraId="38ADBFE6" w14:textId="77777777" w:rsidR="00C30970" w:rsidRDefault="00C30970" w:rsidP="00B3096C">
      <w:pPr>
        <w:jc w:val="both"/>
      </w:pPr>
    </w:p>
    <w:p w14:paraId="47112BC3" w14:textId="77777777" w:rsidR="00C30970" w:rsidRDefault="00C30970" w:rsidP="00B3096C">
      <w:pPr>
        <w:jc w:val="both"/>
      </w:pPr>
    </w:p>
    <w:p w14:paraId="46EAAB28" w14:textId="77777777" w:rsidR="00C30970" w:rsidRDefault="00C30970" w:rsidP="00B3096C">
      <w:pPr>
        <w:jc w:val="both"/>
      </w:pPr>
    </w:p>
    <w:p w14:paraId="42D8AE49" w14:textId="77777777" w:rsidR="00C30970" w:rsidRDefault="00C30970" w:rsidP="00B3096C">
      <w:pPr>
        <w:jc w:val="both"/>
      </w:pPr>
    </w:p>
    <w:p w14:paraId="3F4672A2" w14:textId="77777777" w:rsidR="00C30970" w:rsidRDefault="00C30970" w:rsidP="00B3096C">
      <w:pPr>
        <w:jc w:val="both"/>
      </w:pPr>
    </w:p>
    <w:p w14:paraId="3637187F" w14:textId="77777777" w:rsidR="00C30970" w:rsidRDefault="00C30970" w:rsidP="00B3096C">
      <w:pPr>
        <w:jc w:val="both"/>
      </w:pPr>
    </w:p>
    <w:p w14:paraId="535B4934" w14:textId="77777777" w:rsidR="00C30970" w:rsidRDefault="00C30970" w:rsidP="00B3096C">
      <w:pPr>
        <w:jc w:val="both"/>
      </w:pPr>
    </w:p>
    <w:p w14:paraId="5246A8F2" w14:textId="77777777" w:rsidR="00C30970" w:rsidRDefault="00C30970" w:rsidP="00B3096C">
      <w:pPr>
        <w:jc w:val="both"/>
      </w:pPr>
    </w:p>
    <w:p w14:paraId="4A92C2D7" w14:textId="77777777" w:rsidR="00C30970" w:rsidRDefault="00C30970" w:rsidP="00B3096C">
      <w:pPr>
        <w:jc w:val="both"/>
      </w:pPr>
    </w:p>
    <w:p w14:paraId="6676C795" w14:textId="77777777" w:rsidR="00C30970" w:rsidRPr="00B3096C" w:rsidRDefault="00C30970" w:rsidP="00B3096C">
      <w:pPr>
        <w:jc w:val="both"/>
      </w:pPr>
    </w:p>
    <w:p w14:paraId="2CE7CE56" w14:textId="75D38FBE" w:rsidR="00B3096C" w:rsidRPr="00B3096C" w:rsidRDefault="00B3096C" w:rsidP="00B3096C">
      <w:pPr>
        <w:jc w:val="both"/>
      </w:pPr>
      <w:r w:rsidRPr="00B3096C">
        <w:rPr>
          <w:b/>
          <w:bCs/>
        </w:rPr>
        <w:lastRenderedPageBreak/>
        <w:t>Climate-Driven Shifts in Vector-Borne Disease Patterns: A Comparative Perspective Between Mediterranean and Baltic Regions</w:t>
      </w:r>
    </w:p>
    <w:p w14:paraId="53E37675" w14:textId="3883384E" w:rsidR="00B3096C" w:rsidRPr="00B3096C" w:rsidRDefault="00B3096C" w:rsidP="00B3096C">
      <w:pPr>
        <w:jc w:val="both"/>
      </w:pPr>
      <w:r w:rsidRPr="00B3096C">
        <w:t>Violet Adeline Wierbos</w:t>
      </w:r>
      <w:r w:rsidRPr="00B3096C">
        <w:rPr>
          <w:vertAlign w:val="superscript"/>
        </w:rPr>
        <w:t>1</w:t>
      </w:r>
      <w:r w:rsidRPr="00B3096C">
        <w:t>,</w:t>
      </w:r>
      <w:r w:rsidR="00AE1A0D">
        <w:t xml:space="preserve"> </w:t>
      </w:r>
      <w:r w:rsidRPr="00B3096C">
        <w:t>Kamyar Eskandari</w:t>
      </w:r>
      <w:r w:rsidRPr="00B3096C">
        <w:rPr>
          <w:vertAlign w:val="superscript"/>
        </w:rPr>
        <w:t>2</w:t>
      </w:r>
      <w:r w:rsidRPr="00B3096C">
        <w:t>, Efstratios Paralis</w:t>
      </w:r>
      <w:r w:rsidRPr="00B3096C">
        <w:rPr>
          <w:vertAlign w:val="superscript"/>
        </w:rPr>
        <w:t>3</w:t>
      </w:r>
      <w:r w:rsidRPr="00B3096C">
        <w:t>, Giovanni Baviera</w:t>
      </w:r>
      <w:r w:rsidRPr="00B3096C">
        <w:rPr>
          <w:vertAlign w:val="superscript"/>
        </w:rPr>
        <w:t>4</w:t>
      </w:r>
      <w:r w:rsidRPr="00B3096C">
        <w:t>, Vassilis Skampardonis</w:t>
      </w:r>
      <w:r w:rsidRPr="00B3096C">
        <w:rPr>
          <w:vertAlign w:val="superscript"/>
        </w:rPr>
        <w:t xml:space="preserve"> 5 </w:t>
      </w:r>
    </w:p>
    <w:p w14:paraId="58444FB4" w14:textId="77777777" w:rsidR="00B3096C" w:rsidRPr="00B3096C" w:rsidRDefault="00B3096C">
      <w:pPr>
        <w:numPr>
          <w:ilvl w:val="0"/>
          <w:numId w:val="152"/>
        </w:numPr>
        <w:jc w:val="both"/>
      </w:pPr>
      <w:r w:rsidRPr="00B3096C">
        <w:t>Undergraduate student, Faculty of Veterinary Medicine, Latvia University of Life Sciences and Technologies.</w:t>
      </w:r>
    </w:p>
    <w:p w14:paraId="4FB28721" w14:textId="77777777" w:rsidR="00B3096C" w:rsidRPr="00B3096C" w:rsidRDefault="00B3096C">
      <w:pPr>
        <w:numPr>
          <w:ilvl w:val="0"/>
          <w:numId w:val="152"/>
        </w:numPr>
        <w:jc w:val="both"/>
      </w:pPr>
      <w:r w:rsidRPr="00B3096C">
        <w:rPr>
          <w:vertAlign w:val="superscript"/>
        </w:rPr>
        <w:t> </w:t>
      </w:r>
      <w:r w:rsidRPr="00B3096C">
        <w:t>Undergraduate student, Department of Veterinary Medicine, School of Health Sciences, University of Thessaly.</w:t>
      </w:r>
    </w:p>
    <w:p w14:paraId="0EF6D58F" w14:textId="77777777" w:rsidR="00B3096C" w:rsidRPr="00B3096C" w:rsidRDefault="00B3096C">
      <w:pPr>
        <w:numPr>
          <w:ilvl w:val="0"/>
          <w:numId w:val="152"/>
        </w:numPr>
        <w:jc w:val="both"/>
      </w:pPr>
      <w:r w:rsidRPr="00B3096C">
        <w:rPr>
          <w:vertAlign w:val="superscript"/>
        </w:rPr>
        <w:t> </w:t>
      </w:r>
      <w:r w:rsidRPr="00B3096C">
        <w:t>Undergraduate student, Department of Veterinary Medicine, School of Health Sciences, University of Thessaly.</w:t>
      </w:r>
    </w:p>
    <w:p w14:paraId="2E6B76E3" w14:textId="77777777" w:rsidR="00B3096C" w:rsidRPr="00B3096C" w:rsidRDefault="00B3096C">
      <w:pPr>
        <w:numPr>
          <w:ilvl w:val="0"/>
          <w:numId w:val="152"/>
        </w:numPr>
        <w:jc w:val="both"/>
      </w:pPr>
      <w:r w:rsidRPr="00B3096C">
        <w:rPr>
          <w:vertAlign w:val="superscript"/>
        </w:rPr>
        <w:t> </w:t>
      </w:r>
      <w:r w:rsidRPr="00B3096C">
        <w:t>DVM, Italy.</w:t>
      </w:r>
    </w:p>
    <w:p w14:paraId="6BBCB52F" w14:textId="3F04A6FB" w:rsidR="00B3096C" w:rsidRPr="00B3096C" w:rsidRDefault="00B3096C">
      <w:pPr>
        <w:numPr>
          <w:ilvl w:val="0"/>
          <w:numId w:val="152"/>
        </w:numPr>
        <w:jc w:val="both"/>
      </w:pPr>
      <w:r w:rsidRPr="00B3096C">
        <w:t>Supervisor, Associate Professor, Laboratory of Epidemiology, Biostatistics and Economics of Animal Health, Department of Veterinary Medicine, University of Thessaly</w:t>
      </w:r>
    </w:p>
    <w:p w14:paraId="417FBA4B" w14:textId="77777777" w:rsidR="00B3096C" w:rsidRPr="00B3096C" w:rsidRDefault="00B3096C" w:rsidP="00B3096C">
      <w:pPr>
        <w:jc w:val="both"/>
      </w:pPr>
      <w:r w:rsidRPr="00B3096C">
        <w:t> </w:t>
      </w:r>
    </w:p>
    <w:p w14:paraId="5C1AB094" w14:textId="77777777" w:rsidR="00B3096C" w:rsidRPr="00B3096C" w:rsidRDefault="00B3096C" w:rsidP="00B3096C">
      <w:pPr>
        <w:jc w:val="both"/>
      </w:pPr>
      <w:r w:rsidRPr="00B3096C">
        <w:t> </w:t>
      </w:r>
      <w:r w:rsidRPr="00B3096C">
        <w:rPr>
          <w:b/>
          <w:bCs/>
        </w:rPr>
        <w:t>Abstract:</w:t>
      </w:r>
    </w:p>
    <w:p w14:paraId="06F4F5BC" w14:textId="77777777" w:rsidR="00B3096C" w:rsidRPr="00B3096C" w:rsidRDefault="00B3096C" w:rsidP="00B3096C">
      <w:pPr>
        <w:jc w:val="both"/>
      </w:pPr>
      <w:r w:rsidRPr="00B3096C">
        <w:t> Climate change is altering the ecology and geographic distribution of vectors across Europe. Mediterranean regions (e.g., Greece, Italy) face long-standing circulation of vector-borne pathogens such as West Nile virus, Leishmania spp., and tick-borne agents. Baltic and Northern European regions (e.g., Latvia) are experiencing rapid emergence of vectors and diseases previously rare at higher latitudes.</w:t>
      </w:r>
    </w:p>
    <w:p w14:paraId="7E83EA36" w14:textId="77777777" w:rsidR="00B3096C" w:rsidRPr="00B3096C" w:rsidRDefault="00B3096C" w:rsidP="00B3096C">
      <w:pPr>
        <w:jc w:val="both"/>
      </w:pPr>
      <w:r w:rsidRPr="00B3096C">
        <w:t> A comparative analysis of these contrasting climatic zones provides a unique opportunity to understand ecological shifts, anticipate future risks, and inform One Health preparedness strategies.</w:t>
      </w:r>
    </w:p>
    <w:p w14:paraId="25BD0D4F" w14:textId="77777777" w:rsidR="00B3096C" w:rsidRPr="00B3096C" w:rsidRDefault="00B3096C" w:rsidP="00B3096C">
      <w:pPr>
        <w:jc w:val="both"/>
      </w:pPr>
      <w:r w:rsidRPr="00B3096C">
        <w:t> The paper aims to explore how climate-driven environmental changes influence vector ecology in Mediterranean vs. Baltic regions, and to assess the implications for veterinary public health, zoonotic disease risk, and cross-sector collaboration.</w:t>
      </w:r>
    </w:p>
    <w:p w14:paraId="60B4548F" w14:textId="77777777" w:rsidR="00B3096C" w:rsidRPr="00B3096C" w:rsidRDefault="00B3096C" w:rsidP="00B3096C">
      <w:pPr>
        <w:jc w:val="both"/>
      </w:pPr>
      <w:r w:rsidRPr="00B3096C">
        <w:t>This project offers supervisors the opportunity to guide an interdisciplinary, cross-regional analysis aligned with One Health, epidemiology, infectious disease ecology, and climate change.</w:t>
      </w:r>
    </w:p>
    <w:p w14:paraId="011CC905" w14:textId="77777777" w:rsidR="00B3096C" w:rsidRPr="00B3096C" w:rsidRDefault="00B3096C" w:rsidP="00B3096C">
      <w:pPr>
        <w:jc w:val="both"/>
      </w:pPr>
      <w:r w:rsidRPr="00B3096C">
        <w:t> The multinational authorship (Greece, Italy, Latvia) provides strong comparative value and access to diverse regional contexts.</w:t>
      </w:r>
    </w:p>
    <w:p w14:paraId="48587AD7" w14:textId="77777777" w:rsidR="00B3096C" w:rsidRPr="00B3096C" w:rsidRDefault="00B3096C" w:rsidP="00B3096C">
      <w:pPr>
        <w:jc w:val="both"/>
      </w:pPr>
      <w:r w:rsidRPr="00B3096C">
        <w:t> </w:t>
      </w:r>
    </w:p>
    <w:p w14:paraId="056D6287" w14:textId="77777777" w:rsidR="00B3096C" w:rsidRPr="00B3096C" w:rsidRDefault="00B3096C" w:rsidP="00B3096C">
      <w:pPr>
        <w:jc w:val="both"/>
      </w:pPr>
      <w:r w:rsidRPr="00B3096C">
        <w:rPr>
          <w:b/>
          <w:bCs/>
        </w:rPr>
        <w:t>Bibliography:</w:t>
      </w:r>
    </w:p>
    <w:p w14:paraId="50697A82" w14:textId="77777777" w:rsidR="00B3096C" w:rsidRPr="00B3096C" w:rsidRDefault="00B3096C" w:rsidP="00B3096C">
      <w:pPr>
        <w:jc w:val="both"/>
      </w:pPr>
      <w:r w:rsidRPr="00B3096C">
        <w:t xml:space="preserve">Alhamadn, M. A. (2025). </w:t>
      </w:r>
      <w:r w:rsidRPr="00B3096C">
        <w:rPr>
          <w:i/>
          <w:iCs/>
        </w:rPr>
        <w:t>The association between climate change and Lyme disease incidence in Northern European countries by the Baltic and North Seas: An ecological time-series study</w:t>
      </w:r>
      <w:r w:rsidRPr="00B3096C">
        <w:t xml:space="preserve">. </w:t>
      </w:r>
      <w:r w:rsidRPr="00B3096C">
        <w:rPr>
          <w:i/>
          <w:iCs/>
        </w:rPr>
        <w:t>medRxiv</w:t>
      </w:r>
      <w:r w:rsidRPr="00B3096C">
        <w:t>.</w:t>
      </w:r>
    </w:p>
    <w:p w14:paraId="798DA02B" w14:textId="77777777" w:rsidR="00B3096C" w:rsidRPr="00B3096C" w:rsidRDefault="00B3096C" w:rsidP="00B3096C">
      <w:pPr>
        <w:jc w:val="both"/>
      </w:pPr>
      <w:r w:rsidRPr="00B3096C">
        <w:t xml:space="preserve">Athanasakopoulou, Z., Sofia, M., Skampardonis, V., Giannakopoulos, A., Birtsas, P., Tsolakos, K., Spyrou, V., Chatzopoulos, D. C., Satra, M., Diamantopoulos, V., Mpellou, S., Galamatis, D., Papatsiros, V. G., &amp; Billinis, C. (2023). </w:t>
      </w:r>
      <w:r w:rsidRPr="00B3096C">
        <w:rPr>
          <w:i/>
          <w:iCs/>
        </w:rPr>
        <w:t xml:space="preserve">Indication of West Nile virus (WNV) lineage 2 overwintering </w:t>
      </w:r>
      <w:r w:rsidRPr="00B3096C">
        <w:rPr>
          <w:i/>
          <w:iCs/>
        </w:rPr>
        <w:lastRenderedPageBreak/>
        <w:t>among wild birds in the regions of Peloponnese and Western Greece</w:t>
      </w:r>
      <w:r w:rsidRPr="00B3096C">
        <w:t xml:space="preserve">. </w:t>
      </w:r>
      <w:r w:rsidRPr="00B3096C">
        <w:rPr>
          <w:i/>
          <w:iCs/>
        </w:rPr>
        <w:t>Veterinary Sciences, 10</w:t>
      </w:r>
      <w:r w:rsidRPr="00B3096C">
        <w:t>(11), 661.</w:t>
      </w:r>
      <w:hyperlink r:id="rId218" w:history="1">
        <w:r w:rsidRPr="00B3096C">
          <w:rPr>
            <w:rStyle w:val="-"/>
          </w:rPr>
          <w:t> </w:t>
        </w:r>
      </w:hyperlink>
    </w:p>
    <w:p w14:paraId="494694BF" w14:textId="77777777" w:rsidR="00B3096C" w:rsidRPr="00B3096C" w:rsidRDefault="00B3096C" w:rsidP="00B3096C">
      <w:pPr>
        <w:jc w:val="both"/>
      </w:pPr>
      <w:r w:rsidRPr="00B3096C">
        <w:t xml:space="preserve">Baldacchino, F., Montarsi, F., Arnoldi, D., Giglio, G., Rosso, F., Capelli, G., et al. (2017). </w:t>
      </w:r>
      <w:r w:rsidRPr="00B3096C">
        <w:rPr>
          <w:i/>
          <w:iCs/>
        </w:rPr>
        <w:t>Spatial and temporal distribution of Aedes albopictus (Diptera: Culicidae) in Piedmont (North-Western Italy)</w:t>
      </w:r>
      <w:r w:rsidRPr="00B3096C">
        <w:t xml:space="preserve">. </w:t>
      </w:r>
      <w:r w:rsidRPr="00B3096C">
        <w:rPr>
          <w:i/>
          <w:iCs/>
        </w:rPr>
        <w:t>Parasite, 24</w:t>
      </w:r>
      <w:r w:rsidRPr="00B3096C">
        <w:t>, Article 41.</w:t>
      </w:r>
      <w:hyperlink r:id="rId219" w:history="1">
        <w:r w:rsidRPr="00B3096C">
          <w:rPr>
            <w:rStyle w:val="-"/>
          </w:rPr>
          <w:t> </w:t>
        </w:r>
      </w:hyperlink>
    </w:p>
    <w:p w14:paraId="33C5386E" w14:textId="77777777" w:rsidR="00B3096C" w:rsidRPr="00B3096C" w:rsidRDefault="00B3096C" w:rsidP="00B3096C">
      <w:pPr>
        <w:jc w:val="both"/>
      </w:pPr>
      <w:r w:rsidRPr="00B3096C">
        <w:t xml:space="preserve">Bellini, R., &amp; Angelini, P. (2013). </w:t>
      </w:r>
      <w:r w:rsidRPr="00B3096C">
        <w:rPr>
          <w:i/>
          <w:iCs/>
        </w:rPr>
        <w:t>Invasive mosquito species love Italy</w:t>
      </w:r>
      <w:r w:rsidRPr="00B3096C">
        <w:t xml:space="preserve">. </w:t>
      </w:r>
      <w:r w:rsidRPr="00B3096C">
        <w:rPr>
          <w:i/>
          <w:iCs/>
        </w:rPr>
        <w:t>Outlook on Agriculture, 42</w:t>
      </w:r>
      <w:r w:rsidRPr="00B3096C">
        <w:t>(4), 231–238.</w:t>
      </w:r>
    </w:p>
    <w:p w14:paraId="3012B405" w14:textId="77777777" w:rsidR="00B3096C" w:rsidRPr="00B3096C" w:rsidRDefault="00B3096C" w:rsidP="00B3096C">
      <w:pPr>
        <w:jc w:val="both"/>
      </w:pPr>
      <w:r w:rsidRPr="00B3096C">
        <w:t xml:space="preserve">BEYOND Centre of Excellence. (2025). </w:t>
      </w:r>
      <w:r w:rsidRPr="00B3096C">
        <w:rPr>
          <w:i/>
          <w:iCs/>
        </w:rPr>
        <w:t>Early warning system of mosquito diseases (EYWA)</w:t>
      </w:r>
      <w:r w:rsidRPr="00B3096C">
        <w:t>. National Observatory of Athens.</w:t>
      </w:r>
      <w:hyperlink r:id="rId220" w:history="1">
        <w:r w:rsidRPr="00B3096C">
          <w:rPr>
            <w:rStyle w:val="-"/>
          </w:rPr>
          <w:t> </w:t>
        </w:r>
      </w:hyperlink>
    </w:p>
    <w:p w14:paraId="5890F869" w14:textId="77777777" w:rsidR="00B3096C" w:rsidRPr="00B3096C" w:rsidRDefault="00B3096C" w:rsidP="00B3096C">
      <w:pPr>
        <w:jc w:val="both"/>
      </w:pPr>
      <w:r w:rsidRPr="00B3096C">
        <w:t xml:space="preserve">Bormane, A., Lucenko, I., Duks, A., Mavtchoutko, V., Ranka, R., Salmina, K., &amp; Baumanis, V. (2004). </w:t>
      </w:r>
      <w:r w:rsidRPr="00B3096C">
        <w:rPr>
          <w:i/>
          <w:iCs/>
        </w:rPr>
        <w:t>Vectors of tick-borne diseases and epidemiological situation in Latvia in 1993–2002</w:t>
      </w:r>
      <w:r w:rsidRPr="00B3096C">
        <w:t xml:space="preserve">. </w:t>
      </w:r>
      <w:r w:rsidRPr="00B3096C">
        <w:rPr>
          <w:i/>
          <w:iCs/>
        </w:rPr>
        <w:t>International Journal of Medical Microbiology Supplements, 293</w:t>
      </w:r>
      <w:r w:rsidRPr="00B3096C">
        <w:t>, 36–47. https://doi.org/10.1016/S1438-4221(04)80007-1</w:t>
      </w:r>
    </w:p>
    <w:p w14:paraId="4C96B0C1" w14:textId="77777777" w:rsidR="00B3096C" w:rsidRPr="00B3096C" w:rsidRDefault="00B3096C" w:rsidP="00B3096C">
      <w:pPr>
        <w:jc w:val="both"/>
      </w:pPr>
      <w:r w:rsidRPr="00B3096C">
        <w:t xml:space="preserve">Burn, L., Vyse, A., Pilz, A., Tran, T. M. P., Fletcher, M. A., Angulo, F. J., et al. (2023). </w:t>
      </w:r>
      <w:r w:rsidRPr="00B3096C">
        <w:rPr>
          <w:i/>
          <w:iCs/>
        </w:rPr>
        <w:t>Incidence of Lyme borreliosis in Europe: A systematic review (2005–2020)</w:t>
      </w:r>
      <w:r w:rsidRPr="00B3096C">
        <w:t xml:space="preserve">. </w:t>
      </w:r>
      <w:r w:rsidRPr="00B3096C">
        <w:rPr>
          <w:i/>
          <w:iCs/>
        </w:rPr>
        <w:t>Vector-Borne and Zoonotic Diseases, 23</w:t>
      </w:r>
      <w:r w:rsidRPr="00B3096C">
        <w:t>(4), 172–194.</w:t>
      </w:r>
      <w:hyperlink r:id="rId221" w:history="1">
        <w:r w:rsidRPr="00B3096C">
          <w:rPr>
            <w:rStyle w:val="-"/>
          </w:rPr>
          <w:t> </w:t>
        </w:r>
      </w:hyperlink>
    </w:p>
    <w:p w14:paraId="4C07C96F" w14:textId="77777777" w:rsidR="00B3096C" w:rsidRPr="00B3096C" w:rsidRDefault="00B3096C" w:rsidP="00B3096C">
      <w:pPr>
        <w:jc w:val="both"/>
      </w:pPr>
      <w:r w:rsidRPr="00B3096C">
        <w:t xml:space="preserve">Carrieri, M., Angelini, P., Venturelli, C., Albieri, A., Bellini, R., &amp; Maini, S. (2023). </w:t>
      </w:r>
      <w:r w:rsidRPr="00B3096C">
        <w:rPr>
          <w:i/>
          <w:iCs/>
        </w:rPr>
        <w:t>Effects of the weather on the seasonal population trend of Aedes albopictus (Diptera: Culicidae) in Northern Italy</w:t>
      </w:r>
      <w:r w:rsidRPr="00B3096C">
        <w:t xml:space="preserve">. </w:t>
      </w:r>
      <w:r w:rsidRPr="00B3096C">
        <w:rPr>
          <w:i/>
          <w:iCs/>
        </w:rPr>
        <w:t>Insects, 14</w:t>
      </w:r>
      <w:r w:rsidRPr="00B3096C">
        <w:t>(11), Article 868.</w:t>
      </w:r>
      <w:hyperlink r:id="rId222" w:history="1">
        <w:r w:rsidRPr="00B3096C">
          <w:rPr>
            <w:rStyle w:val="-"/>
          </w:rPr>
          <w:t> </w:t>
        </w:r>
      </w:hyperlink>
    </w:p>
    <w:p w14:paraId="61C781B0" w14:textId="77777777" w:rsidR="00B3096C" w:rsidRPr="00B3096C" w:rsidRDefault="00B3096C" w:rsidP="00B3096C">
      <w:pPr>
        <w:jc w:val="both"/>
      </w:pPr>
      <w:r w:rsidRPr="00B3096C">
        <w:t xml:space="preserve">Carrieri, M., Angelini, P., Venturelli, C., Maccagnani, B., &amp; Bellini, R. (2014). </w:t>
      </w:r>
      <w:r w:rsidRPr="00B3096C">
        <w:rPr>
          <w:i/>
          <w:iCs/>
        </w:rPr>
        <w:t>Evaluation of a model for the prediction of Aedes albopictus population in central Italy</w:t>
      </w:r>
      <w:r w:rsidRPr="00B3096C">
        <w:t xml:space="preserve">. </w:t>
      </w:r>
      <w:r w:rsidRPr="00B3096C">
        <w:rPr>
          <w:i/>
          <w:iCs/>
        </w:rPr>
        <w:t>Medical and Veterinary Entomology, 28</w:t>
      </w:r>
      <w:r w:rsidRPr="00B3096C">
        <w:t>(3), 253–264.</w:t>
      </w:r>
    </w:p>
    <w:p w14:paraId="3DC71906" w14:textId="77777777" w:rsidR="00B3096C" w:rsidRPr="00B3096C" w:rsidRDefault="00B3096C" w:rsidP="00B3096C">
      <w:pPr>
        <w:jc w:val="both"/>
      </w:pPr>
      <w:r w:rsidRPr="00B3096C">
        <w:t xml:space="preserve">Capligina, V., Seleznova, M., Akopjana, S., Freimane, L., Lazovska, M., Krumins, R., et al. (2020). </w:t>
      </w:r>
      <w:r w:rsidRPr="00B3096C">
        <w:rPr>
          <w:i/>
          <w:iCs/>
        </w:rPr>
        <w:t>Large-scale countrywide screening for tick-borne pathogens in field-collected ticks in Latvia during 2017–2019</w:t>
      </w:r>
      <w:r w:rsidRPr="00B3096C">
        <w:t xml:space="preserve">. </w:t>
      </w:r>
      <w:r w:rsidRPr="00B3096C">
        <w:rPr>
          <w:i/>
          <w:iCs/>
        </w:rPr>
        <w:t>Parasites &amp; Vectors, 13</w:t>
      </w:r>
      <w:r w:rsidRPr="00B3096C">
        <w:t>(1), 351.</w:t>
      </w:r>
      <w:hyperlink r:id="rId223" w:history="1">
        <w:r w:rsidRPr="00B3096C">
          <w:rPr>
            <w:rStyle w:val="-"/>
          </w:rPr>
          <w:t> </w:t>
        </w:r>
      </w:hyperlink>
    </w:p>
    <w:p w14:paraId="1A17DE16" w14:textId="77777777" w:rsidR="00B3096C" w:rsidRPr="00B3096C" w:rsidRDefault="00B3096C" w:rsidP="00B3096C">
      <w:pPr>
        <w:jc w:val="both"/>
      </w:pPr>
      <w:r w:rsidRPr="00B3096C">
        <w:t xml:space="preserve">Chitimia-Dobler, L., Dobler, G., Lang, D., Bormane, A., Ranka, R., Schaper, S., et al. (2025). </w:t>
      </w:r>
      <w:r w:rsidRPr="00B3096C">
        <w:rPr>
          <w:i/>
          <w:iCs/>
        </w:rPr>
        <w:t>Distribution and genotypic landscape of tick-borne encephalitis virus in ticks from Latvia from 2019 to 2023</w:t>
      </w:r>
      <w:r w:rsidRPr="00B3096C">
        <w:t xml:space="preserve">. </w:t>
      </w:r>
      <w:r w:rsidRPr="00B3096C">
        <w:rPr>
          <w:i/>
          <w:iCs/>
        </w:rPr>
        <w:t>Pathogens, 14</w:t>
      </w:r>
      <w:r w:rsidRPr="00B3096C">
        <w:t>(9), 950.</w:t>
      </w:r>
      <w:hyperlink r:id="rId224" w:history="1">
        <w:r w:rsidRPr="00B3096C">
          <w:rPr>
            <w:rStyle w:val="-"/>
          </w:rPr>
          <w:t> </w:t>
        </w:r>
      </w:hyperlink>
    </w:p>
    <w:p w14:paraId="20AFC2D8" w14:textId="77777777" w:rsidR="00B3096C" w:rsidRPr="00B3096C" w:rsidRDefault="00B3096C" w:rsidP="00B3096C">
      <w:pPr>
        <w:jc w:val="both"/>
      </w:pPr>
      <w:r w:rsidRPr="00B3096C">
        <w:t xml:space="preserve">Cunze, S., Glock, G., Kochmann, J., &amp; Klimpel, S. (2022). </w:t>
      </w:r>
      <w:r w:rsidRPr="00B3096C">
        <w:rPr>
          <w:i/>
          <w:iCs/>
        </w:rPr>
        <w:t>Ticks on the move—climate change-induced range shifts of three tick species in Europe: Current and future habitat suitability</w:t>
      </w:r>
      <w:r w:rsidRPr="00B3096C">
        <w:t xml:space="preserve">. </w:t>
      </w:r>
      <w:r w:rsidRPr="00B3096C">
        <w:rPr>
          <w:i/>
          <w:iCs/>
        </w:rPr>
        <w:t>Parasitology Research, 121</w:t>
      </w:r>
      <w:r w:rsidRPr="00B3096C">
        <w:t>(8), 2241–2252.</w:t>
      </w:r>
      <w:hyperlink r:id="rId225" w:history="1">
        <w:r w:rsidRPr="00B3096C">
          <w:rPr>
            <w:rStyle w:val="-"/>
          </w:rPr>
          <w:t> </w:t>
        </w:r>
      </w:hyperlink>
    </w:p>
    <w:p w14:paraId="11D28B93" w14:textId="77777777" w:rsidR="00B3096C" w:rsidRPr="00B3096C" w:rsidRDefault="00B3096C" w:rsidP="00B3096C">
      <w:pPr>
        <w:jc w:val="both"/>
      </w:pPr>
      <w:r w:rsidRPr="00B3096C">
        <w:t xml:space="preserve">Destoumieux-Garzón, D., Mavingui, P., Boetsch, G., Boissier, J., Darriet, F., Duboz, P., et al. (2018). </w:t>
      </w:r>
      <w:r w:rsidRPr="00B3096C">
        <w:rPr>
          <w:i/>
          <w:iCs/>
        </w:rPr>
        <w:t>The One Health concept: 10 years old and a long road ahead</w:t>
      </w:r>
      <w:r w:rsidRPr="00B3096C">
        <w:t xml:space="preserve">. </w:t>
      </w:r>
      <w:r w:rsidRPr="00B3096C">
        <w:rPr>
          <w:i/>
          <w:iCs/>
        </w:rPr>
        <w:t>Frontiers in Veterinary Science, 5</w:t>
      </w:r>
      <w:r w:rsidRPr="00B3096C">
        <w:t>, 14.</w:t>
      </w:r>
      <w:hyperlink r:id="rId226" w:history="1">
        <w:r w:rsidRPr="00B3096C">
          <w:rPr>
            <w:rStyle w:val="-"/>
          </w:rPr>
          <w:t> </w:t>
        </w:r>
      </w:hyperlink>
    </w:p>
    <w:p w14:paraId="5541353B" w14:textId="77777777" w:rsidR="00B3096C" w:rsidRPr="00B3096C" w:rsidRDefault="00B3096C" w:rsidP="00B3096C">
      <w:pPr>
        <w:jc w:val="both"/>
      </w:pPr>
      <w:r w:rsidRPr="00B3096C">
        <w:t xml:space="preserve">Ejov, M., &amp; Dagne, D. (2014). </w:t>
      </w:r>
      <w:r w:rsidRPr="00B3096C">
        <w:rPr>
          <w:i/>
          <w:iCs/>
        </w:rPr>
        <w:t>Strategic framework for leishmaniasis control in the WHO European Region 2014–2020</w:t>
      </w:r>
      <w:r w:rsidRPr="00B3096C">
        <w:t>. World Health Organization.</w:t>
      </w:r>
      <w:hyperlink r:id="rId227" w:history="1">
        <w:r w:rsidRPr="00B3096C">
          <w:rPr>
            <w:rStyle w:val="-"/>
          </w:rPr>
          <w:t> </w:t>
        </w:r>
      </w:hyperlink>
    </w:p>
    <w:p w14:paraId="41A4066E" w14:textId="77777777" w:rsidR="00B3096C" w:rsidRPr="00B3096C" w:rsidRDefault="00B3096C" w:rsidP="00B3096C">
      <w:pPr>
        <w:jc w:val="both"/>
      </w:pPr>
      <w:r w:rsidRPr="00B3096C">
        <w:t xml:space="preserve">European Food Safety Authority. (2020). </w:t>
      </w:r>
      <w:r w:rsidRPr="00B3096C">
        <w:rPr>
          <w:i/>
          <w:iCs/>
        </w:rPr>
        <w:t>Climate change as a driver of emerging risks for food and feed safety, plant, animal health and nutritional quality</w:t>
      </w:r>
      <w:r w:rsidRPr="00B3096C">
        <w:t xml:space="preserve">. </w:t>
      </w:r>
      <w:r w:rsidRPr="00B3096C">
        <w:rPr>
          <w:i/>
          <w:iCs/>
        </w:rPr>
        <w:t>EFSA Supporting Publications, 17</w:t>
      </w:r>
      <w:r w:rsidRPr="00B3096C">
        <w:t>(6), 1881E.</w:t>
      </w:r>
      <w:hyperlink r:id="rId228" w:history="1">
        <w:r w:rsidRPr="00B3096C">
          <w:rPr>
            <w:rStyle w:val="-"/>
          </w:rPr>
          <w:t> </w:t>
        </w:r>
      </w:hyperlink>
    </w:p>
    <w:p w14:paraId="4C977650" w14:textId="77777777" w:rsidR="00B3096C" w:rsidRPr="00B3096C" w:rsidRDefault="00B3096C" w:rsidP="00B3096C">
      <w:pPr>
        <w:jc w:val="both"/>
      </w:pPr>
      <w:r w:rsidRPr="00B3096C">
        <w:lastRenderedPageBreak/>
        <w:t xml:space="preserve">Freimane, Z., Dobler, G., Karelis, G., Kuzmane, S., Savicka, O., Chitimia-Dobler, L., et al. (2025). </w:t>
      </w:r>
      <w:r w:rsidRPr="00B3096C">
        <w:rPr>
          <w:i/>
          <w:iCs/>
        </w:rPr>
        <w:t>Tick-borne encephalitis in Latvia: An epidemiological and clinical comparison of European and Siberian subtype infections</w:t>
      </w:r>
      <w:r w:rsidRPr="00B3096C">
        <w:t xml:space="preserve">. </w:t>
      </w:r>
      <w:r w:rsidRPr="00B3096C">
        <w:rPr>
          <w:i/>
          <w:iCs/>
        </w:rPr>
        <w:t>Infection, 53</w:t>
      </w:r>
      <w:r w:rsidRPr="00B3096C">
        <w:t>(6), 2691–2699.</w:t>
      </w:r>
      <w:hyperlink r:id="rId229" w:history="1">
        <w:r w:rsidRPr="00B3096C">
          <w:rPr>
            <w:rStyle w:val="-"/>
          </w:rPr>
          <w:t> </w:t>
        </w:r>
      </w:hyperlink>
    </w:p>
    <w:p w14:paraId="69A2B86C" w14:textId="77777777" w:rsidR="00B3096C" w:rsidRPr="00B3096C" w:rsidRDefault="00B3096C" w:rsidP="00B3096C">
      <w:pPr>
        <w:jc w:val="both"/>
      </w:pPr>
      <w:r w:rsidRPr="00B3096C">
        <w:t xml:space="preserve">Freimane, Z., Dobler, G., Karelis, G., Chitimia-Dobler, L., Savicka, O., &amp; Zavadska, D. (2025). </w:t>
      </w:r>
      <w:r w:rsidRPr="00B3096C">
        <w:rPr>
          <w:i/>
          <w:iCs/>
        </w:rPr>
        <w:t>Seroprevalence of tick-borne encephalitis virus in Latvia using standard and subtype-specific NS1-based ELISA assays</w:t>
      </w:r>
      <w:r w:rsidRPr="00B3096C">
        <w:t xml:space="preserve">. </w:t>
      </w:r>
      <w:r w:rsidRPr="00B3096C">
        <w:rPr>
          <w:i/>
          <w:iCs/>
        </w:rPr>
        <w:t>Pathogens, 14</w:t>
      </w:r>
      <w:r w:rsidRPr="00B3096C">
        <w:t>(11), 1115.</w:t>
      </w:r>
      <w:hyperlink r:id="rId230" w:history="1">
        <w:r w:rsidRPr="00B3096C">
          <w:rPr>
            <w:rStyle w:val="-"/>
          </w:rPr>
          <w:t> </w:t>
        </w:r>
      </w:hyperlink>
    </w:p>
    <w:p w14:paraId="2289ED83" w14:textId="77777777" w:rsidR="00B3096C" w:rsidRPr="00B3096C" w:rsidRDefault="00B3096C" w:rsidP="00B3096C">
      <w:pPr>
        <w:jc w:val="both"/>
      </w:pPr>
      <w:r w:rsidRPr="00B3096C">
        <w:t xml:space="preserve">GIANNAKOPOULOS, A., et al. (2016). </w:t>
      </w:r>
      <w:r w:rsidRPr="00B3096C">
        <w:rPr>
          <w:i/>
          <w:iCs/>
        </w:rPr>
        <w:t>Environmental parameters as risk factors for human and canine Leishmania infection in Thessaly, Central Greece</w:t>
      </w:r>
      <w:r w:rsidRPr="00B3096C">
        <w:t xml:space="preserve">. </w:t>
      </w:r>
      <w:r w:rsidRPr="00B3096C">
        <w:rPr>
          <w:i/>
          <w:iCs/>
        </w:rPr>
        <w:t>Parasitology, 143</w:t>
      </w:r>
      <w:r w:rsidRPr="00B3096C">
        <w:t>(9), 1179–1186.</w:t>
      </w:r>
    </w:p>
    <w:p w14:paraId="2069921C" w14:textId="77777777" w:rsidR="00B3096C" w:rsidRPr="00B3096C" w:rsidRDefault="00B3096C" w:rsidP="00B3096C">
      <w:pPr>
        <w:jc w:val="both"/>
      </w:pPr>
      <w:r w:rsidRPr="00B3096C">
        <w:t xml:space="preserve">Gossner, C. M., et al. (2017). </w:t>
      </w:r>
      <w:r w:rsidRPr="00B3096C">
        <w:rPr>
          <w:i/>
          <w:iCs/>
        </w:rPr>
        <w:t>West Nile virus surveillance in Europe: Moving towards an integrated animal-human-vector approach</w:t>
      </w:r>
      <w:r w:rsidRPr="00B3096C">
        <w:t xml:space="preserve">. </w:t>
      </w:r>
      <w:r w:rsidRPr="00B3096C">
        <w:rPr>
          <w:i/>
          <w:iCs/>
        </w:rPr>
        <w:t>Eurosurveillance, 22</w:t>
      </w:r>
      <w:r w:rsidRPr="00B3096C">
        <w:t>(18), 30526.</w:t>
      </w:r>
      <w:hyperlink r:id="rId231" w:history="1">
        <w:r w:rsidRPr="00B3096C">
          <w:rPr>
            <w:rStyle w:val="-"/>
          </w:rPr>
          <w:t> </w:t>
        </w:r>
      </w:hyperlink>
    </w:p>
    <w:p w14:paraId="0D16F5A5" w14:textId="77777777" w:rsidR="00B3096C" w:rsidRPr="00B3096C" w:rsidRDefault="00B3096C" w:rsidP="00B3096C">
      <w:pPr>
        <w:jc w:val="both"/>
      </w:pPr>
      <w:r w:rsidRPr="00B3096C">
        <w:t xml:space="preserve">Gray, J. S., et al. (2009). </w:t>
      </w:r>
      <w:r w:rsidRPr="00B3096C">
        <w:rPr>
          <w:i/>
          <w:iCs/>
        </w:rPr>
        <w:t>Effects of climate change on ticks and tick-borne diseases in Europe</w:t>
      </w:r>
      <w:r w:rsidRPr="00B3096C">
        <w:t xml:space="preserve">. </w:t>
      </w:r>
      <w:r w:rsidRPr="00B3096C">
        <w:rPr>
          <w:i/>
          <w:iCs/>
        </w:rPr>
        <w:t>Interdisciplinary Perspectives on Infectious Diseases</w:t>
      </w:r>
      <w:r w:rsidRPr="00B3096C">
        <w:t>, 2009, 593232.</w:t>
      </w:r>
      <w:hyperlink r:id="rId232" w:history="1">
        <w:r w:rsidRPr="00B3096C">
          <w:rPr>
            <w:rStyle w:val="-"/>
          </w:rPr>
          <w:t> </w:t>
        </w:r>
      </w:hyperlink>
    </w:p>
    <w:p w14:paraId="44DA7AA1" w14:textId="77777777" w:rsidR="00B3096C" w:rsidRPr="00B3096C" w:rsidRDefault="00B3096C" w:rsidP="00B3096C">
      <w:pPr>
        <w:jc w:val="both"/>
      </w:pPr>
      <w:r w:rsidRPr="00B3096C">
        <w:t xml:space="preserve">Halsby, K., et al. (2024). </w:t>
      </w:r>
      <w:r w:rsidRPr="00B3096C">
        <w:rPr>
          <w:i/>
          <w:iCs/>
        </w:rPr>
        <w:t>Publicly available surveillance data on tick-borne encephalitis in Europe, 2023</w:t>
      </w:r>
      <w:r w:rsidRPr="00B3096C">
        <w:t xml:space="preserve">. </w:t>
      </w:r>
      <w:r w:rsidRPr="00B3096C">
        <w:rPr>
          <w:i/>
          <w:iCs/>
        </w:rPr>
        <w:t>Ticks and Tick-borne Diseases, 15</w:t>
      </w:r>
      <w:r w:rsidRPr="00B3096C">
        <w:t>(6), 102388.</w:t>
      </w:r>
      <w:hyperlink r:id="rId233" w:history="1">
        <w:r w:rsidRPr="00B3096C">
          <w:rPr>
            <w:rStyle w:val="-"/>
          </w:rPr>
          <w:t> </w:t>
        </w:r>
      </w:hyperlink>
    </w:p>
    <w:p w14:paraId="0C9F5B77" w14:textId="77777777" w:rsidR="00B3096C" w:rsidRPr="00B3096C" w:rsidRDefault="00B3096C" w:rsidP="00B3096C">
      <w:pPr>
        <w:jc w:val="both"/>
      </w:pPr>
      <w:r w:rsidRPr="00B3096C">
        <w:t xml:space="preserve">Huitink, H., et al. (2024). </w:t>
      </w:r>
      <w:r w:rsidRPr="00B3096C">
        <w:rPr>
          <w:i/>
          <w:iCs/>
        </w:rPr>
        <w:t>The effect of climate change on the distribution and transmission of mosquito-borne diseases in Europe</w:t>
      </w:r>
      <w:r w:rsidRPr="00B3096C">
        <w:t xml:space="preserve">. </w:t>
      </w:r>
      <w:r w:rsidRPr="00B3096C">
        <w:rPr>
          <w:i/>
          <w:iCs/>
        </w:rPr>
        <w:t>Pathogens, 13</w:t>
      </w:r>
      <w:r w:rsidRPr="00B3096C">
        <w:t>(10), 836.</w:t>
      </w:r>
      <w:hyperlink r:id="rId234" w:history="1">
        <w:r w:rsidRPr="00B3096C">
          <w:rPr>
            <w:rStyle w:val="-"/>
          </w:rPr>
          <w:t> </w:t>
        </w:r>
      </w:hyperlink>
    </w:p>
    <w:p w14:paraId="5884AA10" w14:textId="77777777" w:rsidR="00B3096C" w:rsidRPr="00B3096C" w:rsidRDefault="00B3096C" w:rsidP="00B3096C">
      <w:pPr>
        <w:jc w:val="both"/>
      </w:pPr>
      <w:r w:rsidRPr="00B3096C">
        <w:t xml:space="preserve">Jaagus, J., et al. (2018). </w:t>
      </w:r>
      <w:r w:rsidRPr="00B3096C">
        <w:rPr>
          <w:i/>
          <w:iCs/>
        </w:rPr>
        <w:t>Changes in precipitation regime in the Baltic countries in 1966–2015</w:t>
      </w:r>
      <w:r w:rsidRPr="00B3096C">
        <w:t xml:space="preserve">. </w:t>
      </w:r>
      <w:r w:rsidRPr="00B3096C">
        <w:rPr>
          <w:i/>
          <w:iCs/>
        </w:rPr>
        <w:t>Theoretical and Applied Climatology, 131</w:t>
      </w:r>
      <w:r w:rsidRPr="00B3096C">
        <w:t>(1), 433–443.</w:t>
      </w:r>
      <w:hyperlink r:id="rId235" w:history="1">
        <w:r w:rsidRPr="00B3096C">
          <w:rPr>
            <w:rStyle w:val="-"/>
          </w:rPr>
          <w:t> </w:t>
        </w:r>
      </w:hyperlink>
    </w:p>
    <w:p w14:paraId="747D0CBD" w14:textId="77777777" w:rsidR="00B3096C" w:rsidRPr="00B3096C" w:rsidRDefault="00B3096C" w:rsidP="00B3096C">
      <w:pPr>
        <w:jc w:val="both"/>
      </w:pPr>
      <w:r w:rsidRPr="00B3096C">
        <w:t xml:space="preserve">Kutuzova, V., Ivanovs, V., &amp; Ticmane, G. (2018). </w:t>
      </w:r>
      <w:r w:rsidRPr="00B3096C">
        <w:rPr>
          <w:i/>
          <w:iCs/>
        </w:rPr>
        <w:t>Lyme disease: Features of diagnostics and management strategies amongst Latvian general practitioners</w:t>
      </w:r>
      <w:r w:rsidRPr="00B3096C">
        <w:t xml:space="preserve">. </w:t>
      </w:r>
      <w:r w:rsidRPr="00B3096C">
        <w:rPr>
          <w:i/>
          <w:iCs/>
        </w:rPr>
        <w:t>Journal of Pharmacy and Pharmacology, 6</w:t>
      </w:r>
      <w:r w:rsidRPr="00B3096C">
        <w:t>(9), 835–840.</w:t>
      </w:r>
    </w:p>
    <w:p w14:paraId="7C5EA232" w14:textId="77777777" w:rsidR="00B3096C" w:rsidRPr="00B3096C" w:rsidRDefault="00B3096C" w:rsidP="00B3096C">
      <w:pPr>
        <w:jc w:val="both"/>
      </w:pPr>
      <w:r w:rsidRPr="00B3096C">
        <w:t xml:space="preserve">Lenaerts, K., Tagliapietra, S., &amp; Wolff, G. B. (2022). </w:t>
      </w:r>
      <w:r w:rsidRPr="00B3096C">
        <w:rPr>
          <w:i/>
          <w:iCs/>
        </w:rPr>
        <w:t>How can the European Union adapt to climate change?</w:t>
      </w:r>
      <w:r w:rsidRPr="00B3096C">
        <w:t xml:space="preserve"> </w:t>
      </w:r>
      <w:r w:rsidRPr="00B3096C">
        <w:rPr>
          <w:i/>
          <w:iCs/>
        </w:rPr>
        <w:t>Intereconomics, 57</w:t>
      </w:r>
      <w:r w:rsidRPr="00B3096C">
        <w:t>(5), 314–321.</w:t>
      </w:r>
      <w:hyperlink r:id="rId236" w:history="1">
        <w:r w:rsidRPr="00B3096C">
          <w:rPr>
            <w:rStyle w:val="-"/>
          </w:rPr>
          <w:t> </w:t>
        </w:r>
      </w:hyperlink>
    </w:p>
    <w:p w14:paraId="55815BF6" w14:textId="77777777" w:rsidR="00B3096C" w:rsidRPr="00B3096C" w:rsidRDefault="00B3096C" w:rsidP="00B3096C">
      <w:pPr>
        <w:jc w:val="both"/>
      </w:pPr>
      <w:r w:rsidRPr="00B3096C">
        <w:t xml:space="preserve">Lindgren, E., &amp; Jaenson, T. G. (2006). </w:t>
      </w:r>
      <w:r w:rsidRPr="00B3096C">
        <w:rPr>
          <w:i/>
          <w:iCs/>
        </w:rPr>
        <w:t>Lyme borreliosis in Europe: Influences of climate and climate change</w:t>
      </w:r>
      <w:r w:rsidRPr="00B3096C">
        <w:t>. World Health Organization.</w:t>
      </w:r>
    </w:p>
    <w:p w14:paraId="5EB1D9B0" w14:textId="77777777" w:rsidR="00B3096C" w:rsidRPr="00B3096C" w:rsidRDefault="00B3096C" w:rsidP="00B3096C">
      <w:pPr>
        <w:jc w:val="both"/>
      </w:pPr>
      <w:r w:rsidRPr="00B3096C">
        <w:t xml:space="preserve">Martello, E., et al. (2016). </w:t>
      </w:r>
      <w:r w:rsidRPr="00B3096C">
        <w:rPr>
          <w:i/>
          <w:iCs/>
        </w:rPr>
        <w:t>Aedes albopictus in Northern Italy: The role of weather conditions and land use on population dynamics</w:t>
      </w:r>
      <w:r w:rsidRPr="00B3096C">
        <w:t xml:space="preserve">. </w:t>
      </w:r>
      <w:r w:rsidRPr="00B3096C">
        <w:rPr>
          <w:i/>
          <w:iCs/>
        </w:rPr>
        <w:t>Journal of Medical Entomology, 53</w:t>
      </w:r>
      <w:r w:rsidRPr="00B3096C">
        <w:t>(4), 881–889.</w:t>
      </w:r>
      <w:hyperlink r:id="rId237" w:history="1">
        <w:r w:rsidRPr="00B3096C">
          <w:rPr>
            <w:rStyle w:val="-"/>
          </w:rPr>
          <w:t> </w:t>
        </w:r>
      </w:hyperlink>
    </w:p>
    <w:p w14:paraId="67F90F4D" w14:textId="77777777" w:rsidR="00B3096C" w:rsidRPr="00B3096C" w:rsidRDefault="00B3096C" w:rsidP="00B3096C">
      <w:pPr>
        <w:jc w:val="both"/>
      </w:pPr>
      <w:r w:rsidRPr="00B3096C">
        <w:t xml:space="preserve">Medlock, J. M., et al. (2013). </w:t>
      </w:r>
      <w:r w:rsidRPr="00B3096C">
        <w:rPr>
          <w:i/>
          <w:iCs/>
        </w:rPr>
        <w:t>Driving forces for changes in geographical distribution of Ixodes ricinus ticks in Europe</w:t>
      </w:r>
      <w:r w:rsidRPr="00B3096C">
        <w:t xml:space="preserve">. </w:t>
      </w:r>
      <w:r w:rsidRPr="00B3096C">
        <w:rPr>
          <w:i/>
          <w:iCs/>
        </w:rPr>
        <w:t>Parasites &amp; Vectors, 6</w:t>
      </w:r>
      <w:r w:rsidRPr="00B3096C">
        <w:t>, 1.</w:t>
      </w:r>
      <w:hyperlink r:id="rId238" w:history="1">
        <w:r w:rsidRPr="00B3096C">
          <w:rPr>
            <w:rStyle w:val="-"/>
          </w:rPr>
          <w:t> </w:t>
        </w:r>
      </w:hyperlink>
    </w:p>
    <w:p w14:paraId="58CCD90F" w14:textId="77777777" w:rsidR="00B3096C" w:rsidRPr="00B3096C" w:rsidRDefault="00B3096C" w:rsidP="00B3096C">
      <w:pPr>
        <w:jc w:val="both"/>
      </w:pPr>
      <w:r w:rsidRPr="00B3096C">
        <w:t xml:space="preserve">Montarsi, F., et al. (2025). </w:t>
      </w:r>
      <w:r w:rsidRPr="00B3096C">
        <w:rPr>
          <w:i/>
          <w:iCs/>
        </w:rPr>
        <w:t>The first detection of Aedes flavopictus in Italy: A new potential threat for public health?</w:t>
      </w:r>
      <w:r w:rsidRPr="00B3096C">
        <w:t xml:space="preserve"> </w:t>
      </w:r>
      <w:r w:rsidRPr="00B3096C">
        <w:rPr>
          <w:i/>
          <w:iCs/>
        </w:rPr>
        <w:t>Veterinaria Italiana, 61</w:t>
      </w:r>
      <w:r w:rsidRPr="00B3096C">
        <w:t>(1).</w:t>
      </w:r>
    </w:p>
    <w:p w14:paraId="45AFF75B" w14:textId="77777777" w:rsidR="00B3096C" w:rsidRPr="00B3096C" w:rsidRDefault="00B3096C" w:rsidP="00B3096C">
      <w:pPr>
        <w:jc w:val="both"/>
      </w:pPr>
      <w:r w:rsidRPr="00B3096C">
        <w:t xml:space="preserve">Morales-Yuste, M., et al. (2022). </w:t>
      </w:r>
      <w:r w:rsidRPr="00B3096C">
        <w:rPr>
          <w:i/>
          <w:iCs/>
        </w:rPr>
        <w:t>Canine leishmaniasis: Update on epidemiology, diagnosis, treatment, and prevention</w:t>
      </w:r>
      <w:r w:rsidRPr="00B3096C">
        <w:t xml:space="preserve">. </w:t>
      </w:r>
      <w:r w:rsidRPr="00B3096C">
        <w:rPr>
          <w:i/>
          <w:iCs/>
        </w:rPr>
        <w:t>Veterinary Sciences, 9</w:t>
      </w:r>
      <w:r w:rsidRPr="00B3096C">
        <w:t>(8), 387.</w:t>
      </w:r>
      <w:hyperlink r:id="rId239" w:history="1">
        <w:r w:rsidRPr="00B3096C">
          <w:rPr>
            <w:rStyle w:val="-"/>
          </w:rPr>
          <w:t> </w:t>
        </w:r>
      </w:hyperlink>
    </w:p>
    <w:p w14:paraId="0AB12EE9" w14:textId="77777777" w:rsidR="00B3096C" w:rsidRPr="00B3096C" w:rsidRDefault="00B3096C" w:rsidP="00B3096C">
      <w:pPr>
        <w:jc w:val="both"/>
      </w:pPr>
      <w:r w:rsidRPr="00B3096C">
        <w:t xml:space="preserve">Pervanidou, D., et al. (2020). </w:t>
      </w:r>
      <w:r w:rsidRPr="00B3096C">
        <w:rPr>
          <w:i/>
          <w:iCs/>
        </w:rPr>
        <w:t>West Nile virus in humans, Greece, 2018: The largest seasonal number of cases</w:t>
      </w:r>
      <w:r w:rsidRPr="00B3096C">
        <w:t xml:space="preserve">. </w:t>
      </w:r>
      <w:r w:rsidRPr="00B3096C">
        <w:rPr>
          <w:i/>
          <w:iCs/>
        </w:rPr>
        <w:t>Eurosurveillance, 25</w:t>
      </w:r>
      <w:r w:rsidRPr="00B3096C">
        <w:t>(32), 1900543.</w:t>
      </w:r>
      <w:hyperlink r:id="rId240" w:history="1">
        <w:r w:rsidRPr="00B3096C">
          <w:rPr>
            <w:rStyle w:val="-"/>
          </w:rPr>
          <w:t> </w:t>
        </w:r>
      </w:hyperlink>
    </w:p>
    <w:p w14:paraId="4A6153BF" w14:textId="77777777" w:rsidR="00B3096C" w:rsidRPr="00B3096C" w:rsidRDefault="00B3096C" w:rsidP="00B3096C">
      <w:pPr>
        <w:jc w:val="both"/>
      </w:pPr>
      <w:r w:rsidRPr="00B3096C">
        <w:t xml:space="preserve">Petersen, E., et al. (2025). </w:t>
      </w:r>
      <w:r w:rsidRPr="00B3096C">
        <w:rPr>
          <w:i/>
          <w:iCs/>
        </w:rPr>
        <w:t>Rising tide of vector-borne diseases in Europe</w:t>
      </w:r>
      <w:r w:rsidRPr="00B3096C">
        <w:t xml:space="preserve">. </w:t>
      </w:r>
      <w:r w:rsidRPr="00B3096C">
        <w:rPr>
          <w:i/>
          <w:iCs/>
        </w:rPr>
        <w:t>International Journal of Infectious Diseases, 159</w:t>
      </w:r>
      <w:r w:rsidRPr="00B3096C">
        <w:t>, 108038.</w:t>
      </w:r>
      <w:hyperlink r:id="rId241" w:history="1">
        <w:r w:rsidRPr="00B3096C">
          <w:rPr>
            <w:rStyle w:val="-"/>
          </w:rPr>
          <w:t> </w:t>
        </w:r>
      </w:hyperlink>
    </w:p>
    <w:p w14:paraId="12D69B95" w14:textId="77777777" w:rsidR="00B3096C" w:rsidRPr="00B3096C" w:rsidRDefault="00B3096C" w:rsidP="00B3096C">
      <w:pPr>
        <w:jc w:val="both"/>
      </w:pPr>
      <w:r w:rsidRPr="00B3096C">
        <w:lastRenderedPageBreak/>
        <w:t xml:space="preserve">Randolph, S. E. (2010). </w:t>
      </w:r>
      <w:r w:rsidRPr="00B3096C">
        <w:rPr>
          <w:i/>
          <w:iCs/>
        </w:rPr>
        <w:t>To what extent has climate change contributed to tick-borne diseases?</w:t>
      </w:r>
      <w:r w:rsidRPr="00B3096C">
        <w:t xml:space="preserve"> </w:t>
      </w:r>
      <w:r w:rsidRPr="00B3096C">
        <w:rPr>
          <w:i/>
          <w:iCs/>
        </w:rPr>
        <w:t>Veterinary Parasitology, 167</w:t>
      </w:r>
      <w:r w:rsidRPr="00B3096C">
        <w:t>(2–4), 92–94.</w:t>
      </w:r>
    </w:p>
    <w:p w14:paraId="4E1B6AC3" w14:textId="77777777" w:rsidR="00B3096C" w:rsidRPr="00B3096C" w:rsidRDefault="00B3096C" w:rsidP="00B3096C">
      <w:pPr>
        <w:jc w:val="both"/>
      </w:pPr>
      <w:r w:rsidRPr="00B3096C">
        <w:t xml:space="preserve">Rizzoli, A., et al. (2014). </w:t>
      </w:r>
      <w:r w:rsidRPr="00B3096C">
        <w:rPr>
          <w:i/>
          <w:iCs/>
        </w:rPr>
        <w:t>Ixodes ricinus and its transmitted pathogens in urban and peri-urban areas in Europe</w:t>
      </w:r>
      <w:r w:rsidRPr="00B3096C">
        <w:t xml:space="preserve">. </w:t>
      </w:r>
      <w:r w:rsidRPr="00B3096C">
        <w:rPr>
          <w:i/>
          <w:iCs/>
        </w:rPr>
        <w:t>Frontiers in Public Health, 2</w:t>
      </w:r>
      <w:r w:rsidRPr="00B3096C">
        <w:t>, 251.</w:t>
      </w:r>
      <w:hyperlink r:id="rId242" w:history="1">
        <w:r w:rsidRPr="00B3096C">
          <w:rPr>
            <w:rStyle w:val="-"/>
          </w:rPr>
          <w:t> </w:t>
        </w:r>
      </w:hyperlink>
    </w:p>
    <w:p w14:paraId="0CDB8732" w14:textId="77777777" w:rsidR="00B3096C" w:rsidRPr="00B3096C" w:rsidRDefault="00B3096C" w:rsidP="00B3096C">
      <w:pPr>
        <w:jc w:val="both"/>
      </w:pPr>
      <w:r w:rsidRPr="00B3096C">
        <w:t xml:space="preserve">Roiz, D., et al. (2016). </w:t>
      </w:r>
      <w:r w:rsidRPr="00B3096C">
        <w:rPr>
          <w:i/>
          <w:iCs/>
        </w:rPr>
        <w:t>Aedes albopictus in Italy: The role of weather conditions and land use</w:t>
      </w:r>
      <w:r w:rsidRPr="00B3096C">
        <w:t xml:space="preserve">. </w:t>
      </w:r>
      <w:r w:rsidRPr="00B3096C">
        <w:rPr>
          <w:i/>
          <w:iCs/>
        </w:rPr>
        <w:t>Parasites &amp; Vectors, 9</w:t>
      </w:r>
      <w:r w:rsidRPr="00B3096C">
        <w:t>, 469.</w:t>
      </w:r>
      <w:hyperlink r:id="rId243" w:history="1">
        <w:r w:rsidRPr="00B3096C">
          <w:rPr>
            <w:rStyle w:val="-"/>
          </w:rPr>
          <w:t> </w:t>
        </w:r>
      </w:hyperlink>
    </w:p>
    <w:p w14:paraId="5CDE4029" w14:textId="77777777" w:rsidR="00B3096C" w:rsidRPr="00B3096C" w:rsidRDefault="00B3096C" w:rsidP="00B3096C">
      <w:pPr>
        <w:jc w:val="both"/>
      </w:pPr>
      <w:r w:rsidRPr="00B3096C">
        <w:t xml:space="preserve">Semanza, J. C., &amp; Suk, J. E. (2018). </w:t>
      </w:r>
      <w:r w:rsidRPr="00B3096C">
        <w:rPr>
          <w:i/>
          <w:iCs/>
        </w:rPr>
        <w:t>Vector-borne diseases and climate change: A European perspective</w:t>
      </w:r>
      <w:r w:rsidRPr="00B3096C">
        <w:t xml:space="preserve">. </w:t>
      </w:r>
      <w:r w:rsidRPr="00B3096C">
        <w:rPr>
          <w:i/>
          <w:iCs/>
        </w:rPr>
        <w:t>FEMS Microbiology Letters, 365</w:t>
      </w:r>
      <w:r w:rsidRPr="00B3096C">
        <w:t>(2), fnx244.</w:t>
      </w:r>
      <w:hyperlink r:id="rId244" w:history="1">
        <w:r w:rsidRPr="00B3096C">
          <w:rPr>
            <w:rStyle w:val="-"/>
          </w:rPr>
          <w:t> </w:t>
        </w:r>
      </w:hyperlink>
    </w:p>
    <w:p w14:paraId="55504B2C" w14:textId="77777777" w:rsidR="00B3096C" w:rsidRPr="00B3096C" w:rsidRDefault="00B3096C" w:rsidP="00B3096C">
      <w:pPr>
        <w:jc w:val="both"/>
      </w:pPr>
      <w:r w:rsidRPr="00B3096C">
        <w:t xml:space="preserve">Shang, C. S., et al. (2025). </w:t>
      </w:r>
      <w:r w:rsidRPr="00B3096C">
        <w:rPr>
          <w:i/>
          <w:iCs/>
        </w:rPr>
        <w:t>Integrating cross-sectoral epidemic surveillance in Taiwan</w:t>
      </w:r>
      <w:r w:rsidRPr="00B3096C">
        <w:t xml:space="preserve">. </w:t>
      </w:r>
      <w:r w:rsidRPr="00B3096C">
        <w:rPr>
          <w:i/>
          <w:iCs/>
        </w:rPr>
        <w:t>Journal of the Formosan Medical Association, 124</w:t>
      </w:r>
      <w:r w:rsidRPr="00B3096C">
        <w:t>(12), 1450–1458.</w:t>
      </w:r>
      <w:hyperlink r:id="rId245" w:history="1">
        <w:r w:rsidRPr="00B3096C">
          <w:rPr>
            <w:rStyle w:val="-"/>
          </w:rPr>
          <w:t> </w:t>
        </w:r>
      </w:hyperlink>
    </w:p>
    <w:p w14:paraId="0460AE81" w14:textId="77777777" w:rsidR="00B3096C" w:rsidRPr="00B3096C" w:rsidRDefault="00B3096C" w:rsidP="00B3096C">
      <w:pPr>
        <w:jc w:val="both"/>
      </w:pPr>
      <w:r w:rsidRPr="00B3096C">
        <w:t xml:space="preserve">Snegiriovaitė, J., et al. (2020). </w:t>
      </w:r>
      <w:r w:rsidRPr="00B3096C">
        <w:rPr>
          <w:i/>
          <w:iCs/>
        </w:rPr>
        <w:t>The prevalence of tick-borne pathogens in urban and suburban areas</w:t>
      </w:r>
      <w:r w:rsidRPr="00B3096C">
        <w:t xml:space="preserve">. </w:t>
      </w:r>
      <w:r w:rsidRPr="00B3096C">
        <w:rPr>
          <w:i/>
          <w:iCs/>
        </w:rPr>
        <w:t>Biologija, 66</w:t>
      </w:r>
      <w:r w:rsidRPr="00B3096C">
        <w:t>(4), 187–197.</w:t>
      </w:r>
      <w:hyperlink r:id="rId246" w:history="1">
        <w:r w:rsidRPr="00B3096C">
          <w:rPr>
            <w:rStyle w:val="-"/>
          </w:rPr>
          <w:t> </w:t>
        </w:r>
      </w:hyperlink>
    </w:p>
    <w:p w14:paraId="0C134456" w14:textId="77777777" w:rsidR="00B3096C" w:rsidRPr="00B3096C" w:rsidRDefault="00B3096C" w:rsidP="00B3096C">
      <w:pPr>
        <w:jc w:val="both"/>
      </w:pPr>
      <w:r w:rsidRPr="00B3096C">
        <w:t xml:space="preserve">Spano, D., et al. (2020). </w:t>
      </w:r>
      <w:r w:rsidRPr="00B3096C">
        <w:rPr>
          <w:i/>
          <w:iCs/>
        </w:rPr>
        <w:t>Climate risk analysis for Italy</w:t>
      </w:r>
      <w:r w:rsidRPr="00B3096C">
        <w:t>. CMCC Foundation.</w:t>
      </w:r>
    </w:p>
    <w:p w14:paraId="5A3156EE" w14:textId="77777777" w:rsidR="00B3096C" w:rsidRPr="00B3096C" w:rsidRDefault="00B3096C" w:rsidP="00B3096C">
      <w:pPr>
        <w:jc w:val="both"/>
      </w:pPr>
      <w:r w:rsidRPr="00B3096C">
        <w:t xml:space="preserve">Steere, A. C., et al. (2016). </w:t>
      </w:r>
      <w:r w:rsidRPr="00B3096C">
        <w:rPr>
          <w:i/>
          <w:iCs/>
        </w:rPr>
        <w:t>Lyme borreliosis</w:t>
      </w:r>
      <w:r w:rsidRPr="00B3096C">
        <w:t xml:space="preserve">. </w:t>
      </w:r>
      <w:r w:rsidRPr="00B3096C">
        <w:rPr>
          <w:i/>
          <w:iCs/>
        </w:rPr>
        <w:t>Nature Reviews Disease Primers, 2</w:t>
      </w:r>
      <w:r w:rsidRPr="00B3096C">
        <w:t>, 1–19.</w:t>
      </w:r>
      <w:hyperlink r:id="rId247" w:history="1">
        <w:r w:rsidRPr="00B3096C">
          <w:rPr>
            <w:rStyle w:val="-"/>
          </w:rPr>
          <w:t> </w:t>
        </w:r>
      </w:hyperlink>
    </w:p>
    <w:p w14:paraId="31E0D170" w14:textId="77777777" w:rsidR="00B3096C" w:rsidRPr="00B3096C" w:rsidRDefault="00B3096C" w:rsidP="00B3096C">
      <w:pPr>
        <w:jc w:val="both"/>
      </w:pPr>
      <w:r w:rsidRPr="00B3096C">
        <w:t xml:space="preserve">Sumilo, D., et al. (2007). </w:t>
      </w:r>
      <w:r w:rsidRPr="00B3096C">
        <w:rPr>
          <w:i/>
          <w:iCs/>
        </w:rPr>
        <w:t>Climate change cannot explain the upsurge of tick-borne encephalitis in the Baltics</w:t>
      </w:r>
      <w:r w:rsidRPr="00B3096C">
        <w:t xml:space="preserve">. </w:t>
      </w:r>
      <w:r w:rsidRPr="00B3096C">
        <w:rPr>
          <w:i/>
          <w:iCs/>
        </w:rPr>
        <w:t>PLOS ONE, 2</w:t>
      </w:r>
      <w:r w:rsidRPr="00B3096C">
        <w:t>(6), e500.</w:t>
      </w:r>
      <w:hyperlink r:id="rId248" w:history="1">
        <w:r w:rsidRPr="00B3096C">
          <w:rPr>
            <w:rStyle w:val="-"/>
          </w:rPr>
          <w:t> </w:t>
        </w:r>
      </w:hyperlink>
    </w:p>
    <w:p w14:paraId="18CF7B86" w14:textId="77777777" w:rsidR="00B3096C" w:rsidRPr="00B3096C" w:rsidRDefault="00B3096C" w:rsidP="00B3096C">
      <w:pPr>
        <w:jc w:val="both"/>
      </w:pPr>
      <w:r w:rsidRPr="00B3096C">
        <w:t xml:space="preserve">Tamba, M., et al. (2024). </w:t>
      </w:r>
      <w:r w:rsidRPr="00B3096C">
        <w:rPr>
          <w:i/>
          <w:iCs/>
        </w:rPr>
        <w:t>West Nile virus surveillance using sentinel birds</w:t>
      </w:r>
      <w:r w:rsidRPr="00B3096C">
        <w:t xml:space="preserve">. </w:t>
      </w:r>
      <w:r w:rsidRPr="00B3096C">
        <w:rPr>
          <w:i/>
          <w:iCs/>
        </w:rPr>
        <w:t>Frontiers in Veterinary Science, 11</w:t>
      </w:r>
      <w:r w:rsidRPr="00B3096C">
        <w:t>, 1407271.</w:t>
      </w:r>
      <w:hyperlink r:id="rId249" w:history="1">
        <w:r w:rsidRPr="00B3096C">
          <w:rPr>
            <w:rStyle w:val="-"/>
          </w:rPr>
          <w:t> </w:t>
        </w:r>
      </w:hyperlink>
    </w:p>
    <w:p w14:paraId="6AC2823E" w14:textId="77777777" w:rsidR="00B3096C" w:rsidRPr="00B3096C" w:rsidRDefault="00B3096C" w:rsidP="00B3096C">
      <w:pPr>
        <w:jc w:val="both"/>
      </w:pPr>
      <w:r w:rsidRPr="00B3096C">
        <w:t xml:space="preserve">Toma, L., et al. (2011). </w:t>
      </w:r>
      <w:r w:rsidRPr="00B3096C">
        <w:rPr>
          <w:i/>
          <w:iCs/>
        </w:rPr>
        <w:t>National surveillance of Aedes albopictus in Italy</w:t>
      </w:r>
      <w:r w:rsidRPr="00B3096C">
        <w:t xml:space="preserve">. </w:t>
      </w:r>
      <w:r w:rsidRPr="00B3096C">
        <w:rPr>
          <w:i/>
          <w:iCs/>
        </w:rPr>
        <w:t>Veterinaria Italiana</w:t>
      </w:r>
      <w:r w:rsidRPr="00B3096C">
        <w:t>.</w:t>
      </w:r>
    </w:p>
    <w:p w14:paraId="430B7810" w14:textId="77777777" w:rsidR="00B3096C" w:rsidRPr="00B3096C" w:rsidRDefault="00B3096C" w:rsidP="00B3096C">
      <w:pPr>
        <w:jc w:val="both"/>
      </w:pPr>
      <w:r w:rsidRPr="00B3096C">
        <w:t xml:space="preserve">Vanwambeke, S. O., et al. (2010). </w:t>
      </w:r>
      <w:r w:rsidRPr="00B3096C">
        <w:rPr>
          <w:i/>
          <w:iCs/>
        </w:rPr>
        <w:t>Landscape predictors of tick-borne encephalitis in Latvia</w:t>
      </w:r>
      <w:r w:rsidRPr="00B3096C">
        <w:t xml:space="preserve">. </w:t>
      </w:r>
      <w:r w:rsidRPr="00B3096C">
        <w:rPr>
          <w:i/>
          <w:iCs/>
        </w:rPr>
        <w:t>Vector-Borne and Zoonotic Diseases, 10</w:t>
      </w:r>
      <w:r w:rsidRPr="00B3096C">
        <w:t>(5), 497–506.</w:t>
      </w:r>
      <w:hyperlink r:id="rId250" w:history="1">
        <w:r w:rsidRPr="00B3096C">
          <w:rPr>
            <w:rStyle w:val="-"/>
          </w:rPr>
          <w:t> </w:t>
        </w:r>
      </w:hyperlink>
    </w:p>
    <w:p w14:paraId="2A09DB1A" w14:textId="77777777" w:rsidR="00B3096C" w:rsidRPr="00B3096C" w:rsidRDefault="00B3096C" w:rsidP="00B3096C">
      <w:pPr>
        <w:jc w:val="both"/>
      </w:pPr>
      <w:r w:rsidRPr="00B3096C">
        <w:t xml:space="preserve">WHO, UNEP, &amp; WOAH. (2022). </w:t>
      </w:r>
      <w:r w:rsidRPr="00B3096C">
        <w:rPr>
          <w:i/>
          <w:iCs/>
        </w:rPr>
        <w:t>One health joint plan of action (2022–2026)</w:t>
      </w:r>
      <w:r w:rsidRPr="00B3096C">
        <w:t>. WHO.</w:t>
      </w:r>
    </w:p>
    <w:p w14:paraId="57272D64" w14:textId="77777777" w:rsidR="00B3096C" w:rsidRPr="00B3096C" w:rsidRDefault="00B3096C" w:rsidP="00B3096C">
      <w:pPr>
        <w:jc w:val="both"/>
      </w:pPr>
      <w:r w:rsidRPr="00B3096C">
        <w:t xml:space="preserve">Zavadska, D., et al. (2018). </w:t>
      </w:r>
      <w:r w:rsidRPr="00B3096C">
        <w:rPr>
          <w:i/>
          <w:iCs/>
        </w:rPr>
        <w:t>Tick-borne encephalitis: A 43-year summary of epidemiological and clinical data from Latvia</w:t>
      </w:r>
      <w:r w:rsidRPr="00B3096C">
        <w:t xml:space="preserve">. </w:t>
      </w:r>
      <w:r w:rsidRPr="00B3096C">
        <w:rPr>
          <w:i/>
          <w:iCs/>
        </w:rPr>
        <w:t>PLOS ONE, 13</w:t>
      </w:r>
      <w:r w:rsidRPr="00B3096C">
        <w:t>(11), e0204844.</w:t>
      </w:r>
      <w:hyperlink r:id="rId251" w:history="1">
        <w:r w:rsidRPr="00B3096C">
          <w:rPr>
            <w:rStyle w:val="-"/>
          </w:rPr>
          <w:t> </w:t>
        </w:r>
      </w:hyperlink>
    </w:p>
    <w:p w14:paraId="150530F8" w14:textId="77777777" w:rsidR="00B3096C" w:rsidRDefault="00B3096C" w:rsidP="00B3096C">
      <w:pPr>
        <w:jc w:val="both"/>
      </w:pPr>
      <w:r w:rsidRPr="00B3096C">
        <w:br/>
      </w:r>
      <w:r w:rsidRPr="00B3096C">
        <w:br/>
      </w:r>
    </w:p>
    <w:p w14:paraId="1DCA762E" w14:textId="77777777" w:rsidR="00AE1A0D" w:rsidRDefault="00AE1A0D" w:rsidP="00B3096C">
      <w:pPr>
        <w:jc w:val="both"/>
      </w:pPr>
    </w:p>
    <w:p w14:paraId="41555B6B" w14:textId="77777777" w:rsidR="00AE1A0D" w:rsidRDefault="00AE1A0D" w:rsidP="00B3096C">
      <w:pPr>
        <w:jc w:val="both"/>
      </w:pPr>
    </w:p>
    <w:p w14:paraId="74EC9333" w14:textId="77777777" w:rsidR="00AE1A0D" w:rsidRDefault="00AE1A0D" w:rsidP="00B3096C">
      <w:pPr>
        <w:jc w:val="both"/>
      </w:pPr>
    </w:p>
    <w:p w14:paraId="21B4D6BC" w14:textId="77777777" w:rsidR="00AE1A0D" w:rsidRDefault="00AE1A0D" w:rsidP="00B3096C">
      <w:pPr>
        <w:jc w:val="both"/>
      </w:pPr>
    </w:p>
    <w:p w14:paraId="3255EA35" w14:textId="77777777" w:rsidR="00AE1A0D" w:rsidRDefault="00AE1A0D" w:rsidP="00B3096C">
      <w:pPr>
        <w:jc w:val="both"/>
      </w:pPr>
    </w:p>
    <w:p w14:paraId="0FF14F2A" w14:textId="77777777" w:rsidR="00AE1A0D" w:rsidRDefault="00AE1A0D" w:rsidP="00B3096C">
      <w:pPr>
        <w:jc w:val="both"/>
      </w:pPr>
    </w:p>
    <w:p w14:paraId="5E317A9E" w14:textId="77777777" w:rsidR="00AE1A0D" w:rsidRDefault="00AE1A0D" w:rsidP="00B3096C">
      <w:pPr>
        <w:jc w:val="both"/>
      </w:pPr>
    </w:p>
    <w:p w14:paraId="653BABBC" w14:textId="77777777" w:rsidR="00AE1A0D" w:rsidRPr="00B3096C" w:rsidRDefault="00AE1A0D" w:rsidP="00B3096C">
      <w:pPr>
        <w:jc w:val="both"/>
      </w:pPr>
    </w:p>
    <w:p w14:paraId="09684204" w14:textId="3236F060" w:rsidR="00B3096C" w:rsidRPr="00B3096C" w:rsidRDefault="00B3096C" w:rsidP="00B3096C">
      <w:pPr>
        <w:jc w:val="both"/>
      </w:pPr>
      <w:r w:rsidRPr="00B3096C">
        <w:rPr>
          <w:b/>
          <w:bCs/>
        </w:rPr>
        <w:lastRenderedPageBreak/>
        <w:t>Comparative Evaluation of Artificial Intelligence Algorithms and Clinical Diagnostic Approach in Thoracic Radiographs of Companion Animals</w:t>
      </w:r>
    </w:p>
    <w:p w14:paraId="7FB9444E" w14:textId="77777777" w:rsidR="00B3096C" w:rsidRPr="00B3096C" w:rsidRDefault="00B3096C" w:rsidP="00B3096C">
      <w:pPr>
        <w:jc w:val="both"/>
      </w:pPr>
      <w:r w:rsidRPr="00B3096C">
        <w:t>Kamyar Eskandari</w:t>
      </w:r>
      <w:r w:rsidRPr="00B3096C">
        <w:rPr>
          <w:vertAlign w:val="superscript"/>
        </w:rPr>
        <w:t>1</w:t>
      </w:r>
      <w:r w:rsidRPr="00B3096C">
        <w:t>, Mariana Barbagianni</w:t>
      </w:r>
      <w:r w:rsidRPr="00B3096C">
        <w:rPr>
          <w:vertAlign w:val="superscript"/>
        </w:rPr>
        <w:t>2</w:t>
      </w:r>
      <w:r w:rsidRPr="00B3096C">
        <w:t>, Anargyros Karatrantos</w:t>
      </w:r>
      <w:r w:rsidRPr="00B3096C">
        <w:rPr>
          <w:vertAlign w:val="superscript"/>
        </w:rPr>
        <w:t>3</w:t>
      </w:r>
    </w:p>
    <w:p w14:paraId="017E65A8" w14:textId="77777777" w:rsidR="00B3096C" w:rsidRPr="00B3096C" w:rsidRDefault="00B3096C">
      <w:pPr>
        <w:numPr>
          <w:ilvl w:val="0"/>
          <w:numId w:val="153"/>
        </w:numPr>
        <w:jc w:val="both"/>
      </w:pPr>
      <w:r w:rsidRPr="00B3096C">
        <w:t>Undergraduate student, Department of Veterinary Medicine, School of Health Sciences, University of Thessaly.</w:t>
      </w:r>
    </w:p>
    <w:p w14:paraId="690E9600" w14:textId="77777777" w:rsidR="00B3096C" w:rsidRPr="00B3096C" w:rsidRDefault="00B3096C">
      <w:pPr>
        <w:numPr>
          <w:ilvl w:val="0"/>
          <w:numId w:val="153"/>
        </w:numPr>
        <w:jc w:val="both"/>
      </w:pPr>
      <w:r w:rsidRPr="00B3096C">
        <w:t>Associate Professor, Clinic of Surgery’s Diagnostic Imaging, Department of Veterinary Medicine, University of Thessaly.</w:t>
      </w:r>
    </w:p>
    <w:p w14:paraId="6F9D7223" w14:textId="77777777" w:rsidR="00B3096C" w:rsidRPr="00B3096C" w:rsidRDefault="00B3096C">
      <w:pPr>
        <w:numPr>
          <w:ilvl w:val="0"/>
          <w:numId w:val="153"/>
        </w:numPr>
        <w:jc w:val="both"/>
      </w:pPr>
      <w:r w:rsidRPr="00B3096C">
        <w:t>PhD Student, Clinic of Surgery’s Diagnostic Imaging, Department of Veterinary Medicine, University of Thessaly.</w:t>
      </w:r>
    </w:p>
    <w:p w14:paraId="0630A2DA" w14:textId="77777777" w:rsidR="00B3096C" w:rsidRPr="00B3096C" w:rsidRDefault="00B3096C" w:rsidP="00B3096C">
      <w:pPr>
        <w:jc w:val="both"/>
      </w:pPr>
    </w:p>
    <w:p w14:paraId="12E43BAC" w14:textId="77777777" w:rsidR="00B3096C" w:rsidRPr="00B3096C" w:rsidRDefault="00B3096C" w:rsidP="00B3096C">
      <w:pPr>
        <w:jc w:val="both"/>
      </w:pPr>
      <w:r w:rsidRPr="00B3096C">
        <w:rPr>
          <w:b/>
          <w:bCs/>
        </w:rPr>
        <w:t>Abstract:</w:t>
      </w:r>
    </w:p>
    <w:p w14:paraId="74156DE0" w14:textId="1EEE94B8" w:rsidR="00B3096C" w:rsidRDefault="00B3096C" w:rsidP="00B3096C">
      <w:pPr>
        <w:jc w:val="both"/>
      </w:pPr>
      <w:r w:rsidRPr="00B3096C">
        <w:rPr>
          <w:b/>
          <w:bCs/>
        </w:rPr>
        <w:t> </w:t>
      </w:r>
      <w:r w:rsidRPr="00B3096C">
        <w:t>While artificial intelligence (AI) is becoming a standard clinical tool in veterinary medicine,   its diagnostic reliability in assessing complex pulmonary pathology remains contested. Patient physiology, specifically thoracic fat, frequently creates radiographic artifacts that mimic lung disease, potentially challenging algorithmic accuracy and leading to false-positive diagnoses. This study aims to evaluate the sensitivity and specificity of two medical-grade veterinary AI platforms, SignalPET and PicoxIA, in detecting pathological lung patterns compared to confirmed clinical diagnoses, while explicitly assessing the interference of patient body weight. To achieve this goal, a retrospective clinical analysis will be conducted using 5 companion animal patients. Thoracic radiographs with confirmed presence or absence of pulmonary pathology verified by clinical gold standards (e.g., computed tomography or specialist evaluation) will be processed using both the SignalPET and PicoxIA algorithms. By comparing the automated diagnostic reports directly to established clinical reports, this research seeks to identify the current clinical limitations of AI lung assessment.</w:t>
      </w:r>
    </w:p>
    <w:p w14:paraId="4F6C32A7" w14:textId="77777777" w:rsidR="00AE1A0D" w:rsidRPr="00B3096C" w:rsidRDefault="00AE1A0D" w:rsidP="00B3096C">
      <w:pPr>
        <w:jc w:val="both"/>
      </w:pPr>
    </w:p>
    <w:p w14:paraId="7525307E" w14:textId="77777777" w:rsidR="00B3096C" w:rsidRPr="00B3096C" w:rsidRDefault="00B3096C" w:rsidP="00B3096C">
      <w:pPr>
        <w:jc w:val="both"/>
      </w:pPr>
      <w:r w:rsidRPr="00B3096C">
        <w:rPr>
          <w:b/>
          <w:bCs/>
        </w:rPr>
        <w:t>Bibliography</w:t>
      </w:r>
    </w:p>
    <w:p w14:paraId="2EC2575F" w14:textId="77777777" w:rsidR="00B3096C" w:rsidRPr="00B3096C" w:rsidRDefault="00B3096C" w:rsidP="00B3096C">
      <w:pPr>
        <w:jc w:val="both"/>
      </w:pPr>
      <w:r w:rsidRPr="00B3096C">
        <w:t xml:space="preserve">Berry, C. R., Nelson, N. C., &amp; Winter, M. D. (Eds.). (2015). </w:t>
      </w:r>
      <w:r w:rsidRPr="00B3096C">
        <w:rPr>
          <w:i/>
          <w:iCs/>
        </w:rPr>
        <w:t>Atlas of small animal diagnostic imaging</w:t>
      </w:r>
      <w:r w:rsidRPr="00B3096C">
        <w:t>. Wiley-Blackwell.</w:t>
      </w:r>
    </w:p>
    <w:p w14:paraId="709EAC41" w14:textId="77777777" w:rsidR="00B3096C" w:rsidRPr="00B3096C" w:rsidRDefault="00B3096C" w:rsidP="00B3096C">
      <w:pPr>
        <w:jc w:val="both"/>
      </w:pPr>
      <w:r w:rsidRPr="00B3096C">
        <w:t xml:space="preserve">Kealy, J. K., McAllister, H., &amp; Graham, J. P. (2011). </w:t>
      </w:r>
      <w:r w:rsidRPr="00B3096C">
        <w:rPr>
          <w:i/>
          <w:iCs/>
        </w:rPr>
        <w:t>Diagnostic radiology and ultrasonography of the dog and cat</w:t>
      </w:r>
      <w:r w:rsidRPr="00B3096C">
        <w:t xml:space="preserve"> (5th ed.). Elsevier Saunders.</w:t>
      </w:r>
    </w:p>
    <w:p w14:paraId="1243242A" w14:textId="77777777" w:rsidR="00B3096C" w:rsidRPr="00B3096C" w:rsidRDefault="00B3096C" w:rsidP="00B3096C">
      <w:pPr>
        <w:jc w:val="both"/>
      </w:pPr>
      <w:r w:rsidRPr="00B3096C">
        <w:t xml:space="preserve">Rubini, A., Di Via, R., Pastore, V. P., Del Signore, F., Rosto, M., De Bonis, A., Odone, F., &amp; Vignoli, M. (2025). </w:t>
      </w:r>
      <w:r w:rsidRPr="00B3096C">
        <w:rPr>
          <w:i/>
          <w:iCs/>
        </w:rPr>
        <w:t>Artificial intelligence in chest radiography—A comparative review of human and veterinary medicine</w:t>
      </w:r>
      <w:r w:rsidRPr="00B3096C">
        <w:t xml:space="preserve">. </w:t>
      </w:r>
      <w:r w:rsidRPr="00B3096C">
        <w:rPr>
          <w:i/>
          <w:iCs/>
        </w:rPr>
        <w:t>Veterinary Sciences, 12</w:t>
      </w:r>
      <w:r w:rsidRPr="00B3096C">
        <w:t>(5), 404.</w:t>
      </w:r>
    </w:p>
    <w:p w14:paraId="34CF1E20" w14:textId="77777777" w:rsidR="00B3096C" w:rsidRPr="00B3096C" w:rsidRDefault="00B3096C" w:rsidP="00B3096C">
      <w:pPr>
        <w:jc w:val="both"/>
      </w:pPr>
      <w:r w:rsidRPr="00B3096C">
        <w:t> </w:t>
      </w:r>
    </w:p>
    <w:p w14:paraId="08C37451" w14:textId="77777777" w:rsidR="00B3096C" w:rsidRPr="00B3096C" w:rsidRDefault="00B3096C" w:rsidP="00B3096C">
      <w:pPr>
        <w:jc w:val="both"/>
      </w:pPr>
      <w:r w:rsidRPr="00B3096C">
        <w:t> </w:t>
      </w:r>
    </w:p>
    <w:p w14:paraId="4D51EDDD" w14:textId="77777777" w:rsidR="00B3096C" w:rsidRPr="00B3096C" w:rsidRDefault="00B3096C" w:rsidP="00B3096C">
      <w:pPr>
        <w:jc w:val="both"/>
      </w:pPr>
      <w:r w:rsidRPr="00B3096C">
        <w:rPr>
          <w:b/>
          <w:bCs/>
        </w:rPr>
        <w:t> </w:t>
      </w:r>
    </w:p>
    <w:p w14:paraId="5B1F1817" w14:textId="77777777" w:rsidR="00B3096C" w:rsidRPr="00B3096C" w:rsidRDefault="00B3096C" w:rsidP="00B3096C">
      <w:pPr>
        <w:jc w:val="both"/>
      </w:pPr>
      <w:r w:rsidRPr="00B3096C">
        <w:rPr>
          <w:b/>
          <w:bCs/>
        </w:rPr>
        <w:t> </w:t>
      </w:r>
    </w:p>
    <w:p w14:paraId="40C550AE" w14:textId="77777777" w:rsidR="00367A3A" w:rsidRPr="0079315E" w:rsidRDefault="00367A3A" w:rsidP="0072531A">
      <w:pPr>
        <w:jc w:val="both"/>
      </w:pPr>
    </w:p>
    <w:sectPr w:rsidR="00367A3A" w:rsidRPr="0079315E" w:rsidSect="007F3237">
      <w:footerReference w:type="default" r:id="rId2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2D3F4" w14:textId="77777777" w:rsidR="002F0E91" w:rsidRDefault="002F0E91" w:rsidP="00367A3A">
      <w:pPr>
        <w:spacing w:after="0" w:line="240" w:lineRule="auto"/>
      </w:pPr>
      <w:r>
        <w:separator/>
      </w:r>
    </w:p>
  </w:endnote>
  <w:endnote w:type="continuationSeparator" w:id="0">
    <w:p w14:paraId="041D4C41" w14:textId="77777777" w:rsidR="002F0E91" w:rsidRDefault="002F0E91" w:rsidP="00367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A1"/>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603649"/>
      <w:docPartObj>
        <w:docPartGallery w:val="Page Numbers (Bottom of Page)"/>
        <w:docPartUnique/>
      </w:docPartObj>
    </w:sdtPr>
    <w:sdtContent>
      <w:p w14:paraId="35EF85EF" w14:textId="26558111" w:rsidR="007F3237" w:rsidRDefault="007F3237">
        <w:pPr>
          <w:pStyle w:val="ab"/>
          <w:jc w:val="right"/>
        </w:pPr>
        <w:r>
          <w:fldChar w:fldCharType="begin"/>
        </w:r>
        <w:r>
          <w:instrText>PAGE   \* MERGEFORMAT</w:instrText>
        </w:r>
        <w:r>
          <w:fldChar w:fldCharType="separate"/>
        </w:r>
        <w:r>
          <w:t>2</w:t>
        </w:r>
        <w:r>
          <w:fldChar w:fldCharType="end"/>
        </w:r>
      </w:p>
    </w:sdtContent>
  </w:sdt>
  <w:p w14:paraId="5A936AF2" w14:textId="69C03C7A" w:rsidR="00367A3A" w:rsidRDefault="00367A3A" w:rsidP="00367A3A">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1257D" w14:textId="77777777" w:rsidR="002F0E91" w:rsidRDefault="002F0E91" w:rsidP="00367A3A">
      <w:pPr>
        <w:spacing w:after="0" w:line="240" w:lineRule="auto"/>
      </w:pPr>
      <w:r>
        <w:separator/>
      </w:r>
    </w:p>
  </w:footnote>
  <w:footnote w:type="continuationSeparator" w:id="0">
    <w:p w14:paraId="7C4E97D0" w14:textId="77777777" w:rsidR="002F0E91" w:rsidRDefault="002F0E91" w:rsidP="00367A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89B"/>
    <w:multiLevelType w:val="multilevel"/>
    <w:tmpl w:val="F60CD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85CB5"/>
    <w:multiLevelType w:val="multilevel"/>
    <w:tmpl w:val="C2E42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D202D3"/>
    <w:multiLevelType w:val="multilevel"/>
    <w:tmpl w:val="0EB23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193F70"/>
    <w:multiLevelType w:val="multilevel"/>
    <w:tmpl w:val="E0608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076D78"/>
    <w:multiLevelType w:val="multilevel"/>
    <w:tmpl w:val="B5BA1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CC4E50"/>
    <w:multiLevelType w:val="multilevel"/>
    <w:tmpl w:val="46F0D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38722B"/>
    <w:multiLevelType w:val="multilevel"/>
    <w:tmpl w:val="774AB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4D6B0F"/>
    <w:multiLevelType w:val="multilevel"/>
    <w:tmpl w:val="D34C9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A04380"/>
    <w:multiLevelType w:val="multilevel"/>
    <w:tmpl w:val="746CC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503D82"/>
    <w:multiLevelType w:val="multilevel"/>
    <w:tmpl w:val="ECC85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572D9F"/>
    <w:multiLevelType w:val="multilevel"/>
    <w:tmpl w:val="E0326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6F5043"/>
    <w:multiLevelType w:val="multilevel"/>
    <w:tmpl w:val="AEF68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AB2D62"/>
    <w:multiLevelType w:val="multilevel"/>
    <w:tmpl w:val="ACEA2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150597"/>
    <w:multiLevelType w:val="multilevel"/>
    <w:tmpl w:val="28745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D5939C8"/>
    <w:multiLevelType w:val="multilevel"/>
    <w:tmpl w:val="C3C63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DD260F2"/>
    <w:multiLevelType w:val="multilevel"/>
    <w:tmpl w:val="C70E1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F142D59"/>
    <w:multiLevelType w:val="multilevel"/>
    <w:tmpl w:val="F5903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F974E0F"/>
    <w:multiLevelType w:val="multilevel"/>
    <w:tmpl w:val="C38E9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FB94D32"/>
    <w:multiLevelType w:val="multilevel"/>
    <w:tmpl w:val="6AE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3972AED"/>
    <w:multiLevelType w:val="multilevel"/>
    <w:tmpl w:val="E0781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5201E8A"/>
    <w:multiLevelType w:val="multilevel"/>
    <w:tmpl w:val="A9500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57426E7"/>
    <w:multiLevelType w:val="multilevel"/>
    <w:tmpl w:val="39D03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6236369"/>
    <w:multiLevelType w:val="multilevel"/>
    <w:tmpl w:val="EFF67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63D4715"/>
    <w:multiLevelType w:val="multilevel"/>
    <w:tmpl w:val="5628A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653211F"/>
    <w:multiLevelType w:val="multilevel"/>
    <w:tmpl w:val="9BA0B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76838D5"/>
    <w:multiLevelType w:val="multilevel"/>
    <w:tmpl w:val="F9468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8483C92"/>
    <w:multiLevelType w:val="multilevel"/>
    <w:tmpl w:val="EA80D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85A58A2"/>
    <w:multiLevelType w:val="multilevel"/>
    <w:tmpl w:val="FD122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8C86D17"/>
    <w:multiLevelType w:val="multilevel"/>
    <w:tmpl w:val="91CCA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958712C"/>
    <w:multiLevelType w:val="multilevel"/>
    <w:tmpl w:val="06149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A3C349B"/>
    <w:multiLevelType w:val="multilevel"/>
    <w:tmpl w:val="96826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B164273"/>
    <w:multiLevelType w:val="multilevel"/>
    <w:tmpl w:val="14D0B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B583BEA"/>
    <w:multiLevelType w:val="multilevel"/>
    <w:tmpl w:val="79C29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C44035F"/>
    <w:multiLevelType w:val="multilevel"/>
    <w:tmpl w:val="04DA8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D1C746A"/>
    <w:multiLevelType w:val="multilevel"/>
    <w:tmpl w:val="C986C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DEA47A8"/>
    <w:multiLevelType w:val="multilevel"/>
    <w:tmpl w:val="56C08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E0C7544"/>
    <w:multiLevelType w:val="multilevel"/>
    <w:tmpl w:val="251AC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E3D3B87"/>
    <w:multiLevelType w:val="multilevel"/>
    <w:tmpl w:val="B7F81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EB12190"/>
    <w:multiLevelType w:val="multilevel"/>
    <w:tmpl w:val="A9DC0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EB4252E"/>
    <w:multiLevelType w:val="multilevel"/>
    <w:tmpl w:val="22F6B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0410C1F"/>
    <w:multiLevelType w:val="multilevel"/>
    <w:tmpl w:val="69B81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0AF0C21"/>
    <w:multiLevelType w:val="multilevel"/>
    <w:tmpl w:val="E07EE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0C5630C"/>
    <w:multiLevelType w:val="multilevel"/>
    <w:tmpl w:val="1D7A2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0E1205F"/>
    <w:multiLevelType w:val="multilevel"/>
    <w:tmpl w:val="0C7A0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1F14FA3"/>
    <w:multiLevelType w:val="multilevel"/>
    <w:tmpl w:val="B142A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2A71EB9"/>
    <w:multiLevelType w:val="multilevel"/>
    <w:tmpl w:val="C2003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3360A45"/>
    <w:multiLevelType w:val="multilevel"/>
    <w:tmpl w:val="6CEE4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43135ED"/>
    <w:multiLevelType w:val="multilevel"/>
    <w:tmpl w:val="FF8C2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5E036E5"/>
    <w:multiLevelType w:val="multilevel"/>
    <w:tmpl w:val="5336A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7D3140A"/>
    <w:multiLevelType w:val="multilevel"/>
    <w:tmpl w:val="DE227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92B019F"/>
    <w:multiLevelType w:val="multilevel"/>
    <w:tmpl w:val="C02E5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AA83748"/>
    <w:multiLevelType w:val="multilevel"/>
    <w:tmpl w:val="E19E1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B231AFF"/>
    <w:multiLevelType w:val="multilevel"/>
    <w:tmpl w:val="D7FC5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FFA49E9"/>
    <w:multiLevelType w:val="multilevel"/>
    <w:tmpl w:val="6A3AC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0C0767F"/>
    <w:multiLevelType w:val="multilevel"/>
    <w:tmpl w:val="7A185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1512C6F"/>
    <w:multiLevelType w:val="multilevel"/>
    <w:tmpl w:val="9FCE1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1751399"/>
    <w:multiLevelType w:val="multilevel"/>
    <w:tmpl w:val="1A522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17F18A5"/>
    <w:multiLevelType w:val="multilevel"/>
    <w:tmpl w:val="6E9E0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2E653B6"/>
    <w:multiLevelType w:val="multilevel"/>
    <w:tmpl w:val="6B4C9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2E70038"/>
    <w:multiLevelType w:val="multilevel"/>
    <w:tmpl w:val="405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3EA5AF5"/>
    <w:multiLevelType w:val="multilevel"/>
    <w:tmpl w:val="57363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3EF0279"/>
    <w:multiLevelType w:val="multilevel"/>
    <w:tmpl w:val="F0FA6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52A5120"/>
    <w:multiLevelType w:val="multilevel"/>
    <w:tmpl w:val="0BC60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64C3EF8"/>
    <w:multiLevelType w:val="multilevel"/>
    <w:tmpl w:val="E684D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6C02035"/>
    <w:multiLevelType w:val="multilevel"/>
    <w:tmpl w:val="890E4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7575688"/>
    <w:multiLevelType w:val="multilevel"/>
    <w:tmpl w:val="B1A6D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7DE7BF0"/>
    <w:multiLevelType w:val="multilevel"/>
    <w:tmpl w:val="E6E0D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856791D"/>
    <w:multiLevelType w:val="multilevel"/>
    <w:tmpl w:val="552CE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B236E5B"/>
    <w:multiLevelType w:val="multilevel"/>
    <w:tmpl w:val="B9AC9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C775553"/>
    <w:multiLevelType w:val="multilevel"/>
    <w:tmpl w:val="4AFE7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CEF621D"/>
    <w:multiLevelType w:val="multilevel"/>
    <w:tmpl w:val="68260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D69265D"/>
    <w:multiLevelType w:val="multilevel"/>
    <w:tmpl w:val="FC98E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05E234E"/>
    <w:multiLevelType w:val="multilevel"/>
    <w:tmpl w:val="1F0C5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0A94949"/>
    <w:multiLevelType w:val="multilevel"/>
    <w:tmpl w:val="7A3CD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10D4761"/>
    <w:multiLevelType w:val="multilevel"/>
    <w:tmpl w:val="0990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1CA1DB6"/>
    <w:multiLevelType w:val="multilevel"/>
    <w:tmpl w:val="F094E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248092C"/>
    <w:multiLevelType w:val="multilevel"/>
    <w:tmpl w:val="04489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2562A42"/>
    <w:multiLevelType w:val="multilevel"/>
    <w:tmpl w:val="C7128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3427261"/>
    <w:multiLevelType w:val="multilevel"/>
    <w:tmpl w:val="6E52C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5F34BC2"/>
    <w:multiLevelType w:val="multilevel"/>
    <w:tmpl w:val="4EAEE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63D50B3"/>
    <w:multiLevelType w:val="multilevel"/>
    <w:tmpl w:val="5D502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87B677A"/>
    <w:multiLevelType w:val="multilevel"/>
    <w:tmpl w:val="0E6A7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9226F14"/>
    <w:multiLevelType w:val="multilevel"/>
    <w:tmpl w:val="54FCC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93C4E40"/>
    <w:multiLevelType w:val="multilevel"/>
    <w:tmpl w:val="4AFAD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99A6F04"/>
    <w:multiLevelType w:val="multilevel"/>
    <w:tmpl w:val="66E6F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9DC4E1C"/>
    <w:multiLevelType w:val="multilevel"/>
    <w:tmpl w:val="9718D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A1B4500"/>
    <w:multiLevelType w:val="multilevel"/>
    <w:tmpl w:val="B074E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B6B07C4"/>
    <w:multiLevelType w:val="multilevel"/>
    <w:tmpl w:val="1FDEC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C9A6DC6"/>
    <w:multiLevelType w:val="multilevel"/>
    <w:tmpl w:val="1550E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D0336AD"/>
    <w:multiLevelType w:val="multilevel"/>
    <w:tmpl w:val="6EC85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D4C1EEF"/>
    <w:multiLevelType w:val="multilevel"/>
    <w:tmpl w:val="C486D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DEC1B27"/>
    <w:multiLevelType w:val="multilevel"/>
    <w:tmpl w:val="ACF01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E641421"/>
    <w:multiLevelType w:val="multilevel"/>
    <w:tmpl w:val="F40AC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ED7620B"/>
    <w:multiLevelType w:val="multilevel"/>
    <w:tmpl w:val="04F46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F3A17D4"/>
    <w:multiLevelType w:val="multilevel"/>
    <w:tmpl w:val="C152F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28511FF"/>
    <w:multiLevelType w:val="multilevel"/>
    <w:tmpl w:val="15F82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4AF7A48"/>
    <w:multiLevelType w:val="multilevel"/>
    <w:tmpl w:val="E75C4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5666CF1"/>
    <w:multiLevelType w:val="multilevel"/>
    <w:tmpl w:val="2CBC8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6776793"/>
    <w:multiLevelType w:val="multilevel"/>
    <w:tmpl w:val="88465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69E3639"/>
    <w:multiLevelType w:val="multilevel"/>
    <w:tmpl w:val="EAFA1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6A379B6"/>
    <w:multiLevelType w:val="multilevel"/>
    <w:tmpl w:val="4014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6FB363B"/>
    <w:multiLevelType w:val="multilevel"/>
    <w:tmpl w:val="60BEE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88F3692"/>
    <w:multiLevelType w:val="multilevel"/>
    <w:tmpl w:val="60A06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8E87867"/>
    <w:multiLevelType w:val="multilevel"/>
    <w:tmpl w:val="A8A42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90449B0"/>
    <w:multiLevelType w:val="multilevel"/>
    <w:tmpl w:val="487E7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9096CB0"/>
    <w:multiLevelType w:val="multilevel"/>
    <w:tmpl w:val="C9A41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9125DE4"/>
    <w:multiLevelType w:val="multilevel"/>
    <w:tmpl w:val="6972D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A675F23"/>
    <w:multiLevelType w:val="multilevel"/>
    <w:tmpl w:val="19624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B255365"/>
    <w:multiLevelType w:val="multilevel"/>
    <w:tmpl w:val="08D42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C377319"/>
    <w:multiLevelType w:val="multilevel"/>
    <w:tmpl w:val="AA287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C3F1662"/>
    <w:multiLevelType w:val="multilevel"/>
    <w:tmpl w:val="DA0C8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ED60B5E"/>
    <w:multiLevelType w:val="multilevel"/>
    <w:tmpl w:val="84866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1A37140"/>
    <w:multiLevelType w:val="multilevel"/>
    <w:tmpl w:val="0396C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22A1F6C"/>
    <w:multiLevelType w:val="multilevel"/>
    <w:tmpl w:val="4B7EB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2720846"/>
    <w:multiLevelType w:val="multilevel"/>
    <w:tmpl w:val="24F66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639D4E64"/>
    <w:multiLevelType w:val="multilevel"/>
    <w:tmpl w:val="44107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3E169BC"/>
    <w:multiLevelType w:val="multilevel"/>
    <w:tmpl w:val="5F9C6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498587D"/>
    <w:multiLevelType w:val="multilevel"/>
    <w:tmpl w:val="D9228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4D4573C"/>
    <w:multiLevelType w:val="multilevel"/>
    <w:tmpl w:val="CD1E9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51636A5"/>
    <w:multiLevelType w:val="multilevel"/>
    <w:tmpl w:val="3DB6B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E0B8B"/>
    <w:multiLevelType w:val="multilevel"/>
    <w:tmpl w:val="EF82D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6A645CD"/>
    <w:multiLevelType w:val="multilevel"/>
    <w:tmpl w:val="3F587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904031C"/>
    <w:multiLevelType w:val="multilevel"/>
    <w:tmpl w:val="00AE8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A3302FA"/>
    <w:multiLevelType w:val="multilevel"/>
    <w:tmpl w:val="DC1A9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A6562B8"/>
    <w:multiLevelType w:val="multilevel"/>
    <w:tmpl w:val="E64A2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A6C786D"/>
    <w:multiLevelType w:val="multilevel"/>
    <w:tmpl w:val="6C86E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A9E778E"/>
    <w:multiLevelType w:val="multilevel"/>
    <w:tmpl w:val="CC9E4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BE1658B"/>
    <w:multiLevelType w:val="multilevel"/>
    <w:tmpl w:val="A6ACA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C861F8F"/>
    <w:multiLevelType w:val="multilevel"/>
    <w:tmpl w:val="AF4EE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0843D9B"/>
    <w:multiLevelType w:val="multilevel"/>
    <w:tmpl w:val="5E903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0C809C8"/>
    <w:multiLevelType w:val="hybridMultilevel"/>
    <w:tmpl w:val="3990AE9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1" w15:restartNumberingAfterBreak="0">
    <w:nsid w:val="713437E9"/>
    <w:multiLevelType w:val="multilevel"/>
    <w:tmpl w:val="2528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2ED3160"/>
    <w:multiLevelType w:val="multilevel"/>
    <w:tmpl w:val="B7721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3B65D48"/>
    <w:multiLevelType w:val="multilevel"/>
    <w:tmpl w:val="C34CC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3BD6AC1"/>
    <w:multiLevelType w:val="multilevel"/>
    <w:tmpl w:val="8D50C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4007101"/>
    <w:multiLevelType w:val="multilevel"/>
    <w:tmpl w:val="2B303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74BA594B"/>
    <w:multiLevelType w:val="multilevel"/>
    <w:tmpl w:val="CB761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76032B05"/>
    <w:multiLevelType w:val="multilevel"/>
    <w:tmpl w:val="3392D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6420F76"/>
    <w:multiLevelType w:val="multilevel"/>
    <w:tmpl w:val="93604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672543D"/>
    <w:multiLevelType w:val="multilevel"/>
    <w:tmpl w:val="CA940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6D62E6B"/>
    <w:multiLevelType w:val="multilevel"/>
    <w:tmpl w:val="175C7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71C4CB1"/>
    <w:multiLevelType w:val="multilevel"/>
    <w:tmpl w:val="AF981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A887C7E"/>
    <w:multiLevelType w:val="multilevel"/>
    <w:tmpl w:val="78F4C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A9E4950"/>
    <w:multiLevelType w:val="multilevel"/>
    <w:tmpl w:val="A9580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C9C3D73"/>
    <w:multiLevelType w:val="multilevel"/>
    <w:tmpl w:val="6AE43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D1F73B1"/>
    <w:multiLevelType w:val="multilevel"/>
    <w:tmpl w:val="615A3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E0733D7"/>
    <w:multiLevelType w:val="multilevel"/>
    <w:tmpl w:val="E6665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7E1952E5"/>
    <w:multiLevelType w:val="multilevel"/>
    <w:tmpl w:val="BE44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E2053B2"/>
    <w:multiLevelType w:val="multilevel"/>
    <w:tmpl w:val="1BF62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3616024">
    <w:abstractNumId w:val="103"/>
  </w:num>
  <w:num w:numId="2" w16cid:durableId="1550847867">
    <w:abstractNumId w:val="133"/>
  </w:num>
  <w:num w:numId="3" w16cid:durableId="1728916661">
    <w:abstractNumId w:val="8"/>
  </w:num>
  <w:num w:numId="4" w16cid:durableId="1901790781">
    <w:abstractNumId w:val="119"/>
  </w:num>
  <w:num w:numId="5" w16cid:durableId="1645545138">
    <w:abstractNumId w:val="14"/>
    <w:lvlOverride w:ilvl="0">
      <w:lvl w:ilvl="0">
        <w:numFmt w:val="lowerLetter"/>
        <w:lvlText w:val="%1."/>
        <w:lvlJc w:val="left"/>
      </w:lvl>
    </w:lvlOverride>
  </w:num>
  <w:num w:numId="6" w16cid:durableId="1908882352">
    <w:abstractNumId w:val="14"/>
    <w:lvlOverride w:ilvl="0">
      <w:lvl w:ilvl="0">
        <w:numFmt w:val="lowerLetter"/>
        <w:lvlText w:val="%1."/>
        <w:lvlJc w:val="left"/>
      </w:lvl>
    </w:lvlOverride>
  </w:num>
  <w:num w:numId="7" w16cid:durableId="1414861279">
    <w:abstractNumId w:val="14"/>
    <w:lvlOverride w:ilvl="0">
      <w:lvl w:ilvl="0">
        <w:numFmt w:val="lowerLetter"/>
        <w:lvlText w:val="%1."/>
        <w:lvlJc w:val="left"/>
      </w:lvl>
    </w:lvlOverride>
  </w:num>
  <w:num w:numId="8" w16cid:durableId="25520245">
    <w:abstractNumId w:val="146"/>
  </w:num>
  <w:num w:numId="9" w16cid:durableId="490024443">
    <w:abstractNumId w:val="26"/>
  </w:num>
  <w:num w:numId="10" w16cid:durableId="698701698">
    <w:abstractNumId w:val="49"/>
  </w:num>
  <w:num w:numId="11" w16cid:durableId="779377013">
    <w:abstractNumId w:val="91"/>
  </w:num>
  <w:num w:numId="12" w16cid:durableId="274481804">
    <w:abstractNumId w:val="59"/>
  </w:num>
  <w:num w:numId="13" w16cid:durableId="596787416">
    <w:abstractNumId w:val="67"/>
  </w:num>
  <w:num w:numId="14" w16cid:durableId="1723476353">
    <w:abstractNumId w:val="107"/>
  </w:num>
  <w:num w:numId="15" w16cid:durableId="891186704">
    <w:abstractNumId w:val="139"/>
  </w:num>
  <w:num w:numId="16" w16cid:durableId="139544201">
    <w:abstractNumId w:val="57"/>
  </w:num>
  <w:num w:numId="17" w16cid:durableId="2089419600">
    <w:abstractNumId w:val="82"/>
  </w:num>
  <w:num w:numId="18" w16cid:durableId="860819973">
    <w:abstractNumId w:val="89"/>
  </w:num>
  <w:num w:numId="19" w16cid:durableId="824276863">
    <w:abstractNumId w:val="5"/>
  </w:num>
  <w:num w:numId="20" w16cid:durableId="1199247333">
    <w:abstractNumId w:val="68"/>
  </w:num>
  <w:num w:numId="21" w16cid:durableId="722800635">
    <w:abstractNumId w:val="137"/>
  </w:num>
  <w:num w:numId="22" w16cid:durableId="2114203828">
    <w:abstractNumId w:val="60"/>
  </w:num>
  <w:num w:numId="23" w16cid:durableId="635061968">
    <w:abstractNumId w:val="24"/>
  </w:num>
  <w:num w:numId="24" w16cid:durableId="68234999">
    <w:abstractNumId w:val="73"/>
  </w:num>
  <w:num w:numId="25" w16cid:durableId="1678730377">
    <w:abstractNumId w:val="126"/>
  </w:num>
  <w:num w:numId="26" w16cid:durableId="709960417">
    <w:abstractNumId w:val="13"/>
  </w:num>
  <w:num w:numId="27" w16cid:durableId="314646703">
    <w:abstractNumId w:val="77"/>
  </w:num>
  <w:num w:numId="28" w16cid:durableId="182982379">
    <w:abstractNumId w:val="45"/>
  </w:num>
  <w:num w:numId="29" w16cid:durableId="21588655">
    <w:abstractNumId w:val="102"/>
  </w:num>
  <w:num w:numId="30" w16cid:durableId="255988337">
    <w:abstractNumId w:val="147"/>
  </w:num>
  <w:num w:numId="31" w16cid:durableId="1545604737">
    <w:abstractNumId w:val="130"/>
  </w:num>
  <w:num w:numId="32" w16cid:durableId="2140681916">
    <w:abstractNumId w:val="64"/>
  </w:num>
  <w:num w:numId="33" w16cid:durableId="1274749141">
    <w:abstractNumId w:val="9"/>
  </w:num>
  <w:num w:numId="34" w16cid:durableId="756439075">
    <w:abstractNumId w:val="70"/>
  </w:num>
  <w:num w:numId="35" w16cid:durableId="1099719965">
    <w:abstractNumId w:val="16"/>
  </w:num>
  <w:num w:numId="36" w16cid:durableId="1642736539">
    <w:abstractNumId w:val="145"/>
  </w:num>
  <w:num w:numId="37" w16cid:durableId="1841122712">
    <w:abstractNumId w:val="11"/>
  </w:num>
  <w:num w:numId="38" w16cid:durableId="434791060">
    <w:abstractNumId w:val="22"/>
  </w:num>
  <w:num w:numId="39" w16cid:durableId="561210054">
    <w:abstractNumId w:val="15"/>
  </w:num>
  <w:num w:numId="40" w16cid:durableId="820773440">
    <w:abstractNumId w:val="46"/>
  </w:num>
  <w:num w:numId="41" w16cid:durableId="545685414">
    <w:abstractNumId w:val="40"/>
  </w:num>
  <w:num w:numId="42" w16cid:durableId="1973368326">
    <w:abstractNumId w:val="110"/>
  </w:num>
  <w:num w:numId="43" w16cid:durableId="410850807">
    <w:abstractNumId w:val="88"/>
  </w:num>
  <w:num w:numId="44" w16cid:durableId="2063359092">
    <w:abstractNumId w:val="95"/>
  </w:num>
  <w:num w:numId="45" w16cid:durableId="329868819">
    <w:abstractNumId w:val="29"/>
  </w:num>
  <w:num w:numId="46" w16cid:durableId="1252199190">
    <w:abstractNumId w:val="65"/>
  </w:num>
  <w:num w:numId="47" w16cid:durableId="1941837116">
    <w:abstractNumId w:val="131"/>
  </w:num>
  <w:num w:numId="48" w16cid:durableId="1871721006">
    <w:abstractNumId w:val="115"/>
  </w:num>
  <w:num w:numId="49" w16cid:durableId="559481568">
    <w:abstractNumId w:val="94"/>
  </w:num>
  <w:num w:numId="50" w16cid:durableId="1734113587">
    <w:abstractNumId w:val="1"/>
  </w:num>
  <w:num w:numId="51" w16cid:durableId="2028409009">
    <w:abstractNumId w:val="135"/>
  </w:num>
  <w:num w:numId="52" w16cid:durableId="1869875991">
    <w:abstractNumId w:val="0"/>
  </w:num>
  <w:num w:numId="53" w16cid:durableId="1662734847">
    <w:abstractNumId w:val="32"/>
  </w:num>
  <w:num w:numId="54" w16cid:durableId="473641391">
    <w:abstractNumId w:val="124"/>
  </w:num>
  <w:num w:numId="55" w16cid:durableId="2109345844">
    <w:abstractNumId w:val="35"/>
  </w:num>
  <w:num w:numId="56" w16cid:durableId="1340044111">
    <w:abstractNumId w:val="97"/>
  </w:num>
  <w:num w:numId="57" w16cid:durableId="133764218">
    <w:abstractNumId w:val="109"/>
  </w:num>
  <w:num w:numId="58" w16cid:durableId="615874320">
    <w:abstractNumId w:val="6"/>
  </w:num>
  <w:num w:numId="59" w16cid:durableId="2116320278">
    <w:abstractNumId w:val="93"/>
  </w:num>
  <w:num w:numId="60" w16cid:durableId="907617141">
    <w:abstractNumId w:val="62"/>
  </w:num>
  <w:num w:numId="61" w16cid:durableId="839583808">
    <w:abstractNumId w:val="129"/>
  </w:num>
  <w:num w:numId="62" w16cid:durableId="1851988508">
    <w:abstractNumId w:val="66"/>
    <w:lvlOverride w:ilvl="0">
      <w:lvl w:ilvl="0">
        <w:numFmt w:val="lowerLetter"/>
        <w:lvlText w:val="%1."/>
        <w:lvlJc w:val="left"/>
      </w:lvl>
    </w:lvlOverride>
  </w:num>
  <w:num w:numId="63" w16cid:durableId="1049189526">
    <w:abstractNumId w:val="66"/>
    <w:lvlOverride w:ilvl="0">
      <w:lvl w:ilvl="0">
        <w:numFmt w:val="lowerLetter"/>
        <w:lvlText w:val="%1."/>
        <w:lvlJc w:val="left"/>
      </w:lvl>
    </w:lvlOverride>
  </w:num>
  <w:num w:numId="64" w16cid:durableId="1563328478">
    <w:abstractNumId w:val="66"/>
    <w:lvlOverride w:ilvl="0">
      <w:lvl w:ilvl="0">
        <w:numFmt w:val="lowerLetter"/>
        <w:lvlText w:val="%1."/>
        <w:lvlJc w:val="left"/>
      </w:lvl>
    </w:lvlOverride>
  </w:num>
  <w:num w:numId="65" w16cid:durableId="244076858">
    <w:abstractNumId w:val="25"/>
  </w:num>
  <w:num w:numId="66" w16cid:durableId="737437531">
    <w:abstractNumId w:val="112"/>
  </w:num>
  <w:num w:numId="67" w16cid:durableId="390691840">
    <w:abstractNumId w:val="128"/>
  </w:num>
  <w:num w:numId="68" w16cid:durableId="6446835">
    <w:abstractNumId w:val="122"/>
  </w:num>
  <w:num w:numId="69" w16cid:durableId="1580291950">
    <w:abstractNumId w:val="114"/>
  </w:num>
  <w:num w:numId="70" w16cid:durableId="284386421">
    <w:abstractNumId w:val="117"/>
  </w:num>
  <w:num w:numId="71" w16cid:durableId="138619078">
    <w:abstractNumId w:val="55"/>
  </w:num>
  <w:num w:numId="72" w16cid:durableId="1211070835">
    <w:abstractNumId w:val="81"/>
  </w:num>
  <w:num w:numId="73" w16cid:durableId="1773358451">
    <w:abstractNumId w:val="138"/>
  </w:num>
  <w:num w:numId="74" w16cid:durableId="1801485947">
    <w:abstractNumId w:val="136"/>
  </w:num>
  <w:num w:numId="75" w16cid:durableId="1742756782">
    <w:abstractNumId w:val="140"/>
  </w:num>
  <w:num w:numId="76" w16cid:durableId="253828751">
    <w:abstractNumId w:val="105"/>
  </w:num>
  <w:num w:numId="77" w16cid:durableId="1560051584">
    <w:abstractNumId w:val="78"/>
  </w:num>
  <w:num w:numId="78" w16cid:durableId="1436364176">
    <w:abstractNumId w:val="52"/>
  </w:num>
  <w:num w:numId="79" w16cid:durableId="1449853485">
    <w:abstractNumId w:val="36"/>
  </w:num>
  <w:num w:numId="80" w16cid:durableId="2019382088">
    <w:abstractNumId w:val="37"/>
  </w:num>
  <w:num w:numId="81" w16cid:durableId="867181295">
    <w:abstractNumId w:val="61"/>
  </w:num>
  <w:num w:numId="82" w16cid:durableId="1599868739">
    <w:abstractNumId w:val="132"/>
  </w:num>
  <w:num w:numId="83" w16cid:durableId="522785529">
    <w:abstractNumId w:val="34"/>
  </w:num>
  <w:num w:numId="84" w16cid:durableId="622619876">
    <w:abstractNumId w:val="43"/>
  </w:num>
  <w:num w:numId="85" w16cid:durableId="1866820056">
    <w:abstractNumId w:val="125"/>
  </w:num>
  <w:num w:numId="86" w16cid:durableId="161819356">
    <w:abstractNumId w:val="104"/>
  </w:num>
  <w:num w:numId="87" w16cid:durableId="1718047719">
    <w:abstractNumId w:val="142"/>
  </w:num>
  <w:num w:numId="88" w16cid:durableId="688022926">
    <w:abstractNumId w:val="7"/>
  </w:num>
  <w:num w:numId="89" w16cid:durableId="128016698">
    <w:abstractNumId w:val="71"/>
  </w:num>
  <w:num w:numId="90" w16cid:durableId="1826512868">
    <w:abstractNumId w:val="79"/>
  </w:num>
  <w:num w:numId="91" w16cid:durableId="1689064440">
    <w:abstractNumId w:val="148"/>
  </w:num>
  <w:num w:numId="92" w16cid:durableId="1781684338">
    <w:abstractNumId w:val="92"/>
  </w:num>
  <w:num w:numId="93" w16cid:durableId="1879469839">
    <w:abstractNumId w:val="101"/>
  </w:num>
  <w:num w:numId="94" w16cid:durableId="1227296844">
    <w:abstractNumId w:val="10"/>
  </w:num>
  <w:num w:numId="95" w16cid:durableId="1263294798">
    <w:abstractNumId w:val="111"/>
  </w:num>
  <w:num w:numId="96" w16cid:durableId="473915654">
    <w:abstractNumId w:val="76"/>
  </w:num>
  <w:num w:numId="97" w16cid:durableId="1300960027">
    <w:abstractNumId w:val="141"/>
  </w:num>
  <w:num w:numId="98" w16cid:durableId="1668511485">
    <w:abstractNumId w:val="58"/>
  </w:num>
  <w:num w:numId="99" w16cid:durableId="1239440499">
    <w:abstractNumId w:val="31"/>
  </w:num>
  <w:num w:numId="100" w16cid:durableId="1241986770">
    <w:abstractNumId w:val="144"/>
  </w:num>
  <w:num w:numId="101" w16cid:durableId="1445150080">
    <w:abstractNumId w:val="98"/>
  </w:num>
  <w:num w:numId="102" w16cid:durableId="541597632">
    <w:abstractNumId w:val="50"/>
  </w:num>
  <w:num w:numId="103" w16cid:durableId="1299258795">
    <w:abstractNumId w:val="80"/>
  </w:num>
  <w:num w:numId="104" w16cid:durableId="1128399818">
    <w:abstractNumId w:val="72"/>
  </w:num>
  <w:num w:numId="105" w16cid:durableId="1210265786">
    <w:abstractNumId w:val="21"/>
  </w:num>
  <w:num w:numId="106" w16cid:durableId="1860312501">
    <w:abstractNumId w:val="28"/>
  </w:num>
  <w:num w:numId="107" w16cid:durableId="1670208976">
    <w:abstractNumId w:val="90"/>
  </w:num>
  <w:num w:numId="108" w16cid:durableId="960191445">
    <w:abstractNumId w:val="18"/>
  </w:num>
  <w:num w:numId="109" w16cid:durableId="439447508">
    <w:abstractNumId w:val="56"/>
  </w:num>
  <w:num w:numId="110" w16cid:durableId="1207765407">
    <w:abstractNumId w:val="143"/>
  </w:num>
  <w:num w:numId="111" w16cid:durableId="1632050720">
    <w:abstractNumId w:val="86"/>
  </w:num>
  <w:num w:numId="112" w16cid:durableId="170148685">
    <w:abstractNumId w:val="113"/>
  </w:num>
  <w:num w:numId="113" w16cid:durableId="573974849">
    <w:abstractNumId w:val="100"/>
  </w:num>
  <w:num w:numId="114" w16cid:durableId="481000658">
    <w:abstractNumId w:val="106"/>
  </w:num>
  <w:num w:numId="115" w16cid:durableId="1903981736">
    <w:abstractNumId w:val="83"/>
  </w:num>
  <w:num w:numId="116" w16cid:durableId="1635989212">
    <w:abstractNumId w:val="47"/>
  </w:num>
  <w:num w:numId="117" w16cid:durableId="753555675">
    <w:abstractNumId w:val="99"/>
  </w:num>
  <w:num w:numId="118" w16cid:durableId="461969439">
    <w:abstractNumId w:val="42"/>
  </w:num>
  <w:num w:numId="119" w16cid:durableId="525564769">
    <w:abstractNumId w:val="23"/>
  </w:num>
  <w:num w:numId="120" w16cid:durableId="104081230">
    <w:abstractNumId w:val="19"/>
  </w:num>
  <w:num w:numId="121" w16cid:durableId="843671926">
    <w:abstractNumId w:val="20"/>
  </w:num>
  <w:num w:numId="122" w16cid:durableId="1146245371">
    <w:abstractNumId w:val="51"/>
  </w:num>
  <w:num w:numId="123" w16cid:durableId="1302228055">
    <w:abstractNumId w:val="123"/>
  </w:num>
  <w:num w:numId="124" w16cid:durableId="935938654">
    <w:abstractNumId w:val="12"/>
  </w:num>
  <w:num w:numId="125" w16cid:durableId="2126535835">
    <w:abstractNumId w:val="84"/>
  </w:num>
  <w:num w:numId="126" w16cid:durableId="385296246">
    <w:abstractNumId w:val="121"/>
  </w:num>
  <w:num w:numId="127" w16cid:durableId="1172262250">
    <w:abstractNumId w:val="48"/>
  </w:num>
  <w:num w:numId="128" w16cid:durableId="1039669413">
    <w:abstractNumId w:val="38"/>
  </w:num>
  <w:num w:numId="129" w16cid:durableId="804851776">
    <w:abstractNumId w:val="41"/>
  </w:num>
  <w:num w:numId="130" w16cid:durableId="1203786719">
    <w:abstractNumId w:val="39"/>
  </w:num>
  <w:num w:numId="131" w16cid:durableId="1632244773">
    <w:abstractNumId w:val="108"/>
  </w:num>
  <w:num w:numId="132" w16cid:durableId="1469661188">
    <w:abstractNumId w:val="2"/>
  </w:num>
  <w:num w:numId="133" w16cid:durableId="516240321">
    <w:abstractNumId w:val="17"/>
  </w:num>
  <w:num w:numId="134" w16cid:durableId="1083992717">
    <w:abstractNumId w:val="53"/>
  </w:num>
  <w:num w:numId="135" w16cid:durableId="535508536">
    <w:abstractNumId w:val="127"/>
  </w:num>
  <w:num w:numId="136" w16cid:durableId="1558971867">
    <w:abstractNumId w:val="87"/>
  </w:num>
  <w:num w:numId="137" w16cid:durableId="429593271">
    <w:abstractNumId w:val="120"/>
  </w:num>
  <w:num w:numId="138" w16cid:durableId="597326814">
    <w:abstractNumId w:val="30"/>
  </w:num>
  <w:num w:numId="139" w16cid:durableId="463276946">
    <w:abstractNumId w:val="75"/>
  </w:num>
  <w:num w:numId="140" w16cid:durableId="1020937585">
    <w:abstractNumId w:val="4"/>
  </w:num>
  <w:num w:numId="141" w16cid:durableId="1127117472">
    <w:abstractNumId w:val="96"/>
  </w:num>
  <w:num w:numId="142" w16cid:durableId="1587761918">
    <w:abstractNumId w:val="54"/>
  </w:num>
  <w:num w:numId="143" w16cid:durableId="458719224">
    <w:abstractNumId w:val="33"/>
  </w:num>
  <w:num w:numId="144" w16cid:durableId="1307276089">
    <w:abstractNumId w:val="27"/>
  </w:num>
  <w:num w:numId="145" w16cid:durableId="149716155">
    <w:abstractNumId w:val="44"/>
  </w:num>
  <w:num w:numId="146" w16cid:durableId="927615970">
    <w:abstractNumId w:val="134"/>
  </w:num>
  <w:num w:numId="147" w16cid:durableId="464741254">
    <w:abstractNumId w:val="118"/>
  </w:num>
  <w:num w:numId="148" w16cid:durableId="770247471">
    <w:abstractNumId w:val="85"/>
  </w:num>
  <w:num w:numId="149" w16cid:durableId="781387275">
    <w:abstractNumId w:val="74"/>
  </w:num>
  <w:num w:numId="150" w16cid:durableId="1691953799">
    <w:abstractNumId w:val="3"/>
  </w:num>
  <w:num w:numId="151" w16cid:durableId="1707676278">
    <w:abstractNumId w:val="69"/>
  </w:num>
  <w:num w:numId="152" w16cid:durableId="1999649783">
    <w:abstractNumId w:val="116"/>
  </w:num>
  <w:num w:numId="153" w16cid:durableId="246770146">
    <w:abstractNumId w:val="63"/>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E0F"/>
    <w:rsid w:val="00014E7D"/>
    <w:rsid w:val="001265EC"/>
    <w:rsid w:val="00140659"/>
    <w:rsid w:val="00161FFC"/>
    <w:rsid w:val="001C70BC"/>
    <w:rsid w:val="002035FC"/>
    <w:rsid w:val="00203E27"/>
    <w:rsid w:val="00233C2F"/>
    <w:rsid w:val="00237021"/>
    <w:rsid w:val="002617A2"/>
    <w:rsid w:val="002B3C6E"/>
    <w:rsid w:val="002F0E91"/>
    <w:rsid w:val="00367A3A"/>
    <w:rsid w:val="00382DF1"/>
    <w:rsid w:val="003A16A9"/>
    <w:rsid w:val="003F3BEF"/>
    <w:rsid w:val="004532C1"/>
    <w:rsid w:val="00467A53"/>
    <w:rsid w:val="00481BDF"/>
    <w:rsid w:val="004F372B"/>
    <w:rsid w:val="00513778"/>
    <w:rsid w:val="005238D8"/>
    <w:rsid w:val="005379B4"/>
    <w:rsid w:val="00543FCC"/>
    <w:rsid w:val="00666518"/>
    <w:rsid w:val="006755E8"/>
    <w:rsid w:val="00677003"/>
    <w:rsid w:val="006971BC"/>
    <w:rsid w:val="006B6503"/>
    <w:rsid w:val="0072531A"/>
    <w:rsid w:val="00730E67"/>
    <w:rsid w:val="00754D07"/>
    <w:rsid w:val="007565EC"/>
    <w:rsid w:val="0079315E"/>
    <w:rsid w:val="007A2D0C"/>
    <w:rsid w:val="007C0858"/>
    <w:rsid w:val="007D18AF"/>
    <w:rsid w:val="007F0467"/>
    <w:rsid w:val="007F3237"/>
    <w:rsid w:val="008015BC"/>
    <w:rsid w:val="00844433"/>
    <w:rsid w:val="008D492A"/>
    <w:rsid w:val="00953ED2"/>
    <w:rsid w:val="00966E0F"/>
    <w:rsid w:val="00981805"/>
    <w:rsid w:val="009C3B70"/>
    <w:rsid w:val="009C7A3F"/>
    <w:rsid w:val="00A26751"/>
    <w:rsid w:val="00A837B5"/>
    <w:rsid w:val="00AE1A0D"/>
    <w:rsid w:val="00B020FA"/>
    <w:rsid w:val="00B3096C"/>
    <w:rsid w:val="00B649F5"/>
    <w:rsid w:val="00BA4D1B"/>
    <w:rsid w:val="00BB7453"/>
    <w:rsid w:val="00C30970"/>
    <w:rsid w:val="00CB3A31"/>
    <w:rsid w:val="00D531C3"/>
    <w:rsid w:val="00DB25DE"/>
    <w:rsid w:val="00DB5993"/>
    <w:rsid w:val="00DD6477"/>
    <w:rsid w:val="00E214CC"/>
    <w:rsid w:val="00E610E7"/>
    <w:rsid w:val="00E84E15"/>
    <w:rsid w:val="00E9461D"/>
    <w:rsid w:val="00ED180A"/>
    <w:rsid w:val="00F15AC6"/>
    <w:rsid w:val="00F709E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6D0FC"/>
  <w15:chartTrackingRefBased/>
  <w15:docId w15:val="{F0221B93-0781-43E4-B0EA-463437A98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966E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66E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66E0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66E0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66E0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66E0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66E0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66E0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66E0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966E0F"/>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966E0F"/>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966E0F"/>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966E0F"/>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966E0F"/>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966E0F"/>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966E0F"/>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966E0F"/>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966E0F"/>
    <w:rPr>
      <w:rFonts w:eastAsiaTheme="majorEastAsia" w:cstheme="majorBidi"/>
      <w:color w:val="272727" w:themeColor="text1" w:themeTint="D8"/>
    </w:rPr>
  </w:style>
  <w:style w:type="paragraph" w:styleId="a3">
    <w:name w:val="Title"/>
    <w:basedOn w:val="a"/>
    <w:next w:val="a"/>
    <w:link w:val="Char"/>
    <w:uiPriority w:val="10"/>
    <w:qFormat/>
    <w:rsid w:val="00966E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966E0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66E0F"/>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966E0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66E0F"/>
    <w:pPr>
      <w:spacing w:before="160"/>
      <w:jc w:val="center"/>
    </w:pPr>
    <w:rPr>
      <w:i/>
      <w:iCs/>
      <w:color w:val="404040" w:themeColor="text1" w:themeTint="BF"/>
    </w:rPr>
  </w:style>
  <w:style w:type="character" w:customStyle="1" w:styleId="Char1">
    <w:name w:val="Απόσπασμα Char"/>
    <w:basedOn w:val="a0"/>
    <w:link w:val="a5"/>
    <w:uiPriority w:val="29"/>
    <w:rsid w:val="00966E0F"/>
    <w:rPr>
      <w:i/>
      <w:iCs/>
      <w:color w:val="404040" w:themeColor="text1" w:themeTint="BF"/>
    </w:rPr>
  </w:style>
  <w:style w:type="paragraph" w:styleId="a6">
    <w:name w:val="List Paragraph"/>
    <w:basedOn w:val="a"/>
    <w:uiPriority w:val="34"/>
    <w:qFormat/>
    <w:rsid w:val="00966E0F"/>
    <w:pPr>
      <w:ind w:left="720"/>
      <w:contextualSpacing/>
    </w:pPr>
  </w:style>
  <w:style w:type="character" w:styleId="a7">
    <w:name w:val="Intense Emphasis"/>
    <w:basedOn w:val="a0"/>
    <w:uiPriority w:val="21"/>
    <w:qFormat/>
    <w:rsid w:val="00966E0F"/>
    <w:rPr>
      <w:i/>
      <w:iCs/>
      <w:color w:val="0F4761" w:themeColor="accent1" w:themeShade="BF"/>
    </w:rPr>
  </w:style>
  <w:style w:type="paragraph" w:styleId="a8">
    <w:name w:val="Intense Quote"/>
    <w:basedOn w:val="a"/>
    <w:next w:val="a"/>
    <w:link w:val="Char2"/>
    <w:uiPriority w:val="30"/>
    <w:qFormat/>
    <w:rsid w:val="00966E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966E0F"/>
    <w:rPr>
      <w:i/>
      <w:iCs/>
      <w:color w:val="0F4761" w:themeColor="accent1" w:themeShade="BF"/>
    </w:rPr>
  </w:style>
  <w:style w:type="character" w:styleId="a9">
    <w:name w:val="Intense Reference"/>
    <w:basedOn w:val="a0"/>
    <w:uiPriority w:val="32"/>
    <w:qFormat/>
    <w:rsid w:val="00966E0F"/>
    <w:rPr>
      <w:b/>
      <w:bCs/>
      <w:smallCaps/>
      <w:color w:val="0F4761" w:themeColor="accent1" w:themeShade="BF"/>
      <w:spacing w:val="5"/>
    </w:rPr>
  </w:style>
  <w:style w:type="paragraph" w:styleId="aa">
    <w:name w:val="header"/>
    <w:basedOn w:val="a"/>
    <w:link w:val="Char3"/>
    <w:uiPriority w:val="99"/>
    <w:unhideWhenUsed/>
    <w:rsid w:val="00367A3A"/>
    <w:pPr>
      <w:tabs>
        <w:tab w:val="center" w:pos="4513"/>
        <w:tab w:val="right" w:pos="9026"/>
      </w:tabs>
      <w:spacing w:after="0" w:line="240" w:lineRule="auto"/>
    </w:pPr>
  </w:style>
  <w:style w:type="character" w:customStyle="1" w:styleId="Char3">
    <w:name w:val="Κεφαλίδα Char"/>
    <w:basedOn w:val="a0"/>
    <w:link w:val="aa"/>
    <w:uiPriority w:val="99"/>
    <w:rsid w:val="00367A3A"/>
  </w:style>
  <w:style w:type="paragraph" w:styleId="ab">
    <w:name w:val="footer"/>
    <w:basedOn w:val="a"/>
    <w:link w:val="Char4"/>
    <w:uiPriority w:val="99"/>
    <w:unhideWhenUsed/>
    <w:rsid w:val="00367A3A"/>
    <w:pPr>
      <w:tabs>
        <w:tab w:val="center" w:pos="4513"/>
        <w:tab w:val="right" w:pos="9026"/>
      </w:tabs>
      <w:spacing w:after="0" w:line="240" w:lineRule="auto"/>
    </w:pPr>
  </w:style>
  <w:style w:type="character" w:customStyle="1" w:styleId="Char4">
    <w:name w:val="Υποσέλιδο Char"/>
    <w:basedOn w:val="a0"/>
    <w:link w:val="ab"/>
    <w:uiPriority w:val="99"/>
    <w:rsid w:val="00367A3A"/>
  </w:style>
  <w:style w:type="character" w:styleId="-">
    <w:name w:val="Hyperlink"/>
    <w:basedOn w:val="a0"/>
    <w:uiPriority w:val="99"/>
    <w:unhideWhenUsed/>
    <w:rsid w:val="00DD6477"/>
    <w:rPr>
      <w:color w:val="467886" w:themeColor="hyperlink"/>
      <w:u w:val="single"/>
    </w:rPr>
  </w:style>
  <w:style w:type="character" w:styleId="ac">
    <w:name w:val="Unresolved Mention"/>
    <w:basedOn w:val="a0"/>
    <w:uiPriority w:val="99"/>
    <w:semiHidden/>
    <w:unhideWhenUsed/>
    <w:rsid w:val="00DD6477"/>
    <w:rPr>
      <w:color w:val="605E5C"/>
      <w:shd w:val="clear" w:color="auto" w:fill="E1DFDD"/>
    </w:rPr>
  </w:style>
  <w:style w:type="paragraph" w:styleId="Web">
    <w:name w:val="Normal (Web)"/>
    <w:basedOn w:val="a"/>
    <w:uiPriority w:val="99"/>
    <w:semiHidden/>
    <w:unhideWhenUsed/>
    <w:rsid w:val="007A2D0C"/>
    <w:rPr>
      <w:rFonts w:ascii="Times New Roman" w:hAnsi="Times New Roman" w:cs="Times New Roman"/>
      <w:sz w:val="24"/>
      <w:szCs w:val="24"/>
    </w:rPr>
  </w:style>
  <w:style w:type="paragraph" w:customStyle="1" w:styleId="msonormal0">
    <w:name w:val="msonormal"/>
    <w:basedOn w:val="a"/>
    <w:rsid w:val="0072531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0">
    <w:name w:val="FollowedHyperlink"/>
    <w:basedOn w:val="a0"/>
    <w:uiPriority w:val="99"/>
    <w:semiHidden/>
    <w:unhideWhenUsed/>
    <w:rsid w:val="0072531A"/>
    <w:rPr>
      <w:color w:val="800080"/>
      <w:u w:val="single"/>
    </w:rPr>
  </w:style>
  <w:style w:type="character" w:customStyle="1" w:styleId="apple-tab-span">
    <w:name w:val="apple-tab-span"/>
    <w:basedOn w:val="a0"/>
    <w:rsid w:val="0072531A"/>
  </w:style>
  <w:style w:type="paragraph" w:customStyle="1" w:styleId="10">
    <w:name w:val="Βασικό1"/>
    <w:basedOn w:val="a"/>
    <w:pPr>
      <w:spacing w:line="256" w:lineRule="auto"/>
    </w:pPr>
    <w:rPr>
      <w:rFonts w:ascii="Aptos" w:hAnsi="Aptos" w:cs="Times New Roman"/>
    </w:rPr>
  </w:style>
  <w:style w:type="paragraph" w:styleId="ad">
    <w:name w:val="No Spacing"/>
    <w:link w:val="Char5"/>
    <w:uiPriority w:val="1"/>
    <w:qFormat/>
    <w:rsid w:val="007F3237"/>
    <w:pPr>
      <w:spacing w:after="0" w:line="240" w:lineRule="auto"/>
    </w:pPr>
    <w:rPr>
      <w:rFonts w:eastAsiaTheme="minorEastAsia"/>
      <w:kern w:val="0"/>
      <w14:ligatures w14:val="none"/>
    </w:rPr>
  </w:style>
  <w:style w:type="character" w:customStyle="1" w:styleId="Char5">
    <w:name w:val="Χωρίς διάστιχο Char"/>
    <w:basedOn w:val="a0"/>
    <w:link w:val="ad"/>
    <w:uiPriority w:val="1"/>
    <w:rsid w:val="007F3237"/>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cetaces.org/wp-content/uploads/2009/07/Panigada06_Rorqual-commun-collision.pdf" TargetMode="External"/><Relationship Id="rId21" Type="http://schemas.openxmlformats.org/officeDocument/2006/relationships/hyperlink" Target="https://doi.org/10.1016/j.biocon.2012.07.014" TargetMode="External"/><Relationship Id="rId42" Type="http://schemas.openxmlformats.org/officeDocument/2006/relationships/hyperlink" Target="https://rac-spa.org/sites/default/files/action_plans/p_a_cetaces_en.pdf" TargetMode="External"/><Relationship Id="rId63" Type="http://schemas.openxmlformats.org/officeDocument/2006/relationships/hyperlink" Target="https://accobams.org/wp-content/uploads/2019/12/Res.7.14_-Best-Practices-Strandings.pdf" TargetMode="External"/><Relationship Id="rId84" Type="http://schemas.openxmlformats.org/officeDocument/2006/relationships/hyperlink" Target="https://www.dbb-wolf.de/wolf-management/wolf-management/handling-of-hybrids" TargetMode="External"/><Relationship Id="rId138" Type="http://schemas.openxmlformats.org/officeDocument/2006/relationships/hyperlink" Target="https://vet.ed.ac.uk/clinical/large-animal/hospital/referral-cases/listeriosis" TargetMode="External"/><Relationship Id="rId159" Type="http://schemas.openxmlformats.org/officeDocument/2006/relationships/hyperlink" Target="https://www.google.com/search?q=https://doi.org/10.1016/j.chemosphere.2005.01.044" TargetMode="External"/><Relationship Id="rId170" Type="http://schemas.openxmlformats.org/officeDocument/2006/relationships/hyperlink" Target="https://www.google.com/search?q=https://www.vet.cam.ac.uk/files/media/SmallChamber.JPG.jpg" TargetMode="External"/><Relationship Id="rId191" Type="http://schemas.openxmlformats.org/officeDocument/2006/relationships/hyperlink" Target="https://digitalcommons.unl.edu/icwdm_usdanwrc/2743" TargetMode="External"/><Relationship Id="rId205" Type="http://schemas.openxmlformats.org/officeDocument/2006/relationships/hyperlink" Target="https://www.vet.cam.ac.uk/boas/research/respiratory-function-study?utm_source=chatgpt.com" TargetMode="External"/><Relationship Id="rId226" Type="http://schemas.openxmlformats.org/officeDocument/2006/relationships/hyperlink" Target="https://doi.org/10.3389/fvets.2018.00014" TargetMode="External"/><Relationship Id="rId247" Type="http://schemas.openxmlformats.org/officeDocument/2006/relationships/hyperlink" Target="https://doi.org/10.1038/nrdp.2016.90" TargetMode="External"/><Relationship Id="rId107" Type="http://schemas.openxmlformats.org/officeDocument/2006/relationships/hyperlink" Target="https://rac-spa.org/sites/default/files/action_plans/p_a_cetaces_en.pdf" TargetMode="External"/><Relationship Id="rId11" Type="http://schemas.openxmlformats.org/officeDocument/2006/relationships/hyperlink" Target="https://doi.org/10.1002/vrc2.29" TargetMode="External"/><Relationship Id="rId32" Type="http://schemas.openxmlformats.org/officeDocument/2006/relationships/hyperlink" Target="https://www.isprambiente.gov.it/" TargetMode="External"/><Relationship Id="rId53" Type="http://schemas.openxmlformats.org/officeDocument/2006/relationships/hyperlink" Target="https://www.researchgate.net/figure/Fatal-ship-strikes-recorded-in-the-Mediterranean-Sea-each-year_fig3_7068633" TargetMode="External"/><Relationship Id="rId74" Type="http://schemas.openxmlformats.org/officeDocument/2006/relationships/hyperlink" Target="https://www.google.com/search?q=https://www.oie.int/wahis_2/public/wahid.php/Diseaseinformation/statuslist" TargetMode="External"/><Relationship Id="rId128" Type="http://schemas.openxmlformats.org/officeDocument/2006/relationships/hyperlink" Target="https://accobams.org/wp-content/uploads/2019/12/Res.7.14_-Best-Practices-Strandings.pdf" TargetMode="External"/><Relationship Id="rId149" Type="http://schemas.openxmlformats.org/officeDocument/2006/relationships/hyperlink" Target="https://www.galinosvet.gr/veterinary-ingredients/doramectin" TargetMode="External"/><Relationship Id="rId5" Type="http://schemas.openxmlformats.org/officeDocument/2006/relationships/webSettings" Target="webSettings.xml"/><Relationship Id="rId95" Type="http://schemas.openxmlformats.org/officeDocument/2006/relationships/hyperlink" Target="https://www.cetaceos.org/" TargetMode="External"/><Relationship Id="rId160" Type="http://schemas.openxmlformats.org/officeDocument/2006/relationships/hyperlink" Target="https://www.google.com/search?q=https://doi.org/10.1007/s11270-025-09048-x" TargetMode="External"/><Relationship Id="rId181" Type="http://schemas.openxmlformats.org/officeDocument/2006/relationships/hyperlink" Target="https://doi.org/10.1016/j.neubiorev.2022.104962" TargetMode="External"/><Relationship Id="rId216" Type="http://schemas.openxmlformats.org/officeDocument/2006/relationships/hyperlink" Target="https://wildlifecrimeacademy.eu/a-world-of-threats-and-how-to-mitigate-them/" TargetMode="External"/><Relationship Id="rId237" Type="http://schemas.openxmlformats.org/officeDocument/2006/relationships/hyperlink" Target="https://doi.org/10.1093/jme/tjw031" TargetMode="External"/><Relationship Id="rId22" Type="http://schemas.openxmlformats.org/officeDocument/2006/relationships/hyperlink" Target="https://doi.org/10.1016/j.biocon.2016.05.006" TargetMode="External"/><Relationship Id="rId43" Type="http://schemas.openxmlformats.org/officeDocument/2006/relationships/hyperlink" Target="https://accobams.org/wp-content/uploads/2020/03/2002_Cetaceans-of-the-Mediterranean-and-Black-Seas-State-of-Knowledge-and-Conservation-Strategies.pdf" TargetMode="External"/><Relationship Id="rId64" Type="http://schemas.openxmlformats.org/officeDocument/2006/relationships/hyperlink" Target="https://www.cerema.fr/system/files/documents/2021/12/resume_rapport_etude_zmpv_en_20210728-1.pdf" TargetMode="External"/><Relationship Id="rId118" Type="http://schemas.openxmlformats.org/officeDocument/2006/relationships/hyperlink" Target="https://www.researchgate.net/figure/Fatal-ship-strikes-recorded-in-the-Mediterranean-Sea-each-year_fig3_7068633" TargetMode="External"/><Relationship Id="rId139" Type="http://schemas.openxmlformats.org/officeDocument/2006/relationships/hyperlink" Target="https://www.google.com/search?q=https://www.oie.int/wahis_2/public/wahid.php/Diseaseinformation/statuslist" TargetMode="External"/><Relationship Id="rId85" Type="http://schemas.openxmlformats.org/officeDocument/2006/relationships/hyperlink" Target="https://doi.org/10.1016/j.gecco.2021.e01572" TargetMode="External"/><Relationship Id="rId150" Type="http://schemas.openxmlformats.org/officeDocument/2006/relationships/hyperlink" Target="https://www.google.com/search?q=https://doi.org/10.1007/s00436-022-07529-0" TargetMode="External"/><Relationship Id="rId171" Type="http://schemas.openxmlformats.org/officeDocument/2006/relationships/hyperlink" Target="https://www.google.com/search?q=https://doi.org/10.1016/j.cvsm.2016.02.002" TargetMode="External"/><Relationship Id="rId192" Type="http://schemas.openxmlformats.org/officeDocument/2006/relationships/hyperlink" Target="https://www.bio-conferences.org/articles/bioconf/pdf/2025/02/bioconf_mblc2024_01013.pdf" TargetMode="External"/><Relationship Id="rId206" Type="http://schemas.openxmlformats.org/officeDocument/2006/relationships/hyperlink" Target="https://www.vet.cam.ac.uk/boas/about-boas/recognition-diagnosis" TargetMode="External"/><Relationship Id="rId227" Type="http://schemas.openxmlformats.org/officeDocument/2006/relationships/hyperlink" Target="https://iris.who.int/handle/10665/112678" TargetMode="External"/><Relationship Id="rId248" Type="http://schemas.openxmlformats.org/officeDocument/2006/relationships/hyperlink" Target="https://doi.org/10.1371/journal.pone.0000500" TargetMode="External"/><Relationship Id="rId12" Type="http://schemas.openxmlformats.org/officeDocument/2006/relationships/hyperlink" Target="https://doi.org/10.1016/j.tvjl.2018.09.014" TargetMode="External"/><Relationship Id="rId33" Type="http://schemas.openxmlformats.org/officeDocument/2006/relationships/hyperlink" Target="https://tudav.org/" TargetMode="External"/><Relationship Id="rId108" Type="http://schemas.openxmlformats.org/officeDocument/2006/relationships/hyperlink" Target="https://accobams.org/wp-content/uploads/2020/03/2002_Cetaceans-of-the-Mediterranean-and-Black-Seas-State-of-Knowledge-and-Conservation-Strategies.pdf" TargetMode="External"/><Relationship Id="rId129" Type="http://schemas.openxmlformats.org/officeDocument/2006/relationships/hyperlink" Target="https://www.cerema.fr/system/files/documents/2021/12/resume_rapport_etude_zmpv_en_20210728-1.pdf" TargetMode="External"/><Relationship Id="rId54" Type="http://schemas.openxmlformats.org/officeDocument/2006/relationships/hyperlink" Target="https://www.dolphinbiology.org/_download/literature/ActionPlan_Ceta_2010-2015_GR.pdf" TargetMode="External"/><Relationship Id="rId70" Type="http://schemas.openxmlformats.org/officeDocument/2006/relationships/hyperlink" Target="https://doi.org/10.1007/BF00294319" TargetMode="External"/><Relationship Id="rId75" Type="http://schemas.openxmlformats.org/officeDocument/2006/relationships/hyperlink" Target="http://www.galinosvet.gr/veterinary-ingredients/dexmedetomidine" TargetMode="External"/><Relationship Id="rId91" Type="http://schemas.openxmlformats.org/officeDocument/2006/relationships/hyperlink" Target="https://www.uniroma1.it/en/notizia/wolf-dog-hybridisation-europe-risk-biodiversity" TargetMode="External"/><Relationship Id="rId96" Type="http://schemas.openxmlformats.org/officeDocument/2006/relationships/hyperlink" Target="https://www.blue-world.org/" TargetMode="External"/><Relationship Id="rId140" Type="http://schemas.openxmlformats.org/officeDocument/2006/relationships/hyperlink" Target="http://www.galinosvet.gr/veterinary-ingredients/dexmedetomidine" TargetMode="External"/><Relationship Id="rId145" Type="http://schemas.openxmlformats.org/officeDocument/2006/relationships/hyperlink" Target="https://www.google.com/search?q=https://doi.org/10.2460/javma.21.03.0122" TargetMode="External"/><Relationship Id="rId161" Type="http://schemas.openxmlformats.org/officeDocument/2006/relationships/hyperlink" Target="https://www.who.int/publications/b/73317" TargetMode="External"/><Relationship Id="rId166" Type="http://schemas.openxmlformats.org/officeDocument/2006/relationships/hyperlink" Target="https://doi.org/10.1080/01652176.2003.9695151" TargetMode="External"/><Relationship Id="rId182" Type="http://schemas.openxmlformats.org/officeDocument/2006/relationships/hyperlink" Target="https://www.google.com/search?q=https://doi.org/10.1186/s12868-015-0221-z" TargetMode="External"/><Relationship Id="rId187" Type="http://schemas.openxmlformats.org/officeDocument/2006/relationships/hyperlink" Target="https://www.google.com/search?q=https://doi.org/10.1111/j.1939-1676.2007.0015.x" TargetMode="External"/><Relationship Id="rId217" Type="http://schemas.openxmlformats.org/officeDocument/2006/relationships/hyperlink" Target="https://drpress.org/ojs/index.php/HSET/article/view/13682" TargetMode="Externa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https://digitalcommons.unl.edu/icwdm_usdanwrc/2743" TargetMode="External"/><Relationship Id="rId233" Type="http://schemas.openxmlformats.org/officeDocument/2006/relationships/hyperlink" Target="https://doi.org/10.1016/j.ttbdis.2024.102388" TargetMode="External"/><Relationship Id="rId238" Type="http://schemas.openxmlformats.org/officeDocument/2006/relationships/hyperlink" Target="https://doi.org/10.1186/1756-3305-6-1" TargetMode="External"/><Relationship Id="rId254" Type="http://schemas.openxmlformats.org/officeDocument/2006/relationships/theme" Target="theme/theme1.xml"/><Relationship Id="rId23" Type="http://schemas.openxmlformats.org/officeDocument/2006/relationships/hyperlink" Target="https://wolf.org/wolf-info/basic-wolf-info/wolves-and-humans/wolf-dog-hybrids/" TargetMode="External"/><Relationship Id="rId28" Type="http://schemas.openxmlformats.org/officeDocument/2006/relationships/hyperlink" Target="https://niof-eg.com/" TargetMode="External"/><Relationship Id="rId49" Type="http://schemas.openxmlformats.org/officeDocument/2006/relationships/hyperlink" Target="https://www.dolphinbiology.org/_download/literature/ActionPlan_Ceta_2010-2015_GR.pdf" TargetMode="External"/><Relationship Id="rId114" Type="http://schemas.openxmlformats.org/officeDocument/2006/relationships/hyperlink" Target="https://www.dolphinbiology.org/_download/literature/ActionPlan_Ceta_2010-2015_GR.pdf" TargetMode="External"/><Relationship Id="rId119" Type="http://schemas.openxmlformats.org/officeDocument/2006/relationships/hyperlink" Target="https://www.dolphinbiology.org/_download/literature/ActionPlan_Ceta_2010-2015_GR.pdf" TargetMode="External"/><Relationship Id="rId44" Type="http://schemas.openxmlformats.org/officeDocument/2006/relationships/hyperlink" Target="https://arion.org.gr/" TargetMode="External"/><Relationship Id="rId60" Type="http://schemas.openxmlformats.org/officeDocument/2006/relationships/hyperlink" Target="https://www.google.com/search?q=https://www.frontiersin.org/journals/marinescience/articles/10.3389/fmars.2025.1713820/full" TargetMode="External"/><Relationship Id="rId65" Type="http://schemas.openxmlformats.org/officeDocument/2006/relationships/hyperlink" Target="https://friendofthesea.org/wp-content/uploads/Global-Update-2020_Whales-Ship-Strikes-Dossier.pdf" TargetMode="External"/><Relationship Id="rId81" Type="http://schemas.openxmlformats.org/officeDocument/2006/relationships/hyperlink" Target="https://doi.org/10.1186/s13028-017-0341-9" TargetMode="External"/><Relationship Id="rId86" Type="http://schemas.openxmlformats.org/officeDocument/2006/relationships/hyperlink" Target="https://doi.org/10.1016/j.biocon.2012.07.014" TargetMode="External"/><Relationship Id="rId130" Type="http://schemas.openxmlformats.org/officeDocument/2006/relationships/hyperlink" Target="https://friendofthesea.org/wp-content/uploads/Global-Update-2020_Whales-Ship-Strikes-Dossier.pdf" TargetMode="External"/><Relationship Id="rId135" Type="http://schemas.openxmlformats.org/officeDocument/2006/relationships/hyperlink" Target="https://doi.org/10.1007/BF00294319" TargetMode="External"/><Relationship Id="rId151" Type="http://schemas.openxmlformats.org/officeDocument/2006/relationships/hyperlink" Target="https://www.google.com/search?q=https://doi.org/10.1017/S0007485318000317" TargetMode="External"/><Relationship Id="rId156" Type="http://schemas.openxmlformats.org/officeDocument/2006/relationships/hyperlink" Target="https://www.google.com/search?q=https://doi.org/10.1016/j.envint.2013.07.017" TargetMode="External"/><Relationship Id="rId177" Type="http://schemas.openxmlformats.org/officeDocument/2006/relationships/hyperlink" Target="https://www.google.com/search?q=https://doi.org/10.1080/109158101317097746" TargetMode="External"/><Relationship Id="rId198" Type="http://schemas.openxmlformats.org/officeDocument/2006/relationships/hyperlink" Target="https://dailypharmanews.gr/epistimonika/perivallontiki-rypansi-oi-epistimones-piezoun-gia-pio-prasina-farmaka/?utm_source=chatgpt.com" TargetMode="External"/><Relationship Id="rId172" Type="http://schemas.openxmlformats.org/officeDocument/2006/relationships/hyperlink" Target="https://www.google.com/search?q=https://doi.org/10.1002/inpr.145" TargetMode="External"/><Relationship Id="rId193" Type="http://schemas.openxmlformats.org/officeDocument/2006/relationships/hyperlink" Target="https://www.google.com/search?q=https://doi.org/10.3390/ani11010124" TargetMode="External"/><Relationship Id="rId202" Type="http://schemas.openxmlformats.org/officeDocument/2006/relationships/hyperlink" Target="https://doi.org/10.1080/01652176.2003.9695151" TargetMode="External"/><Relationship Id="rId207" Type="http://schemas.openxmlformats.org/officeDocument/2006/relationships/hyperlink" Target="https://doi.org/10.1016/j.rvsc.2022.02.020" TargetMode="External"/><Relationship Id="rId223" Type="http://schemas.openxmlformats.org/officeDocument/2006/relationships/hyperlink" Target="https://doi.org/10.1186/s13071-020-04218-1" TargetMode="External"/><Relationship Id="rId228" Type="http://schemas.openxmlformats.org/officeDocument/2006/relationships/hyperlink" Target="https://doi.org/10.2903/sp.efsa.2020.EN-1881" TargetMode="External"/><Relationship Id="rId244" Type="http://schemas.openxmlformats.org/officeDocument/2006/relationships/hyperlink" Target="https://doi.org/10.1093/femsle/fnx244" TargetMode="External"/><Relationship Id="rId249" Type="http://schemas.openxmlformats.org/officeDocument/2006/relationships/hyperlink" Target="https://doi.org/10.3389/fvets.2024.1407271" TargetMode="External"/><Relationship Id="rId13" Type="http://schemas.openxmlformats.org/officeDocument/2006/relationships/hyperlink" Target="https://wagwalking.com" TargetMode="External"/><Relationship Id="rId18" Type="http://schemas.openxmlformats.org/officeDocument/2006/relationships/hyperlink" Target="https://rm.coe.int/inf45e-2022-wolf-assessment-bern-convention-2791-5979-4182-1-2/1680a7fa47" TargetMode="External"/><Relationship Id="rId39" Type="http://schemas.openxmlformats.org/officeDocument/2006/relationships/hyperlink" Target="https://pubmed.ncbi.nlm.nih.gov/35574848/" TargetMode="External"/><Relationship Id="rId109" Type="http://schemas.openxmlformats.org/officeDocument/2006/relationships/hyperlink" Target="https://arion.org.gr/" TargetMode="External"/><Relationship Id="rId34" Type="http://schemas.openxmlformats.org/officeDocument/2006/relationships/hyperlink" Target="https://accobams.org/documents-resolutions/resolutions/" TargetMode="External"/><Relationship Id="rId50" Type="http://schemas.openxmlformats.org/officeDocument/2006/relationships/hyperlink" Target="https://iwc.int/management-and-conservation/vessel-strikes" TargetMode="External"/><Relationship Id="rId55" Type="http://schemas.openxmlformats.org/officeDocument/2006/relationships/hyperlink" Target="https://www.medtrends.org/reports/MedTrends_CY-Report.pdf" TargetMode="External"/><Relationship Id="rId76" Type="http://schemas.openxmlformats.org/officeDocument/2006/relationships/hyperlink" Target="https://doi.org/10.1002/vms3.908" TargetMode="External"/><Relationship Id="rId97" Type="http://schemas.openxmlformats.org/officeDocument/2006/relationships/hyperlink" Target="https://www.isprambiente.gov.it/" TargetMode="External"/><Relationship Id="rId104" Type="http://schemas.openxmlformats.org/officeDocument/2006/relationships/hyperlink" Target="https://pubmed.ncbi.nlm.nih.gov/35574848/" TargetMode="External"/><Relationship Id="rId120" Type="http://schemas.openxmlformats.org/officeDocument/2006/relationships/hyperlink" Target="https://www.medtrends.org/reports/MedTrends_CY-Report.pdf" TargetMode="External"/><Relationship Id="rId125" Type="http://schemas.openxmlformats.org/officeDocument/2006/relationships/hyperlink" Target="https://www.google.com/search?q=https://www.frontiersin.org/journals/marinescience/articles/10.3389/fmars.2025.1713820/full" TargetMode="External"/><Relationship Id="rId141" Type="http://schemas.openxmlformats.org/officeDocument/2006/relationships/hyperlink" Target="http://www.galinosvet.gr/veterinary-ingredients/methadone" TargetMode="External"/><Relationship Id="rId146" Type="http://schemas.openxmlformats.org/officeDocument/2006/relationships/hyperlink" Target="https://www.google.com/search?q=https://doi.org/10.1053/j.jepm.2022.09.003" TargetMode="External"/><Relationship Id="rId167" Type="http://schemas.openxmlformats.org/officeDocument/2006/relationships/hyperlink" Target="https://doi.org/10.1111/imm.12377" TargetMode="External"/><Relationship Id="rId188" Type="http://schemas.openxmlformats.org/officeDocument/2006/relationships/hyperlink" Target="https://doi.org/10.1016/j.jvc.2005.07.003" TargetMode="External"/><Relationship Id="rId7" Type="http://schemas.openxmlformats.org/officeDocument/2006/relationships/endnotes" Target="endnotes.xml"/><Relationship Id="rId71" Type="http://schemas.openxmlformats.org/officeDocument/2006/relationships/hyperlink" Target="https://doi.org/10.1371/journal.ppat.1013400" TargetMode="External"/><Relationship Id="rId92" Type="http://schemas.openxmlformats.org/officeDocument/2006/relationships/hyperlink" Target="https://vgl.ucdavis.edu/test/wolf-hybrid" TargetMode="External"/><Relationship Id="rId162" Type="http://schemas.openxmlformats.org/officeDocument/2006/relationships/hyperlink" Target="https://www.google.com/search?q=https://ir.lib.uth.gr/xmlui/bitstream/handle/11615/59329/25539.pdf" TargetMode="External"/><Relationship Id="rId183" Type="http://schemas.openxmlformats.org/officeDocument/2006/relationships/hyperlink" Target="https://www.google.com/search?q=https://doi.org/10.1038/s41467-025-58560-5" TargetMode="External"/><Relationship Id="rId213" Type="http://schemas.openxmlformats.org/officeDocument/2006/relationships/hyperlink" Target="https://www.bio-conferences.org/articles/bioconf/pdf/2025/02/bioconf_mblc2024_01013.pdf" TargetMode="External"/><Relationship Id="rId218" Type="http://schemas.openxmlformats.org/officeDocument/2006/relationships/hyperlink" Target="https://doi.org/10.3390/vetsci10110661" TargetMode="External"/><Relationship Id="rId234" Type="http://schemas.openxmlformats.org/officeDocument/2006/relationships/hyperlink" Target="https://doi.org/10.3390/pathogens13100836" TargetMode="External"/><Relationship Id="rId239" Type="http://schemas.openxmlformats.org/officeDocument/2006/relationships/hyperlink" Target="https://doi.org/10.3390/vetsci9080387" TargetMode="External"/><Relationship Id="rId2" Type="http://schemas.openxmlformats.org/officeDocument/2006/relationships/numbering" Target="numbering.xml"/><Relationship Id="rId29" Type="http://schemas.openxmlformats.org/officeDocument/2006/relationships/hyperlink" Target="https://www.cemma.org/" TargetMode="External"/><Relationship Id="rId250" Type="http://schemas.openxmlformats.org/officeDocument/2006/relationships/hyperlink" Target="https://doi.org/10.1089/vbz.2009.0116" TargetMode="External"/><Relationship Id="rId24" Type="http://schemas.openxmlformats.org/officeDocument/2006/relationships/hyperlink" Target="https://www.nationalgeographic.com/animals/article/wolfdogs-pets-hybrids-europe-illegal-conservation" TargetMode="External"/><Relationship Id="rId40" Type="http://schemas.openxmlformats.org/officeDocument/2006/relationships/hyperlink" Target="https://www.geomar.de/en/news/article/what-climate-change-means-for-the-mediterranean-sea" TargetMode="External"/><Relationship Id="rId45" Type="http://schemas.openxmlformats.org/officeDocument/2006/relationships/hyperlink" Target="https://www.oceancare.org/wp-content/uploads/2023/07/UNDER-PRESSURE_Chapter-04_strandings_low-res_web.pdf" TargetMode="External"/><Relationship Id="rId66" Type="http://schemas.openxmlformats.org/officeDocument/2006/relationships/hyperlink" Target="https://accobams.org/wp-content/uploads/2021/09/SC14.Doc26_Addressing-mortalities-and-injuries-to-cetaceans-from-ship-strikes-in-the-Mediterranean.pdf" TargetMode="External"/><Relationship Id="rId87" Type="http://schemas.openxmlformats.org/officeDocument/2006/relationships/hyperlink" Target="https://doi.org/10.1016/j.biocon.2016.05.006" TargetMode="External"/><Relationship Id="rId110" Type="http://schemas.openxmlformats.org/officeDocument/2006/relationships/hyperlink" Target="https://www.oceancare.org/wp-content/uploads/2023/07/UNDER-PRESSURE_Chapter-04_strandings_low-res_web.pdf" TargetMode="External"/><Relationship Id="rId115" Type="http://schemas.openxmlformats.org/officeDocument/2006/relationships/hyperlink" Target="https://iwc.int/management-and-conservation/vessel-strikes" TargetMode="External"/><Relationship Id="rId131" Type="http://schemas.openxmlformats.org/officeDocument/2006/relationships/hyperlink" Target="https://accobams.org/wp-content/uploads/2021/09/SC14.Doc26_Addressing-mortalities-and-injuries-to-cetaceans-from-ship-strikes-in-the-Mediterranean.pdf" TargetMode="External"/><Relationship Id="rId136" Type="http://schemas.openxmlformats.org/officeDocument/2006/relationships/hyperlink" Target="https://doi.org/10.1371/journal.ppat.1013400" TargetMode="External"/><Relationship Id="rId157" Type="http://schemas.openxmlformats.org/officeDocument/2006/relationships/hyperlink" Target="https://www.google.com/search?q=https://doi.org/10.1016/j.etap.2019.103262" TargetMode="External"/><Relationship Id="rId178" Type="http://schemas.openxmlformats.org/officeDocument/2006/relationships/hyperlink" Target="https://doi.org/10.1111/bph.14761" TargetMode="External"/><Relationship Id="rId61" Type="http://schemas.openxmlformats.org/officeDocument/2006/relationships/hyperlink" Target="https://epublishing.ekt.gr/sites/ektpublishing/files/ebooks/Monograph_06_Cetaceans_of_the_Greek_Seas.pdf" TargetMode="External"/><Relationship Id="rId82" Type="http://schemas.openxmlformats.org/officeDocument/2006/relationships/hyperlink" Target="https://doi.org/10.1111/j.1532-950X.2008.00413.x" TargetMode="External"/><Relationship Id="rId152" Type="http://schemas.openxmlformats.org/officeDocument/2006/relationships/hyperlink" Target="https://www.google.com/search?q=https://parasitipedia.net/index.php%3FItemid%3D3202%26id%3D2839%26option%3Dcom_content%26view%3Darticle" TargetMode="External"/><Relationship Id="rId173" Type="http://schemas.openxmlformats.org/officeDocument/2006/relationships/hyperlink" Target="https://www.google.com/search?q=https://doi.org/10.1136/vr.k1403" TargetMode="External"/><Relationship Id="rId194" Type="http://schemas.openxmlformats.org/officeDocument/2006/relationships/hyperlink" Target="https://pmc.ncbi.nlm.nih.gov/articles/PMC9004616/" TargetMode="External"/><Relationship Id="rId199" Type="http://schemas.openxmlformats.org/officeDocument/2006/relationships/hyperlink" Target="https://doi.org/10.1101/2025.03.20.644438" TargetMode="External"/><Relationship Id="rId203" Type="http://schemas.openxmlformats.org/officeDocument/2006/relationships/hyperlink" Target="https://doi.org/10.1111/imm.12377" TargetMode="External"/><Relationship Id="rId208" Type="http://schemas.openxmlformats.org/officeDocument/2006/relationships/hyperlink" Target="https://doi.org/10.1111/vco.12388" TargetMode="External"/><Relationship Id="rId229" Type="http://schemas.openxmlformats.org/officeDocument/2006/relationships/hyperlink" Target="https://doi.org/10.1007/s15010-025-02345-x" TargetMode="External"/><Relationship Id="rId19" Type="http://schemas.openxmlformats.org/officeDocument/2006/relationships/hyperlink" Target="https://www.dbb-wolf.de/wolf-management/wolf-management/handling-of-hybrids" TargetMode="External"/><Relationship Id="rId224" Type="http://schemas.openxmlformats.org/officeDocument/2006/relationships/hyperlink" Target="https://doi.org/10.3390/pathogens14090950" TargetMode="External"/><Relationship Id="rId240" Type="http://schemas.openxmlformats.org/officeDocument/2006/relationships/hyperlink" Target="https://doi.org/10.2807/1560-7917.es.2020.25.32.1900543" TargetMode="External"/><Relationship Id="rId245" Type="http://schemas.openxmlformats.org/officeDocument/2006/relationships/hyperlink" Target="https://doi.org/10.1016/j.jfma.2025.04.012" TargetMode="External"/><Relationship Id="rId14" Type="http://schemas.openxmlformats.org/officeDocument/2006/relationships/hyperlink" Target="https://www.msdvetmanual.com" TargetMode="External"/><Relationship Id="rId30" Type="http://schemas.openxmlformats.org/officeDocument/2006/relationships/hyperlink" Target="https://www.cetaceos.org/" TargetMode="External"/><Relationship Id="rId35" Type="http://schemas.openxmlformats.org/officeDocument/2006/relationships/hyperlink" Target="https://accobams.org/wp-content/uploads/2020/07/MOP6.Inf27_Review-_functionning_MEDACES-1.pdf" TargetMode="External"/><Relationship Id="rId56" Type="http://schemas.openxmlformats.org/officeDocument/2006/relationships/hyperlink" Target="http://www.pelagosinstitute.gr/gr/ekpaidefsi/pdf/Egcheirido_Thalassa.pdf" TargetMode="External"/><Relationship Id="rId77" Type="http://schemas.openxmlformats.org/officeDocument/2006/relationships/hyperlink" Target="https://doi.org/10.1002/vrc2.29" TargetMode="External"/><Relationship Id="rId100" Type="http://schemas.openxmlformats.org/officeDocument/2006/relationships/hyperlink" Target="https://accobams.org/wp-content/uploads/2020/07/MOP6.Inf27_Review-_functionning_MEDACES-1.pdf" TargetMode="External"/><Relationship Id="rId105" Type="http://schemas.openxmlformats.org/officeDocument/2006/relationships/hyperlink" Target="https://www.geomar.de/en/news/article/what-climate-change-means-for-the-mediterranean-sea" TargetMode="External"/><Relationship Id="rId126" Type="http://schemas.openxmlformats.org/officeDocument/2006/relationships/hyperlink" Target="https://epublishing.ekt.gr/sites/ektpublishing/files/ebooks/Monograph_06_Cetaceans_of_the_Greek_Seas.pdf" TargetMode="External"/><Relationship Id="rId147" Type="http://schemas.openxmlformats.org/officeDocument/2006/relationships/hyperlink" Target="https://www.google.com/search?q=https://doi.org/10.1371/journal.pone.0320867" TargetMode="External"/><Relationship Id="rId168" Type="http://schemas.openxmlformats.org/officeDocument/2006/relationships/hyperlink" Target="https://www.vet.cam.ac.uk/boas/research/respiratory-function-study" TargetMode="External"/><Relationship Id="rId8" Type="http://schemas.openxmlformats.org/officeDocument/2006/relationships/image" Target="media/image1.png"/><Relationship Id="rId51" Type="http://schemas.openxmlformats.org/officeDocument/2006/relationships/hyperlink" Target="https://www.sciencedirect.com/science/article/pii/S0964569123000108" TargetMode="External"/><Relationship Id="rId72" Type="http://schemas.openxmlformats.org/officeDocument/2006/relationships/hyperlink" Target="https://www.flockandherd.net.au/sheep/reader/listeriosis.html" TargetMode="External"/><Relationship Id="rId93" Type="http://schemas.openxmlformats.org/officeDocument/2006/relationships/hyperlink" Target="https://niof-eg.com/" TargetMode="External"/><Relationship Id="rId98" Type="http://schemas.openxmlformats.org/officeDocument/2006/relationships/hyperlink" Target="https://tudav.org/" TargetMode="External"/><Relationship Id="rId121" Type="http://schemas.openxmlformats.org/officeDocument/2006/relationships/hyperlink" Target="http://www.pelagosinstitute.gr/gr/ekpaidefsi/pdf/Egcheirido_Thalassa.pdf" TargetMode="External"/><Relationship Id="rId142" Type="http://schemas.openxmlformats.org/officeDocument/2006/relationships/hyperlink" Target="https://www.google.com/search?q=https://doi.org/10.1177/10406387241261066" TargetMode="External"/><Relationship Id="rId163" Type="http://schemas.openxmlformats.org/officeDocument/2006/relationships/hyperlink" Target="https://doi.org/10.1101/2025.03.20.644438" TargetMode="External"/><Relationship Id="rId184" Type="http://schemas.openxmlformats.org/officeDocument/2006/relationships/hyperlink" Target="https://www.google.com/search?q=https://doi.org/10.1242/dmm.049313" TargetMode="External"/><Relationship Id="rId189" Type="http://schemas.openxmlformats.org/officeDocument/2006/relationships/hyperlink" Target="https://www.google.com/search?q=https://doi.org/10.1016/j.tvjl.2020.105549" TargetMode="External"/><Relationship Id="rId219" Type="http://schemas.openxmlformats.org/officeDocument/2006/relationships/hyperlink" Target="https://doi.org/10.1051/parasite/2017042" TargetMode="External"/><Relationship Id="rId3" Type="http://schemas.openxmlformats.org/officeDocument/2006/relationships/styles" Target="styles.xml"/><Relationship Id="rId214" Type="http://schemas.openxmlformats.org/officeDocument/2006/relationships/hyperlink" Target="https://pmc.ncbi.nlm.nih.gov/articles/PMC9004616/" TargetMode="External"/><Relationship Id="rId230" Type="http://schemas.openxmlformats.org/officeDocument/2006/relationships/hyperlink" Target="https://doi.org/10.3390/pathogens14111115" TargetMode="External"/><Relationship Id="rId235" Type="http://schemas.openxmlformats.org/officeDocument/2006/relationships/hyperlink" Target="https://doi.org/10.1007/s00704-016-1990-8" TargetMode="External"/><Relationship Id="rId251" Type="http://schemas.openxmlformats.org/officeDocument/2006/relationships/hyperlink" Target="https://doi.org/10.1371/journal.pone.0204844" TargetMode="External"/><Relationship Id="rId25" Type="http://schemas.openxmlformats.org/officeDocument/2006/relationships/hyperlink" Target="https://doi.org/10.1111/mec.12849" TargetMode="External"/><Relationship Id="rId46" Type="http://schemas.openxmlformats.org/officeDocument/2006/relationships/hyperlink" Target="https://www.cerema.fr/system/files/documents/2021/12/resume_rapport_etude_zmpv_en_20210728-1.pdf" TargetMode="External"/><Relationship Id="rId67" Type="http://schemas.openxmlformats.org/officeDocument/2006/relationships/hyperlink" Target="https://ebulletin.mepielan.gr/articles/2024/the-north-western-mediterranean-particularly-sensitive-sea-area/" TargetMode="External"/><Relationship Id="rId116" Type="http://schemas.openxmlformats.org/officeDocument/2006/relationships/hyperlink" Target="https://www.sciencedirect.com/science/article/pii/S0964569123000108" TargetMode="External"/><Relationship Id="rId137" Type="http://schemas.openxmlformats.org/officeDocument/2006/relationships/hyperlink" Target="https://www.flockandherd.net.au/sheep/reader/listeriosis.html" TargetMode="External"/><Relationship Id="rId158" Type="http://schemas.openxmlformats.org/officeDocument/2006/relationships/hyperlink" Target="https://www.google.com/search?q=https://doi.org/10.1016/S0020-7519(96)00123-3" TargetMode="External"/><Relationship Id="rId20" Type="http://schemas.openxmlformats.org/officeDocument/2006/relationships/hyperlink" Target="https://doi.org/10.1016/j.gecco.2021.e01572" TargetMode="External"/><Relationship Id="rId41" Type="http://schemas.openxmlformats.org/officeDocument/2006/relationships/hyperlink" Target="https://www.ogs.it/en/news/climate-change-disrupts-mediterranean-seafloor-ecosystems-threatening-hundreds-species" TargetMode="External"/><Relationship Id="rId62" Type="http://schemas.openxmlformats.org/officeDocument/2006/relationships/hyperlink" Target="https://www.researchgate.net/publication/250221801_Overfishing_and_the_disappearance_of_short-beaked_common_dolphins_from_western_Greece" TargetMode="External"/><Relationship Id="rId83" Type="http://schemas.openxmlformats.org/officeDocument/2006/relationships/hyperlink" Target="https://rm.coe.int/inf45e-2022-wolf-assessment-bern-convention-2791-5979-4182-1-2/1680a7fa47" TargetMode="External"/><Relationship Id="rId88" Type="http://schemas.openxmlformats.org/officeDocument/2006/relationships/hyperlink" Target="https://wolf.org/wolf-info/basic-wolf-info/wolves-and-humans/wolf-dog-hybrids/" TargetMode="External"/><Relationship Id="rId111" Type="http://schemas.openxmlformats.org/officeDocument/2006/relationships/hyperlink" Target="https://www.cerema.fr/system/files/documents/2021/12/resume_rapport_etude_zmpv_en_20210728-1.pdf" TargetMode="External"/><Relationship Id="rId132" Type="http://schemas.openxmlformats.org/officeDocument/2006/relationships/hyperlink" Target="https://ebulletin.mepielan.gr/articles/2024/the-north-western-mediterranean-particularly-sensitive-sea-area/" TargetMode="External"/><Relationship Id="rId153" Type="http://schemas.openxmlformats.org/officeDocument/2006/relationships/hyperlink" Target="https://parasitipedia.net/index.php?option=com_content&amp;view=article&amp;id=2670&amp;Itemid=2981" TargetMode="External"/><Relationship Id="rId174" Type="http://schemas.openxmlformats.org/officeDocument/2006/relationships/hyperlink" Target="https://www.google.com/search?q=https://doi.org/10.1111/avj.12926" TargetMode="External"/><Relationship Id="rId179" Type="http://schemas.openxmlformats.org/officeDocument/2006/relationships/hyperlink" Target="https://www.google.com/search?q=https://doi.org/10.1242/dmm.049337" TargetMode="External"/><Relationship Id="rId195" Type="http://schemas.openxmlformats.org/officeDocument/2006/relationships/hyperlink" Target="https://www.google.com/search?q=https://doi.org/10.1017/S0959270900002239" TargetMode="External"/><Relationship Id="rId209" Type="http://schemas.openxmlformats.org/officeDocument/2006/relationships/hyperlink" Target="https://doi.org/10.1080/01652176.2003.9695151" TargetMode="External"/><Relationship Id="rId190" Type="http://schemas.openxmlformats.org/officeDocument/2006/relationships/hyperlink" Target="https://www.google.com/search?q=https://doi.org/10.1186/s13059-015-0780-4" TargetMode="External"/><Relationship Id="rId204" Type="http://schemas.openxmlformats.org/officeDocument/2006/relationships/hyperlink" Target="https://doi.org/10.1101/2025.03.20.644438" TargetMode="External"/><Relationship Id="rId220" Type="http://schemas.openxmlformats.org/officeDocument/2006/relationships/hyperlink" Target="http://beyond-eocenter.eu/index.php/web-services/eywa" TargetMode="External"/><Relationship Id="rId225" Type="http://schemas.openxmlformats.org/officeDocument/2006/relationships/hyperlink" Target="https://doi.org/10.1007/s00436-022-07559-0" TargetMode="External"/><Relationship Id="rId241" Type="http://schemas.openxmlformats.org/officeDocument/2006/relationships/hyperlink" Target="https://doi.org/10.1016/j.ijid.2025.108038" TargetMode="External"/><Relationship Id="rId246" Type="http://schemas.openxmlformats.org/officeDocument/2006/relationships/hyperlink" Target="https://doi.org/10.6001/biologija.v66i4.4348" TargetMode="External"/><Relationship Id="rId15" Type="http://schemas.openxmlformats.org/officeDocument/2006/relationships/hyperlink" Target="https://doi.org/10.1186/s13028-017-0341-9" TargetMode="External"/><Relationship Id="rId36" Type="http://schemas.openxmlformats.org/officeDocument/2006/relationships/hyperlink" Target="https://ypen.gov.gr/perivallon/dasi/efarmogi-symvasis-cites/" TargetMode="External"/><Relationship Id="rId57" Type="http://schemas.openxmlformats.org/officeDocument/2006/relationships/hyperlink" Target="https://www.frontiersin.org/journals/marine-science/articles/10.3389/fmars.2024.1364527/full" TargetMode="External"/><Relationship Id="rId106" Type="http://schemas.openxmlformats.org/officeDocument/2006/relationships/hyperlink" Target="https://www.ogs.it/en/news/climate-change-disrupts-mediterranean-seafloor-ecosystems-threatening-hundreds-species" TargetMode="External"/><Relationship Id="rId127" Type="http://schemas.openxmlformats.org/officeDocument/2006/relationships/hyperlink" Target="https://www.researchgate.net/publication/250221801_Overfishing_and_the_disappearance_of_short-beaked_common_dolphins_from_western_Greece" TargetMode="External"/><Relationship Id="rId10" Type="http://schemas.openxmlformats.org/officeDocument/2006/relationships/hyperlink" Target="https://doi.org/10.1002/vms3.908" TargetMode="External"/><Relationship Id="rId31" Type="http://schemas.openxmlformats.org/officeDocument/2006/relationships/hyperlink" Target="https://www.blue-world.org/" TargetMode="External"/><Relationship Id="rId52" Type="http://schemas.openxmlformats.org/officeDocument/2006/relationships/hyperlink" Target="https://www.cetaces.org/wp-content/uploads/2009/07/Panigada06_Rorqual-commun-collision.pdf" TargetMode="External"/><Relationship Id="rId73" Type="http://schemas.openxmlformats.org/officeDocument/2006/relationships/hyperlink" Target="https://vet.ed.ac.uk/clinical/large-animal/hospital/referral-cases/listeriosis" TargetMode="External"/><Relationship Id="rId78" Type="http://schemas.openxmlformats.org/officeDocument/2006/relationships/hyperlink" Target="https://doi.org/10.1016/j.tvjl.2018.09.014" TargetMode="External"/><Relationship Id="rId94" Type="http://schemas.openxmlformats.org/officeDocument/2006/relationships/hyperlink" Target="https://www.cemma.org/" TargetMode="External"/><Relationship Id="rId99" Type="http://schemas.openxmlformats.org/officeDocument/2006/relationships/hyperlink" Target="https://accobams.org/documents-resolutions/resolutions/" TargetMode="External"/><Relationship Id="rId101" Type="http://schemas.openxmlformats.org/officeDocument/2006/relationships/hyperlink" Target="https://ypen.gov.gr/perivallon/dasi/efarmogi-symvasis-cites/" TargetMode="External"/><Relationship Id="rId122" Type="http://schemas.openxmlformats.org/officeDocument/2006/relationships/hyperlink" Target="https://www.frontiersin.org/journals/marine-science/articles/10.3389/fmars.2024.1364527/full" TargetMode="External"/><Relationship Id="rId143" Type="http://schemas.openxmlformats.org/officeDocument/2006/relationships/hyperlink" Target="https://www.google.com/search?q=https://doi.org/10.1016/j.cvex.2025.12.006" TargetMode="External"/><Relationship Id="rId148" Type="http://schemas.openxmlformats.org/officeDocument/2006/relationships/hyperlink" Target="https://kcoa-africa.org/how-to-naturally-control-parasite-in-organic-cattles/" TargetMode="External"/><Relationship Id="rId164" Type="http://schemas.openxmlformats.org/officeDocument/2006/relationships/hyperlink" Target="https://doi.org/10.1016/j.rvsc.2022.02.020" TargetMode="External"/><Relationship Id="rId169" Type="http://schemas.openxmlformats.org/officeDocument/2006/relationships/hyperlink" Target="https://www.vet.cam.ac.uk/boas/about-boas/recognition-diagnosis" TargetMode="External"/><Relationship Id="rId185" Type="http://schemas.openxmlformats.org/officeDocument/2006/relationships/hyperlink" Target="https://www.google.com/search?q=https://pubmed.ncbi.nlm.nih.gov/38304475"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www.google.com/search?q=https://blogs.sjsu.edu/sciencepolicy/2014/07/27/female-lab-rats-are-also-underrepresented-in-science/" TargetMode="External"/><Relationship Id="rId210" Type="http://schemas.openxmlformats.org/officeDocument/2006/relationships/hyperlink" Target="https://doi.org/10.1111/imm.12377" TargetMode="External"/><Relationship Id="rId215" Type="http://schemas.openxmlformats.org/officeDocument/2006/relationships/hyperlink" Target="https://doi.org/10.1017/S0959270900002239" TargetMode="External"/><Relationship Id="rId236" Type="http://schemas.openxmlformats.org/officeDocument/2006/relationships/hyperlink" Target="https://doi.org/10.1007/s10272-022-1077-z" TargetMode="External"/><Relationship Id="rId26" Type="http://schemas.openxmlformats.org/officeDocument/2006/relationships/hyperlink" Target="https://www.uniroma1.it/en/notizia/wolf-dog-hybridisation-europe-risk-biodiversity" TargetMode="External"/><Relationship Id="rId231" Type="http://schemas.openxmlformats.org/officeDocument/2006/relationships/hyperlink" Target="https://doi.org/10.2807/1560-7917.es.2017.22.18.30526" TargetMode="External"/><Relationship Id="rId252" Type="http://schemas.openxmlformats.org/officeDocument/2006/relationships/footer" Target="footer1.xml"/><Relationship Id="rId47" Type="http://schemas.openxmlformats.org/officeDocument/2006/relationships/hyperlink" Target="https://www.isprambiente.gov.it/en/news/climate-change-and-cetaceans-in-the-mediterranean-a-strong-reduction-in-the-conditions-suitable" TargetMode="External"/><Relationship Id="rId68" Type="http://schemas.openxmlformats.org/officeDocument/2006/relationships/hyperlink" Target="https://doi.org/10.1038/s41586-020-2812-9" TargetMode="External"/><Relationship Id="rId89" Type="http://schemas.openxmlformats.org/officeDocument/2006/relationships/hyperlink" Target="https://www.nationalgeographic.com/animals/article/wolfdogs-pets-hybrids-europe-illegal-conservation" TargetMode="External"/><Relationship Id="rId112" Type="http://schemas.openxmlformats.org/officeDocument/2006/relationships/hyperlink" Target="https://www.isprambiente.gov.it/en/news/climate-change-and-cetaceans-in-the-mediterranean-a-strong-reduction-in-the-conditions-suitable" TargetMode="External"/><Relationship Id="rId133" Type="http://schemas.openxmlformats.org/officeDocument/2006/relationships/hyperlink" Target="https://doi.org/10.1038/s41586-020-2812-9" TargetMode="External"/><Relationship Id="rId154" Type="http://schemas.openxmlformats.org/officeDocument/2006/relationships/hyperlink" Target="https://parasitipedia.net/index.php?option=com_content&amp;view=article&amp;id=2450&amp;Itemid=2718" TargetMode="External"/><Relationship Id="rId175" Type="http://schemas.openxmlformats.org/officeDocument/2006/relationships/hyperlink" Target="https://www.google.com/search?q=https://doi.org/10.1111/vsu.14131" TargetMode="External"/><Relationship Id="rId196" Type="http://schemas.openxmlformats.org/officeDocument/2006/relationships/hyperlink" Target="https://4vultures.org/life-aegypius-return/" TargetMode="External"/><Relationship Id="rId200" Type="http://schemas.openxmlformats.org/officeDocument/2006/relationships/hyperlink" Target="https://doi.org/10.1016/j.rvsc.2022.02.020" TargetMode="External"/><Relationship Id="rId16" Type="http://schemas.openxmlformats.org/officeDocument/2006/relationships/hyperlink" Target="https://doi.org/10.1111/j.1532-950X.2008.00413.x" TargetMode="External"/><Relationship Id="rId221" Type="http://schemas.openxmlformats.org/officeDocument/2006/relationships/hyperlink" Target="https://doi.org/10.1089/vbz.2022.0070" TargetMode="External"/><Relationship Id="rId242" Type="http://schemas.openxmlformats.org/officeDocument/2006/relationships/hyperlink" Target="https://doi.org/10.3389/fpubh.2014.00251" TargetMode="External"/><Relationship Id="rId37" Type="http://schemas.openxmlformats.org/officeDocument/2006/relationships/hyperlink" Target="https://www.ascobans.org/sites/default/files/document/ascobans_ac25_inf.2.4_monitoring-marine-mammals-strandings-french-coast.pdf" TargetMode="External"/><Relationship Id="rId58" Type="http://schemas.openxmlformats.org/officeDocument/2006/relationships/hyperlink" Target="https://www.frontiersin.org/journals/marine-science/articles/10.3389/fmars.2022.867287/full" TargetMode="External"/><Relationship Id="rId79" Type="http://schemas.openxmlformats.org/officeDocument/2006/relationships/hyperlink" Target="https://wagwalking.com" TargetMode="External"/><Relationship Id="rId102" Type="http://schemas.openxmlformats.org/officeDocument/2006/relationships/hyperlink" Target="https://www.ascobans.org/sites/default/files/document/ascobans_ac25_inf.2.4_monitoring-marine-mammals-strandings-french-coast.pdf" TargetMode="External"/><Relationship Id="rId123" Type="http://schemas.openxmlformats.org/officeDocument/2006/relationships/hyperlink" Target="https://www.frontiersin.org/journals/marine-science/articles/10.3389/fmars.2022.867287/full" TargetMode="External"/><Relationship Id="rId144" Type="http://schemas.openxmlformats.org/officeDocument/2006/relationships/hyperlink" Target="https://www.google.com/search?q=https://doi.org/10.1292/jvms.23-0149" TargetMode="External"/><Relationship Id="rId90" Type="http://schemas.openxmlformats.org/officeDocument/2006/relationships/hyperlink" Target="https://doi.org/10.1111/mec.12849" TargetMode="External"/><Relationship Id="rId165" Type="http://schemas.openxmlformats.org/officeDocument/2006/relationships/hyperlink" Target="https://doi.org/10.1111/vco.12388" TargetMode="External"/><Relationship Id="rId186" Type="http://schemas.openxmlformats.org/officeDocument/2006/relationships/hyperlink" Target="https://www.google.com/search?q=https://doi.org/10.1016/j.hrthm.2008.02.042" TargetMode="External"/><Relationship Id="rId211" Type="http://schemas.openxmlformats.org/officeDocument/2006/relationships/hyperlink" Target="https://doi.org/10.1186/s13059-015-0780-4" TargetMode="External"/><Relationship Id="rId232" Type="http://schemas.openxmlformats.org/officeDocument/2006/relationships/hyperlink" Target="https://doi.org/10.1155/2009/593232" TargetMode="External"/><Relationship Id="rId253" Type="http://schemas.openxmlformats.org/officeDocument/2006/relationships/fontTable" Target="fontTable.xml"/><Relationship Id="rId27" Type="http://schemas.openxmlformats.org/officeDocument/2006/relationships/hyperlink" Target="https://vgl.ucdavis.edu/test/wolf-hybrid" TargetMode="External"/><Relationship Id="rId48" Type="http://schemas.openxmlformats.org/officeDocument/2006/relationships/hyperlink" Target="https://iwc.int/management-and-conservation/vessel-strikes" TargetMode="External"/><Relationship Id="rId69" Type="http://schemas.openxmlformats.org/officeDocument/2006/relationships/hyperlink" Target="https://doi.org/10.1016/0021-9975(92)90015-M" TargetMode="External"/><Relationship Id="rId113" Type="http://schemas.openxmlformats.org/officeDocument/2006/relationships/hyperlink" Target="https://iwc.int/management-and-conservation/vessel-strikes" TargetMode="External"/><Relationship Id="rId134" Type="http://schemas.openxmlformats.org/officeDocument/2006/relationships/hyperlink" Target="https://doi.org/10.1016/0021-9975(92)90015-M" TargetMode="External"/><Relationship Id="rId80" Type="http://schemas.openxmlformats.org/officeDocument/2006/relationships/hyperlink" Target="https://www.msdvetmanual.com" TargetMode="External"/><Relationship Id="rId155" Type="http://schemas.openxmlformats.org/officeDocument/2006/relationships/hyperlink" Target="https://www.google.com/search?q=https://doi.org/10.1016/j.envpol.2007.02.011" TargetMode="External"/><Relationship Id="rId176" Type="http://schemas.openxmlformats.org/officeDocument/2006/relationships/hyperlink" Target="https://www.google.com/search?q=https://doi.org/10.3390/ph16060786" TargetMode="External"/><Relationship Id="rId197" Type="http://schemas.openxmlformats.org/officeDocument/2006/relationships/hyperlink" Target="https://wildlifecrimeacademy.eu/a-world-of-threats-and-how-to-mitigate-them/" TargetMode="External"/><Relationship Id="rId201" Type="http://schemas.openxmlformats.org/officeDocument/2006/relationships/hyperlink" Target="https://doi.org/10.1111/vco.12388" TargetMode="External"/><Relationship Id="rId222" Type="http://schemas.openxmlformats.org/officeDocument/2006/relationships/hyperlink" Target="https://doi.org/10.3390/insects14110868" TargetMode="External"/><Relationship Id="rId243" Type="http://schemas.openxmlformats.org/officeDocument/2006/relationships/hyperlink" Target="https://doi.org/10.1186/s13071-016-1736-6" TargetMode="External"/><Relationship Id="rId17" Type="http://schemas.openxmlformats.org/officeDocument/2006/relationships/hyperlink" Target="https://doi.org/10.1053/j.jepm.2011.11.009" TargetMode="External"/><Relationship Id="rId38" Type="http://schemas.openxmlformats.org/officeDocument/2006/relationships/hyperlink" Target="https://www.observatoire-pelagis.cnrs.fr/stranding/?lang=en" TargetMode="External"/><Relationship Id="rId59" Type="http://schemas.openxmlformats.org/officeDocument/2006/relationships/hyperlink" Target="https://www.frontiersin.org/journals/marine-science/articles/10.3389/fmars.2019.00486/full" TargetMode="External"/><Relationship Id="rId103" Type="http://schemas.openxmlformats.org/officeDocument/2006/relationships/hyperlink" Target="https://www.observatoire-pelagis.cnrs.fr/stranding/?lang=en" TargetMode="External"/><Relationship Id="rId124" Type="http://schemas.openxmlformats.org/officeDocument/2006/relationships/hyperlink" Target="https://www.frontiersin.org/journals/marine-science/articles/10.3389/fmars.2019.00486/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59DAD-24B3-490C-9651-170B856DF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298</Pages>
  <Words>100338</Words>
  <Characters>541830</Characters>
  <Application>Microsoft Office Word</Application>
  <DocSecurity>0</DocSecurity>
  <Lines>4515</Lines>
  <Paragraphs>1281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640887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Ελένη Χατζηαντώνη</dc:creator>
  <cp:keywords/>
  <dc:description/>
  <cp:lastModifiedBy>Petros MASTORAS</cp:lastModifiedBy>
  <cp:revision>3</cp:revision>
  <dcterms:created xsi:type="dcterms:W3CDTF">2026-07-28T21:04:00Z</dcterms:created>
  <dcterms:modified xsi:type="dcterms:W3CDTF">2026-07-28T21:11:00Z</dcterms:modified>
</cp:coreProperties>
</file>